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2026-06-05</w:t>
      </w:r>
    </w:p>
    <w:p>
      <w:pPr>
        <w:spacing w:before="160" w:after="120"/>
      </w:pPr>
      <w:r>
        <w:rPr>
          <w:b/>
          <w:sz w:val="28"/>
        </w:rPr>
        <w:t>【光伏】</w:t>
      </w:r>
    </w:p>
    <w:p>
      <w:pPr>
        <w:spacing w:before="160" w:after="40" w:line="240" w:lineRule="auto"/>
      </w:pPr>
      <w:r>
        <w:rPr>
          <w:b/>
        </w:rPr>
        <w:t xml:space="preserve">[1] </w:t>
      </w:r>
      <w:hyperlink r:id="rId9">
        <w:r>
          <w:rPr>
            <w:color w:val="1155CC"/>
            <w:u w:val="single"/>
          </w:rPr>
          <w:t>DSDINet：深度语义解耦与集成光伏太阳能电池缺陷分割网络</w:t>
        </w:r>
      </w:hyperlink>
    </w:p>
    <w:p>
      <w:pPr>
        <w:spacing w:before="0" w:after="80"/>
      </w:pPr>
      <w:r>
        <w:rPr>
          <w:i/>
          <w:sz w:val="20"/>
        </w:rPr>
        <w:t>EN: DSDINet: Deep semantic decoupling and integration photovoltaic solar cell defect segmentation network</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通过纳米流体光谱调制途径评估极端大气衰减下光伏能源的可用性</w:t>
        </w:r>
      </w:hyperlink>
    </w:p>
    <w:p>
      <w:pPr>
        <w:spacing w:before="0" w:after="80"/>
      </w:pPr>
      <w:r>
        <w:rPr>
          <w:i/>
          <w:sz w:val="20"/>
        </w:rPr>
        <w:t>EN: Evaluation of photovoltaic energy availability under extreme atmospheric attenuation through nanofluid spectral modulation pathways</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通过富电子共价有机框架自由基提高钙钛矿太阳能电池的效率和稳定性</w:t>
        </w:r>
      </w:hyperlink>
    </w:p>
    <w:p>
      <w:pPr>
        <w:spacing w:before="0" w:after="80"/>
      </w:pPr>
      <w:r>
        <w:rPr>
          <w:i/>
          <w:sz w:val="20"/>
        </w:rPr>
        <w:t>EN: Enhancing Efficiency and Stability of Perovskite Solar Cells Through Electron‐Rich Covalent Organic Frameworks Radicals</w:t>
      </w:r>
    </w:p>
    <w:p>
      <w:pPr>
        <w:spacing w:before="0" w:after="120"/>
      </w:pPr>
      <w:r>
        <w:rPr>
          <w:b/>
        </w:rPr>
        <w:t xml:space="preserve">Source: </w:t>
      </w:r>
      <w:r>
        <w:t>Wiley: Angewandte Chemie International Edition: Table of Contents</w:t>
      </w:r>
      <w:r>
        <w:t xml:space="preserve">    </w:t>
      </w:r>
      <w:r>
        <w:rPr>
          <w:b/>
        </w:rPr>
        <w:t xml:space="preserve">Pub date: </w:t>
      </w:r>
      <w:r>
        <w:t>2026-05-30 11:37:33+00:00</w:t>
      </w:r>
      <w:r>
        <w:t xml:space="preserve">    </w:t>
      </w:r>
      <w:r>
        <w:rPr>
          <w:b/>
        </w:rPr>
        <w:t xml:space="preserve">DOI: </w:t>
      </w:r>
      <w:hyperlink r:id="rId12">
        <w:r>
          <w:rPr>
            <w:color w:val="1155CC"/>
            <w:u w:val="single"/>
          </w:rPr>
          <w:t>10.1002/anie.3920745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结晶的有效调控对于实现高性能钙钛矿太阳能电池（PSC）至关重要。然而，钙钛矿薄膜通常表现出低结晶度，并受到大量块体和晶界缺陷的困扰。同时控制结晶动力学、缺陷钝化和能级排列仍然是一个重大挑战。在本研究中，我们设计并合成了富电子共价有机框架（COF</w:t>
      </w:r>
      <w:r>
        <w:t xml:space="preserve"> </w:t>
      </w:r>
      <w:r>
        <w:t>FAT</w:t>
      </w:r>
      <w:r>
        <w:t xml:space="preserve"> </w:t>
      </w:r>
      <w:r>
        <w:t>）并进一步引入了N-阳离子自由基（COF</w:t>
      </w:r>
      <w:r>
        <w:t xml:space="preserve"> </w:t>
      </w:r>
      <w:r>
        <w:t>拉德</w:t>
      </w:r>
      <w:r>
        <w:t xml:space="preserve"> </w:t>
      </w:r>
      <w:r>
        <w:t>）通过一步后处理在其框架和毛孔内。这些自由基的引入显着降低了COF的带隙，增强了电荷转移，并最小化了开路电压（V</w:t>
      </w:r>
      <w:r>
        <w:t xml:space="preserve"> </w:t>
      </w:r>
      <w:r>
        <w:t>奥克</w:t>
      </w:r>
      <w:r>
        <w:t xml:space="preserve"> </w:t>
      </w:r>
      <w:r>
        <w:t>）损失。有序的 COF 结构，具有多个配位位点（Ph–N 和 N•</w:t>
      </w:r>
      <w:r>
        <w:t xml:space="preserve"> </w:t>
      </w:r>
      <w:r>
        <w:t>+</w:t>
      </w:r>
      <w:r>
        <w:t xml:space="preserve"> </w:t>
      </w:r>
      <w:r>
        <w:t>），调制结晶过程，有效钝化块体和晶界缺陷，从而提高了结晶度</w:t>
      </w:r>
      <w:r>
        <w:t xml:space="preserve"> </w:t>
      </w:r>
      <w:r>
        <w:t>α</w:t>
      </w:r>
      <w:r>
        <w:t xml:space="preserve"> </w:t>
      </w:r>
      <w:r>
        <w:t>‐钙钛矿。因此，采用 COF 的 PSC</w:t>
      </w:r>
      <w:r>
        <w:t xml:space="preserve"> </w:t>
      </w:r>
      <w:r>
        <w:t>拉德</w:t>
      </w:r>
      <w:r>
        <w:t xml:space="preserve"> </w:t>
      </w:r>
      <w:r>
        <w:t>实现了 26.33% 的卓越功率转换效率 (PCE)（认证为 25.98%）。这些器件在 85°C 下热老化 1000 小时后仍保留了 88% 的初始 PCE，表现出出色的耐用性。此外，基于COF的PSC在连续照明下表现出优异的稳定性</w:t>
      </w:r>
    </w:p>
    <w:p>
      <w:pPr>
        <w:spacing w:before="0" w:after="200" w:lineRule="auto" w:line="276"/>
      </w:pPr>
      <w:r>
        <w:rPr>
          <w:b/>
        </w:rPr>
        <w:t xml:space="preserve">Abstract (EN): </w:t>
      </w:r>
      <w:r>
        <w:t>Effective regulation of perovskite crystallization is crucial for achieving high‐performance perovskite solar cells (PSCs). However, perovskite films typically exhibit low crystallinity and are plagued by abundant bulk and grain boundary defects. Simultaneously controlling crystallization kinetics, defect passivation, and energy level alignment remains a significant challenge. In this study, we designed and synthesized an electron‐rich covalent organic framework (COF</w:t>
      </w:r>
      <w:r>
        <w:t xml:space="preserve"> </w:t>
      </w:r>
      <w:r>
        <w:t>FAT</w:t>
      </w:r>
      <w:r>
        <w:t xml:space="preserve"> </w:t>
      </w:r>
      <w:r>
        <w:t>) and further introduced N‐cationic radicals (COF</w:t>
      </w:r>
      <w:r>
        <w:t xml:space="preserve"> </w:t>
      </w:r>
      <w:r>
        <w:t>Rad</w:t>
      </w:r>
      <w:r>
        <w:t xml:space="preserve"> </w:t>
      </w:r>
      <w:r>
        <w:t>) within its framework and pores via a one‐step post‐treatment. The introduction of these radicals significantly reduced the COFs bandgap, enhanced charge transfer, and minimized open‐circuit voltage (V</w:t>
      </w:r>
      <w:r>
        <w:t xml:space="preserve"> </w:t>
      </w:r>
      <w:r>
        <w:t>OC</w:t>
      </w:r>
      <w:r>
        <w:t xml:space="preserve"> </w:t>
      </w:r>
      <w:r>
        <w:t>) loss. The ordered COFs structure, featuring multiple coordination sites (Ph–N and N•</w:t>
      </w:r>
      <w:r>
        <w:t xml:space="preserve"> </w:t>
      </w:r>
      <w:r>
        <w:t>+</w:t>
      </w:r>
      <w:r>
        <w:t xml:space="preserve"> </w:t>
      </w:r>
      <w:r>
        <w:t>), modulated the crystallization process and effectively passivated bulk and grain boundary defects, thereby improving the crystallinity of</w:t>
      </w:r>
      <w:r>
        <w:t xml:space="preserve"> </w:t>
      </w:r>
      <w:r>
        <w:t>α</w:t>
      </w:r>
      <w:r>
        <w:t xml:space="preserve"> </w:t>
      </w:r>
      <w:r>
        <w:t>‐perovskite. As a result, PSCs incorporating COF</w:t>
      </w:r>
      <w:r>
        <w:t xml:space="preserve"> </w:t>
      </w:r>
      <w:r>
        <w:t>Rad</w:t>
      </w:r>
      <w:r>
        <w:t xml:space="preserve"> </w:t>
      </w:r>
      <w:r>
        <w:t>achieved a remarkable power conversion efficiency (PCE) of 26.33% (certified 25.98%). These devices retained 88% of their initial PCE after 1000 h of thermal aging at 85°C, demonstrating outstanding durability. Moreover, COFs‐based PSCs exhibited excellent stability under continuous illumination and humid conditions. This work delivers the highest efficiency reported for COFs‐based PSCs to date and offers a new strategy for developing high‐performance and stable optoelectronic devices.</w:t>
      </w:r>
    </w:p>
    <w:p>
      <w:pPr>
        <w:spacing w:before="120" w:after="120"/>
      </w:pPr>
      <w:r>
        <w:rPr>
          <w:sz w:val="18"/>
        </w:rPr>
        <w:t>——————————————————————————————————————————————————————————————————————</w:t>
      </w:r>
    </w:p>
    <w:p>
      <w:pPr>
        <w:spacing w:before="160" w:after="40" w:line="240" w:lineRule="auto"/>
      </w:pPr>
      <w:r>
        <w:rPr>
          <w:b/>
        </w:rPr>
        <w:t xml:space="preserve">[4] </w:t>
      </w:r>
      <w:hyperlink r:id="rId13">
        <w:r>
          <w:rPr>
            <w:color w:val="1155CC"/>
            <w:u w:val="single"/>
          </w:rPr>
          <w:t>通过 Fokker–Planck 和 Hamilton-Jacobi-Bellman 方程对带有电池存储的光伏系统进行状态约束随机最优控制</w:t>
        </w:r>
      </w:hyperlink>
    </w:p>
    <w:p>
      <w:pPr>
        <w:spacing w:before="0" w:after="80"/>
      </w:pPr>
      <w:r>
        <w:rPr>
          <w:i/>
          <w:sz w:val="20"/>
        </w:rPr>
        <w:t>EN: State constrained stochastic optimal control of a PV system with battery storage via Fokker–Planck and Hamilton-Jacobi-Bellman equations</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4">
        <w:r>
          <w:rPr>
            <w:color w:val="1155CC"/>
            <w:u w:val="single"/>
          </w:rPr>
          <w:t>时滞对并网光伏系统爬坡率控制的影响：电网规范合规性的确定性方法</w:t>
        </w:r>
      </w:hyperlink>
    </w:p>
    <w:p>
      <w:pPr>
        <w:spacing w:before="0" w:after="80"/>
      </w:pPr>
      <w:r>
        <w:rPr>
          <w:i/>
          <w:sz w:val="20"/>
        </w:rPr>
        <w:t>EN: Time delay consequences on ramp rate control for grid-connected PV systems: A deterministic approach to grid code compliance</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5">
        <w:r>
          <w:rPr>
            <w:color w:val="1155CC"/>
            <w:u w:val="single"/>
          </w:rPr>
          <w:t>使用金属硫系配合物配体封端的 InAs/ZnSe 量子点作为电子传输层增强光电器件的性能</w:t>
        </w:r>
      </w:hyperlink>
    </w:p>
    <w:p>
      <w:pPr>
        <w:spacing w:before="0" w:after="80"/>
      </w:pPr>
      <w:r>
        <w:rPr>
          <w:i/>
          <w:sz w:val="20"/>
        </w:rPr>
        <w:t>EN: Enhanced Performance of Optoelectronic Devices Using Metal Chalcogenide Complex Ligands‐Capped InAs/ZnSe Quantum Dots as Electron Transport Layers</w:t>
      </w:r>
    </w:p>
    <w:p>
      <w:pPr>
        <w:spacing w:before="0" w:after="120"/>
      </w:pPr>
      <w:r>
        <w:rPr>
          <w:b/>
        </w:rPr>
        <w:t xml:space="preserve">Source: </w:t>
      </w:r>
      <w:r>
        <w:t>Wiley: Advanced Energy Materials: Table of Contents</w:t>
      </w:r>
      <w:r>
        <w:t xml:space="preserve">    </w:t>
      </w:r>
      <w:r>
        <w:rPr>
          <w:b/>
        </w:rPr>
        <w:t xml:space="preserve">Pub date: </w:t>
      </w:r>
      <w:r>
        <w:t>2026-05-31 14:00:32+00:00</w:t>
      </w:r>
      <w:r>
        <w:t xml:space="preserve">    </w:t>
      </w:r>
      <w:r>
        <w:rPr>
          <w:b/>
        </w:rPr>
        <w:t xml:space="preserve">DOI: </w:t>
      </w:r>
      <w:hyperlink r:id="rId16">
        <w:r>
          <w:rPr>
            <w:color w:val="1155CC"/>
            <w:u w:val="single"/>
          </w:rPr>
          <w:t>10.1002/aenm.71142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电子传输层 (ETL) 通过促进电子的平稳流动，在决定光电器件性能方面发挥着至关重要的作用。而金属氧化物半导体如 ZnO、TiO</w:t>
      </w:r>
      <w:r>
        <w:rPr>
          <w:vertAlign w:val="subscript"/>
        </w:rPr>
        <w:t>2</w:t>
      </w:r>
      <w:r>
        <w:t>，和二氧化锡</w:t>
      </w:r>
      <w:r>
        <w:rPr>
          <w:vertAlign w:val="subscript"/>
        </w:rPr>
        <w:t>2</w:t>
      </w:r>
      <w:r>
        <w:t>通常用作 ETL 材料，但其电荷传输性能需要改进才能实现高器件性能。在这项研究中，我们建议利用表面修饰的 InAs 量子点（QD）来克服金属氧化物 ETL 的局限性。该方法涉及使用薄壳涂层的 ZnSe 单层钝化 InAs 量子点的表面缺陷，并用金属硫族化物配合物配体代替原来的长链配体。包含 ZnO 和表面改性 InAs QD 的混合 ETL 层的结合增强了电子迁移率，改善了薄膜粗糙度，并实现了有效的带隙对准。此外，我们通过制造近红外（NIR）有机太阳能电池（OSC）和有机光电探测器（OPD）展示了 InAs QD 作为 ETL 的实际应用。基于InAs量子点的光电器件的性能显着增强，OSC的功率转换效率（PCE）达到16.05%，自功率条件OPD的探测灵敏度达到4.00×10</w:t>
      </w:r>
      <w:r>
        <w:rPr>
          <w:vertAlign w:val="subscript"/>
        </w:rPr>
        <w:t>13</w:t>
      </w:r>
      <w:r>
        <w:t>Jones 和提取条件 OPD 显示检测灵敏度为 1.02 × 10</w:t>
      </w:r>
      <w:r>
        <w:rPr>
          <w:vertAlign w:val="subscript"/>
        </w:rPr>
        <w:t>13</w:t>
      </w:r>
      <w:r>
        <w:t>琼斯 (−0.5 V)</w:t>
      </w:r>
    </w:p>
    <w:p>
      <w:pPr>
        <w:spacing w:before="0" w:after="200" w:lineRule="auto" w:line="276"/>
      </w:pPr>
      <w:r>
        <w:rPr>
          <w:b/>
        </w:rPr>
        <w:t xml:space="preserve">Abstract (EN): </w:t>
      </w:r>
      <w:r>
        <w:t>Electron transport layers (ETLs) play a crucial role in determining the performance of optoelectronic devices by facilitating the smooth flow of electrons. While metal oxide semiconductors like ZnO, TiO</w:t>
      </w:r>
      <w:r>
        <w:rPr>
          <w:vertAlign w:val="subscript"/>
        </w:rPr>
        <w:t>2</w:t>
      </w:r>
      <w:r>
        <w:t>, and SnO</w:t>
      </w:r>
      <w:r>
        <w:rPr>
          <w:vertAlign w:val="subscript"/>
        </w:rPr>
        <w:t>2</w:t>
      </w:r>
      <w:r>
        <w:t>are commonly used as ETL materials, their charge‐transporting properties require improvement to achieve high device performance. In this study, we propose the utilization of surface‐modified InAs quantum dots (QDs) to overcome the limitations of metal oxide ETLs. This approach involves passivating surface defects of InAs QDs using a thin‐shell coated ZnSe monolayer and replacing the original long‐chain ligands with metal chalcogenide complex ligands. The incorporation of a mixed ETL layer comprising ZnO and surface‐modified InAs QDs resulted in enhanced electron mobility, improved film roughness, and effective bandgap alignment. Furthermore, we demonstrate the practical utilization of InAs QDs as ETLs by fabricating near‐infrared (NIR) organic solar cells (OSCs) and organic photodetectors (OPDs). The performance of InAs QDs‐based optoelectronic devices exhibits significant enhancements, with OSCs achieving a power conversion efficiency (PCE) of 16.05 %, self‐power condition OPDs exhibiting detectivity of 4.00 × 10</w:t>
      </w:r>
      <w:r>
        <w:rPr>
          <w:vertAlign w:val="subscript"/>
        </w:rPr>
        <w:t>13</w:t>
      </w:r>
      <w:r>
        <w:t>Jones, and extraction condition OPDs showing detectivity of 1.02 × 10</w:t>
      </w:r>
      <w:r>
        <w:rPr>
          <w:vertAlign w:val="subscript"/>
        </w:rPr>
        <w:t>13</w:t>
      </w:r>
      <w:r>
        <w:t>Jones at −0.5 V</w:t>
      </w:r>
    </w:p>
    <w:p>
      <w:pPr>
        <w:spacing w:before="120" w:after="120"/>
      </w:pPr>
      <w:r>
        <w:rPr>
          <w:sz w:val="18"/>
        </w:rPr>
        <w:t>——————————————————————————————————————————————————————————————————————</w:t>
      </w:r>
    </w:p>
    <w:p>
      <w:pPr>
        <w:spacing w:before="160" w:after="40" w:line="240" w:lineRule="auto"/>
      </w:pPr>
      <w:r>
        <w:rPr>
          <w:b/>
        </w:rPr>
        <w:t xml:space="preserve">[7] </w:t>
      </w:r>
      <w:hyperlink r:id="rId17">
        <w:r>
          <w:rPr>
            <w:color w:val="1155CC"/>
            <w:u w:val="single"/>
          </w:rPr>
          <w:t>超越地球：准二维钙钛矿太阳能电池在太空中的弹性（Adv. Mater. 31/2026）</w:t>
        </w:r>
      </w:hyperlink>
    </w:p>
    <w:p>
      <w:pPr>
        <w:spacing w:before="0" w:after="80"/>
      </w:pPr>
      <w:r>
        <w:rPr>
          <w:i/>
          <w:sz w:val="20"/>
        </w:rPr>
        <w:t>EN: Beyond Earth: Resilience of Quasi‐2D Perovskite Solar Cells in Space (Adv. Mater. 31/2026)</w:t>
      </w:r>
    </w:p>
    <w:p>
      <w:pPr>
        <w:spacing w:before="0" w:after="120"/>
      </w:pPr>
      <w:r>
        <w:rPr>
          <w:b/>
        </w:rPr>
        <w:t xml:space="preserve">Source: </w:t>
      </w:r>
      <w:r>
        <w:t>Wiley: Advanced Materials: Table of Contents</w:t>
      </w:r>
      <w:r>
        <w:t xml:space="preserve">    </w:t>
      </w:r>
      <w:r>
        <w:rPr>
          <w:b/>
        </w:rPr>
        <w:t xml:space="preserve">Pub date: </w:t>
      </w:r>
      <w:r>
        <w:t>2026-06-02 07:55:05+00:00</w:t>
      </w:r>
      <w:r>
        <w:t xml:space="preserve">    </w:t>
      </w:r>
      <w:r>
        <w:rPr>
          <w:b/>
        </w:rPr>
        <w:t xml:space="preserve">DOI: </w:t>
      </w:r>
      <w:hyperlink r:id="rId18">
        <w:r>
          <w:rPr>
            <w:color w:val="1155CC"/>
            <w:u w:val="single"/>
          </w:rPr>
          <w:t>10.1002/adma.73432</w:t>
        </w:r>
      </w:hyperlink>
    </w:p>
    <w:p>
      <w:pPr>
        <w:spacing w:before="0" w:after="120"/>
      </w:pPr>
      <w:r>
        <w:rPr>
          <w:b/>
        </w:rPr>
        <w:t xml:space="preserve">Notes: </w:t>
      </w:r>
      <w:r>
        <w:t>abstract_source=openalex</w:t>
      </w:r>
    </w:p>
    <w:p>
      <w:pPr>
        <w:spacing w:before="0" w:after="80" w:lineRule="auto" w:line="276"/>
      </w:pPr>
      <w:r>
        <w:rPr>
          <w:b/>
        </w:rPr>
        <w:t xml:space="preserve">摘要（ZH）: </w:t>
      </w:r>
      <w:r>
        <w:t>近地轨道中的钙钛矿太阳能电池 在研究文章 (DOI: 10.1002/adma.202520433) 中，Christoph Putz、Martin Kaltenbrunner 及其同事展示了刚性准二维钙钛矿太阳能电池，可在真实太空条件下提供超过 100 天的稳定电力。相关的在轨数据和广泛的地面热和质子辐照研究揭示了高固有辐射耐受性、基板驱动的损耗以及轻质钙钛矿空间光伏发电的关键挑战。插图描绘了近地轨道上的一颗钙钛矿结构卫星，象征着准二维钙钛矿太阳能电池用于天基发电的部署。封面艺术由 Florian Loimayr 创作。</w:t>
      </w:r>
    </w:p>
    <w:p>
      <w:pPr>
        <w:spacing w:before="0" w:after="200" w:lineRule="auto" w:line="276"/>
      </w:pPr>
      <w:r>
        <w:rPr>
          <w:b/>
        </w:rPr>
        <w:t xml:space="preserve">Abstract (EN): </w:t>
      </w:r>
      <w:r>
        <w:t>Perovskite Solar Cells in Low Earth Orbit In the Research Article (DOI: 10.1002/adma.202520433), Christoph Putz, Martin Kaltenbrunner, and co-workers demonstrate rigid quasi-2D perovskite solar cells delivering stable power for over 100 days under real space conditions. Correlated in-orbit data and extensive ground-based thermal and proton-irradiation studies reveal high intrinsic radiation tolerance, substrate-driven losses, and key challenges toward lightweight perovskite space photovoltaics. The illustration depicts a perovskite-structured satellite in low Earth orbit, symbolizing the deployment of quasi-2D perovskite solar cells for space-based power generation. Cover art by Florian Loimayr.</w:t>
      </w:r>
    </w:p>
    <w:p>
      <w:pPr>
        <w:spacing w:before="120" w:after="120"/>
      </w:pPr>
      <w:r>
        <w:rPr>
          <w:sz w:val="18"/>
        </w:rPr>
        <w:t>——————————————————————————————————————————————————————————————————————</w:t>
      </w:r>
    </w:p>
    <w:p>
      <w:pPr>
        <w:spacing w:before="160" w:after="40" w:line="240" w:lineRule="auto"/>
      </w:pPr>
      <w:r>
        <w:rPr>
          <w:b/>
        </w:rPr>
        <w:t xml:space="preserve">[8] </w:t>
      </w:r>
      <w:hyperlink r:id="rId19">
        <w:r>
          <w:rPr>
            <w:color w:val="1155CC"/>
            <w:u w:val="single"/>
          </w:rPr>
          <w:t>无需共轭供体即可实现稳定且低成本的有机光伏</w:t>
        </w:r>
      </w:hyperlink>
    </w:p>
    <w:p>
      <w:pPr>
        <w:spacing w:before="0" w:after="80"/>
      </w:pPr>
      <w:r>
        <w:rPr>
          <w:i/>
          <w:sz w:val="20"/>
        </w:rPr>
        <w:t>EN: Stable and Low‐Cost Organic Photovoltaics Without Conjugated Donors</w:t>
      </w:r>
    </w:p>
    <w:p>
      <w:pPr>
        <w:spacing w:before="0" w:after="120"/>
      </w:pPr>
      <w:r>
        <w:rPr>
          <w:b/>
        </w:rPr>
        <w:t xml:space="preserve">Source: </w:t>
      </w:r>
      <w:r>
        <w:t>Wiley: Advanced Materials: Table of Contents</w:t>
      </w:r>
      <w:r>
        <w:t xml:space="preserve">    </w:t>
      </w:r>
      <w:r>
        <w:rPr>
          <w:b/>
        </w:rPr>
        <w:t xml:space="preserve">Pub date: </w:t>
      </w:r>
      <w:r>
        <w:t>2026-06-02 08:18:44+00:00</w:t>
      </w:r>
      <w:r>
        <w:t xml:space="preserve">    </w:t>
      </w:r>
      <w:r>
        <w:rPr>
          <w:b/>
        </w:rPr>
        <w:t xml:space="preserve">DOI: </w:t>
      </w:r>
      <w:hyperlink r:id="rId20">
        <w:r>
          <w:rPr>
            <w:color w:val="1155CC"/>
            <w:u w:val="single"/>
          </w:rPr>
          <w:t>10.1002/adma.73585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尽管电力转换效率 (PCE) 取得了超过 20% 的显着进步，但由于与传统有机供体和空穴传输层相关的固有稳定性问题，有机光伏 (OPV) 仍面临工业化挑战。在这里，我们采用无机 p 型半导体硫氰酸铜（I）（CuSCN）作为多功能成分，同时充当供体和空穴传输层。与非富勒烯受体 L8-BO 结合，本体异质结器件实现了 7.21% 的冠军 PCE。更重要的是，基于 CuSCN 的器件表现出卓越的热稳定性，保持了 80% 的初始效率（</w:t>
      </w:r>
      <w:r>
        <w:t xml:space="preserve"> </w:t>
      </w:r>
      <w:r>
        <w:t>时间</w:t>
      </w:r>
      <w:r>
        <w:rPr>
          <w:vertAlign w:val="subscript"/>
        </w:rPr>
        <w:t>80</w:t>
      </w:r>
      <w:r>
        <w:t>）在85°C下近400小时，远远超过</w:t>
      </w:r>
      <w:r>
        <w:t xml:space="preserve"> </w:t>
      </w:r>
      <w:r>
        <w:t>时间</w:t>
      </w:r>
      <w:r>
        <w:rPr>
          <w:vertAlign w:val="subscript"/>
        </w:rPr>
        <w:t>80</w:t>
      </w:r>
      <w:r>
        <w:t>基于传统全有机活性层的 OPV 的时间为 3 至 33 小时。此外，在 ISOS-L-3 协议下（100 mW cm 以下的最大功率点跟踪</w:t>
      </w:r>
      <w:r>
        <w:t xml:space="preserve"> </w:t>
      </w:r>
      <w:r>
        <w:t>−2</w:t>
      </w:r>
      <w:r>
        <w:t xml:space="preserve"> </w:t>
      </w:r>
      <w:r>
        <w:t>在光照、65°C、50% 相对湿度）下，这些器件表现出出色的运行耐久性，在 900 小时后仍保持其初始效率的约 50%，这与 D18:L8-BO 和 PM6:L8-BO 参考系统中观察到的快速退化形成鲜明对比，后两者仅保留 15% 和 19%。这项工作强调了 CuSCN 在实现高效、耐用和工业上可行的 OPV 方面的潜力。</w:t>
      </w:r>
    </w:p>
    <w:p>
      <w:pPr>
        <w:spacing w:before="0" w:after="200" w:lineRule="auto" w:line="276"/>
      </w:pPr>
      <w:r>
        <w:rPr>
          <w:b/>
        </w:rPr>
        <w:t xml:space="preserve">Abstract (EN): </w:t>
      </w:r>
      <w:r>
        <w:t>Despite significant advances in power conversion efficiency (PCE) exceeding 20%, organic photovoltaics (OPVs) face industrialization challenges due to inherent stability issues associated with conventional organic donors and hole transport layers. Here, we employ an inorganic p‐type semiconductor copper(I) thiocyanate (CuSCN) as a multifunctional component concurrently serving as donor and hole transport layer. Combined with the non‐fullerene acceptor L8‐BO, the bulk heterojunction device achieves a champion PCE of 7.21%. More importantly, the CuSCN‐based devices exhibit exceptional thermal stability, maintaining 80% of their initial efficiency (</w:t>
      </w:r>
      <w:r>
        <w:t xml:space="preserve"> </w:t>
      </w:r>
      <w:r>
        <w:t>T</w:t>
      </w:r>
      <w:r>
        <w:rPr>
          <w:vertAlign w:val="subscript"/>
        </w:rPr>
        <w:t>80</w:t>
      </w:r>
      <w:r>
        <w:t>) for nearly 400 h at 85°C, far exceeding the</w:t>
      </w:r>
      <w:r>
        <w:t xml:space="preserve"> </w:t>
      </w:r>
      <w:r>
        <w:t>T</w:t>
      </w:r>
      <w:r>
        <w:rPr>
          <w:vertAlign w:val="subscript"/>
        </w:rPr>
        <w:t>80</w:t>
      </w:r>
      <w:r>
        <w:t>of 3 to 33 h for OPVs based on conventional all‐organic active layers. Moreover, under ISOS‐L‐3 protocol (maximum power point tracking under 100 mW cm</w:t>
      </w:r>
      <w:r>
        <w:t xml:space="preserve"> </w:t>
      </w:r>
      <w:r>
        <w:t>−2</w:t>
      </w:r>
      <w:r>
        <w:t xml:space="preserve"> </w:t>
      </w:r>
      <w:r>
        <w:t>illumination, 65°C, 50% relative humidity), the devices exhibit outstanding operational durability, sustaining approximately 50% of their initial efficiency after 900 h, in stark contrast to the rapid degradation observed in D18:L8‐BO and PM6:L8‐BO reference systems, which retain only 15% and 19%, respectively. This work underscores the potential of CuSCN in enabling efficient, durable, and industrially viable OPVs.</w:t>
      </w:r>
    </w:p>
    <w:p>
      <w:pPr>
        <w:spacing w:before="120" w:after="120"/>
      </w:pPr>
      <w:r>
        <w:rPr>
          <w:sz w:val="18"/>
        </w:rPr>
        <w:t>——————————————————————————————————————————————————————————————————————</w:t>
      </w:r>
    </w:p>
    <w:p>
      <w:pPr>
        <w:spacing w:before="160" w:after="40" w:line="240" w:lineRule="auto"/>
      </w:pPr>
      <w:r>
        <w:rPr>
          <w:b/>
        </w:rPr>
        <w:t xml:space="preserve">[9] </w:t>
      </w:r>
      <w:hyperlink r:id="rId21">
        <w:r>
          <w:rPr>
            <w:color w:val="1155CC"/>
            <w:u w:val="single"/>
          </w:rPr>
          <w:t>人工智能辅助钙钛矿光伏多目标空穴选择性接触设计</w:t>
        </w:r>
      </w:hyperlink>
    </w:p>
    <w:p>
      <w:pPr>
        <w:spacing w:before="0" w:after="80"/>
      </w:pPr>
      <w:r>
        <w:rPr>
          <w:i/>
          <w:sz w:val="20"/>
        </w:rPr>
        <w:t>EN: AI-assisted multi-objective hole-selective contact design for perovskite photovoltaics</w:t>
      </w:r>
    </w:p>
    <w:p>
      <w:pPr>
        <w:spacing w:before="0" w:after="120"/>
      </w:pPr>
      <w:r>
        <w:rPr>
          <w:b/>
        </w:rPr>
        <w:t xml:space="preserve">Source: </w:t>
      </w:r>
      <w:r>
        <w:t>Joule</w:t>
      </w:r>
      <w:r>
        <w:t xml:space="preserve">    </w:t>
      </w:r>
      <w:r>
        <w:rPr>
          <w:b/>
        </w:rPr>
        <w:t xml:space="preserve">Pub date: </w:t>
      </w:r>
      <w:r>
        <w:t>2026-06-03 00:00:00+00:00</w:t>
      </w:r>
      <w:r>
        <w:t xml:space="preserve">    </w:t>
      </w:r>
      <w:r>
        <w:rPr>
          <w:b/>
        </w:rPr>
        <w:t xml:space="preserve">DOI: </w:t>
      </w:r>
      <w:hyperlink r:id="rId22">
        <w:r>
          <w:rPr>
            <w:color w:val="1155CC"/>
            <w:u w:val="single"/>
          </w:rPr>
          <w:t>10.1016/j.joule.2026.102497</w:t>
        </w:r>
      </w:hyperlink>
    </w:p>
    <w:p>
      <w:pPr>
        <w:spacing w:before="0" w:after="120"/>
      </w:pPr>
      <w:r>
        <w:rPr>
          <w:b/>
        </w:rPr>
        <w:t xml:space="preserve">Notes: </w:t>
      </w:r>
      <w:r>
        <w:t>abstract_source=rss_cell</w:t>
      </w:r>
    </w:p>
    <w:p>
      <w:pPr>
        <w:spacing w:before="0" w:after="80" w:lineRule="auto" w:line="276"/>
      </w:pPr>
      <w:r>
        <w:rPr>
          <w:b/>
        </w:rPr>
        <w:t xml:space="preserve">摘要（ZH）: </w:t>
      </w:r>
      <w:r>
        <w:t>设计高性能钙钛矿太阳能电池的功能材料通常很慢，并且是一个反复试验的过程。在这里，我们使用代理辅助多目标进化算法来设计能够提高设备接口效率和稳定性的分子。该方法确定了新的分子，使钙钛矿太阳能电池的效率达到 26.9%，并且具有很强的热稳定性。这项工作强调了人工智能如何加速下一代能源技术功能材料的发现。</w:t>
      </w:r>
    </w:p>
    <w:p>
      <w:pPr>
        <w:spacing w:before="0" w:after="200" w:lineRule="auto" w:line="276"/>
      </w:pPr>
      <w:r>
        <w:rPr>
          <w:b/>
        </w:rPr>
        <w:t xml:space="preserve">Abstract (EN): </w:t>
      </w:r>
      <w:r>
        <w:t>Designing functional materials for high-performance perovskite solar cells is often slow and a trial-and-error process. Here, we use surrogate-assisted multi-objective evolutionary algorithms to design molecules that improve both efficiency and stability at device interfaces. The approach identifies new molecules that enable perovskite solar cells to reach 26.9% efficiency with strong thermal stability. This work highlights how AI can accelerate the discovery of functional materials for next-generation energy technologies.</w:t>
      </w:r>
    </w:p>
    <w:p>
      <w:pPr>
        <w:spacing w:before="120" w:after="120"/>
      </w:pPr>
      <w:r>
        <w:rPr>
          <w:sz w:val="18"/>
        </w:rPr>
        <w:t>——————————————————————————————————————————————————————————————————————</w:t>
      </w:r>
    </w:p>
    <w:p>
      <w:pPr>
        <w:spacing w:before="160" w:after="40" w:line="240" w:lineRule="auto"/>
      </w:pPr>
      <w:r>
        <w:rPr>
          <w:b/>
        </w:rPr>
        <w:t xml:space="preserve">[10] </w:t>
      </w:r>
      <w:hyperlink r:id="rId23">
        <w:r>
          <w:rPr>
            <w:color w:val="1155CC"/>
            <w:u w:val="single"/>
          </w:rPr>
          <w:t>寒冷气候下泡沫浮动光伏系统的设计和热能性能分析：加拿大7 kW浮动光伏发电系统的实验结果</w:t>
        </w:r>
      </w:hyperlink>
    </w:p>
    <w:p>
      <w:pPr>
        <w:spacing w:before="0" w:after="80"/>
      </w:pPr>
      <w:r>
        <w:rPr>
          <w:i/>
          <w:sz w:val="20"/>
        </w:rPr>
        <w:t>EN: Design and thermal-energy performance analysis of foam-based floating photovoltaic systems in a cold climate: experimental results from a 7 kW floatovoltaics in Canada</w:t>
      </w:r>
    </w:p>
    <w:p>
      <w:pPr>
        <w:spacing w:before="0" w:after="120"/>
      </w:pPr>
      <w:r>
        <w:rPr>
          <w:b/>
        </w:rPr>
        <w:t xml:space="preserve">Source: </w:t>
      </w:r>
      <w:r>
        <w:t>ScienceDirect Publication: Applied Energy</w:t>
      </w:r>
      <w:r>
        <w:t xml:space="preserve">    </w:t>
      </w:r>
      <w:r>
        <w:rPr>
          <w:b/>
        </w:rPr>
        <w:t xml:space="preserve">Pub date: </w:t>
      </w:r>
      <w:r>
        <w:t>2026-06-03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4">
        <w:r>
          <w:rPr>
            <w:color w:val="1155CC"/>
            <w:u w:val="single"/>
          </w:rPr>
          <w:t>光伏不确定性下可靠的净零微电网的统一鲁棒随机调度</w:t>
        </w:r>
      </w:hyperlink>
    </w:p>
    <w:p>
      <w:pPr>
        <w:spacing w:before="0" w:after="80"/>
      </w:pPr>
      <w:r>
        <w:rPr>
          <w:i/>
          <w:sz w:val="20"/>
        </w:rPr>
        <w:t>EN: Unified robust–stochastic dispatch for reliable net-zero microgrids under PV uncertainty</w:t>
      </w:r>
    </w:p>
    <w:p>
      <w:pPr>
        <w:spacing w:before="0" w:after="120"/>
      </w:pPr>
      <w:r>
        <w:rPr>
          <w:b/>
        </w:rPr>
        <w:t xml:space="preserve">Source: </w:t>
      </w:r>
      <w:r>
        <w:t>ScienceDirect Publication: Applied Energy</w:t>
      </w:r>
      <w:r>
        <w:t xml:space="preserve">    </w:t>
      </w:r>
      <w:r>
        <w:rPr>
          <w:b/>
        </w:rPr>
        <w:t xml:space="preserve">Pub date: </w:t>
      </w:r>
      <w:r>
        <w:t>2026-06-03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5">
        <w:r>
          <w:rPr>
            <w:color w:val="1155CC"/>
            <w:u w:val="single"/>
          </w:rPr>
          <w:t>利用多视图几何图形转换器改进晶体材料特性预测</w:t>
        </w:r>
      </w:hyperlink>
    </w:p>
    <w:p>
      <w:pPr>
        <w:spacing w:before="0" w:after="80"/>
      </w:pPr>
      <w:r>
        <w:rPr>
          <w:i/>
          <w:sz w:val="20"/>
        </w:rPr>
        <w:t>EN: Improving crystal material property prediction with multi-view geometric graph transformer</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准确、全面地表示晶体结构对于推进大规模晶体材料模拟中的机器学习至关重要。然而，有效捕获和利用晶体结构复杂的几何和拓扑特征仍然是大多数现有晶体特性预测方法的重大挑战。在这里，我们提出了 MGT，一种多视图图转换器，它联合建模 SE(3) 不变标量表示和 SO(3) 等变方向表示，从而能够捕获晶体结构中的旋转平移不变性和旋转等变方向信息。受专家启发的路由器的混合物作为关键集成机制，为每个目标任务自适应地加权这些互补嵌入。通过多任务自监督预训练，与之前晶体特性基准上最先进的模型相比，MGT 的平均绝对误差降低了 14%。全面的消融和可解释性分析证实，自监督预训练策略和专家启发路由器的组合都有助于整体模型性能。在迁移学习场景中（包括晶体催化剂吸附能和混合钙钛矿带隙预测），MGT 的性能比现有基线提高了高达 58%，展示了强大的与领域无关的可扩展性。总体而言，所有结果表明 MGT 是晶体材料性能预测的有效且可推广的框架，具有巨大的潜力</w:t>
      </w:r>
    </w:p>
    <w:p>
      <w:pPr>
        <w:spacing w:before="0" w:after="200" w:lineRule="auto" w:line="276"/>
      </w:pPr>
      <w:r>
        <w:rPr>
          <w:b/>
        </w:rPr>
        <w:t xml:space="preserve">Abstract (EN): </w:t>
      </w:r>
      <w:r>
        <w:t>Accurately and comprehensively representing crystal structures is critical for advancing machine learning in large-scale crystal materials simulations. However, effectively capturing and leveraging the intricate geometric and topological characteristics of crystal structures remains a significant challenge for most existing methods in crystal property prediction. Here, we propose MGT, a multi-view graph transformer that jointly models SE(3) invariant scalar representations and SO(3) equivariant directional representations, enabling the capture of both rotational–translational invariance and rotation-equivariant directional information in crystal structures. A mixture of experts inspired router serves as the key integration mechanism, adaptively weighting these complementary embeddings for each target task. Through multi-task self-supervised pretraining, MGT achieves up to 14% reduction in mean absolute error compared with previous state-of-the-art models on crystal property benchmarks. Comprehensive ablation and interpretability analyses confirm that both the self-supervised pretraining strategy and the mixture of experts inspired router contribute to the overall model performance. In transfer learning scenarios—including crystal catalyst adsorption energy and hybrid perovskite bandgap prediction—MGT achieves performance improvements of up to 58% over existing baselines, demonstrating strong domain-agnostic scalability. Overall, all the results suggest that MGT is an effective and generalizable framework for crystal material property prediction, with significant potential to accelerate the discovery of novel materials.</w:t>
      </w:r>
    </w:p>
    <w:p>
      <w:pPr>
        <w:spacing w:before="120" w:after="120"/>
      </w:pPr>
      <w:r>
        <w:rPr>
          <w:sz w:val="18"/>
        </w:rPr>
        <w:t>——————————————————————————————————————————————————————————————————————</w:t>
      </w:r>
    </w:p>
    <w:p>
      <w:pPr>
        <w:spacing w:before="160" w:after="40" w:line="240" w:lineRule="auto"/>
      </w:pPr>
      <w:r>
        <w:rPr>
          <w:b/>
        </w:rPr>
        <w:t xml:space="preserve">[13] </w:t>
      </w:r>
      <w:hyperlink r:id="rId26">
        <w:r>
          <w:rPr>
            <w:color w:val="1155CC"/>
            <w:u w:val="single"/>
          </w:rPr>
          <w:t>精确的结构调节诱导的形态排序使全聚合物太阳能电池具有 20.29% 的效率和极高的机械鲁棒性</w:t>
        </w:r>
      </w:hyperlink>
    </w:p>
    <w:p>
      <w:pPr>
        <w:spacing w:before="0" w:after="80"/>
      </w:pPr>
      <w:r>
        <w:rPr>
          <w:i/>
          <w:sz w:val="20"/>
        </w:rPr>
        <w:t>EN: Precise Structure Regulation Induced Morphological Ordering Enables All‐Polymer Solar Cells With 20.29% Efficiency and Extreme Mechanical Robustness</w:t>
      </w:r>
    </w:p>
    <w:p>
      <w:pPr>
        <w:spacing w:before="0" w:after="120"/>
      </w:pPr>
      <w:r>
        <w:rPr>
          <w:b/>
        </w:rPr>
        <w:t xml:space="preserve">Source: </w:t>
      </w:r>
      <w:r>
        <w:t>Wiley: Angewandte Chemie International Edition: Table of Contents</w:t>
      </w:r>
      <w:r>
        <w:t xml:space="preserve">    </w:t>
      </w:r>
      <w:r>
        <w:rPr>
          <w:b/>
        </w:rPr>
        <w:t xml:space="preserve">Pub date: </w:t>
      </w:r>
      <w:r>
        <w:t>2026-06-03 07:00:39+00:00</w:t>
      </w:r>
      <w:r>
        <w:t xml:space="preserve">    </w:t>
      </w:r>
      <w:r>
        <w:rPr>
          <w:b/>
        </w:rPr>
        <w:t xml:space="preserve">DOI: </w:t>
      </w:r>
      <w:hyperlink r:id="rId27">
        <w:r>
          <w:rPr>
            <w:color w:val="1155CC"/>
            <w:u w:val="single"/>
          </w:rPr>
          <w:t>10.1002/anie.5004335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所有聚合物有机太阳能电池（APSC）在平衡器件效率的同时提高运行稳定性方面都表现出独特的优势，特别是在机械鲁棒性方面。然而，它们的功率转换效率（PCE）长期落后于相应的小分子受体器件。这是由于聚合物受体（PA）的精确化学结构调制，实现了相对共面的构象和有序的分子堆叠，从而实现了理想的形态，这仍然是一个严峻的挑战。在这项工作中，我们设计了两种双轴共轭延伸PA，具有各种侧链/末端取代基来控制其分子间非共价相互作用，从而优化聚合物组装体的聚集行为和微观结构取向。研究发现，烷氧基官能化的 PQxO-IT 有助于增强分子间相互作用和更紧密的 π-π 堆积。此外，PQx-FT:PQxO-IT复合材料促进了载流子迁移率和电荷传输，同时有效抑制非辐射衰变路径。因此，相应的三元器件迄今为止在 APSC 系统中实现了最高的 PCE 20.29%（认证为 20.03%）。此外，紧密有序的分子堆积使柔性器件的 PCE 达到 18.93%，并且在连续弯曲测试中具有出色的耐用性。这项研究展示了一种精确的结构调制策略，为高性能柔性光伏发电提供了可行的材料设计途径。</w:t>
      </w:r>
    </w:p>
    <w:p>
      <w:pPr>
        <w:spacing w:before="0" w:after="200" w:lineRule="auto" w:line="276"/>
      </w:pPr>
      <w:r>
        <w:rPr>
          <w:b/>
        </w:rPr>
        <w:t xml:space="preserve">Abstract (EN): </w:t>
      </w:r>
      <w:r>
        <w:t>All polymer organic solar cells (APSCs) demonstrate distinctive advantages in balancing device efficiency while enhancing operational stability, particularly regarding mechanical robustness. However, their power conversion efficiency (PCE) has long been behind that of the corresponding devices with small molecular acceptors. This is due to the precise chemical structure modulation of polymer acceptors (PAs), enabling relatively coplanar conformation and ordered molecular stacking and thus achieving ideal morphology, which remains critically challenging. Herein, in this work, we have designed two biaxial conjugate extension PAs, with various side chain/terminal substituents to control their intermolecular non‐covalent interactions, thereby optimizing aggregation behavior and microstructural orientation of polymer assemblies. It was found that the alkoxy‐functionalized PQxO‐IT facilitates stronger intermolecular interactions and tighter π‐π stacking. Furthermore, the PQx‐FT:PQxO‐IT composite promoted charge carrier mobility and charge transport, while effectively suppressing non‐radiative decay pathways. Consequently, the corresponding ternary device achieved the highest PCE of 20.29% (certified as 20.03%) for the APSC systems so far. Furthermore, the tight and ordered molecular packing endowed the flexible device with a PCE of 18.93% and remarkable durability during continuous bending tests. This study demonstrates a precise structure modulation strategy that offers a viable materials design pathway for high‐performance flexible photovoltaics.</w:t>
      </w:r>
    </w:p>
    <w:p>
      <w:pPr>
        <w:spacing w:before="120" w:after="120"/>
      </w:pPr>
      <w:r>
        <w:rPr>
          <w:sz w:val="18"/>
        </w:rPr>
        <w:t>——————————————————————————————————————————————————————————————————————</w:t>
      </w:r>
    </w:p>
    <w:p>
      <w:pPr>
        <w:spacing w:before="160" w:after="40" w:line="240" w:lineRule="auto"/>
      </w:pPr>
      <w:r>
        <w:rPr>
          <w:b/>
        </w:rPr>
        <w:t xml:space="preserve">[14] </w:t>
      </w:r>
      <w:hyperlink r:id="rId28">
        <w:r>
          <w:rPr>
            <w:color w:val="1155CC"/>
            <w:u w:val="single"/>
          </w:rPr>
          <w:t>热稳定高性能厚膜全小分子有机太阳能电池的混合异构体策略</w:t>
        </w:r>
      </w:hyperlink>
    </w:p>
    <w:p>
      <w:pPr>
        <w:spacing w:before="0" w:after="80"/>
      </w:pPr>
      <w:r>
        <w:rPr>
          <w:i/>
          <w:sz w:val="20"/>
        </w:rPr>
        <w:t>EN: Mixed‐Isomers Strategy for Thermally Stable and High‐Performance Thick‐Film All‐Small‐Molecule Organic Solar Cells</w:t>
      </w:r>
    </w:p>
    <w:p>
      <w:pPr>
        <w:spacing w:before="0" w:after="120"/>
      </w:pPr>
      <w:r>
        <w:rPr>
          <w:b/>
        </w:rPr>
        <w:t xml:space="preserve">Source: </w:t>
      </w:r>
      <w:r>
        <w:t>Wiley: Advanced Materials: Table of Contents</w:t>
      </w:r>
      <w:r>
        <w:t xml:space="preserve">    </w:t>
      </w:r>
      <w:r>
        <w:rPr>
          <w:b/>
        </w:rPr>
        <w:t xml:space="preserve">Pub date: </w:t>
      </w:r>
      <w:r>
        <w:t>2026-06-03 07:14:31+00:00</w:t>
      </w:r>
      <w:r>
        <w:t xml:space="preserve">    </w:t>
      </w:r>
      <w:r>
        <w:rPr>
          <w:b/>
        </w:rPr>
        <w:t xml:space="preserve">DOI: </w:t>
      </w:r>
      <w:hyperlink r:id="rId29">
        <w:r>
          <w:rPr>
            <w:color w:val="1155CC"/>
            <w:u w:val="single"/>
          </w:rPr>
          <w:t>10.1002/adma.73370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小分子有机太阳能电池（all-SMOSC）由于其在化学可调性、纯化简便性和批次间一致性方面的优势，已成为下一代光伏技术的有希望的候选者。尽管取得了重大进展，但它们的功率转换效率（PCE）仍然落后于聚合物太阳能电池（PSC），这主要是由于充电管理和形态控制不理想。通过将两种结构相似但功能互补的异构体 BTP-Br-γ 和 BTP-Br-δ 引入高性能主体系统 (MPhS-C2:BTP-eC9)，本文构建了四元共混物，其表现出优异的形态鲁棒性、高效的电荷传输和抑制的能量损失。经过优化的四元器件的 PCE 达到创纪录的 19.06%（认证为 18.7%），这是迄今为止所有 SMOSC 报告的最高值。进一步的研究表明，由于激子解离快、载流子扩散长度长、复合损耗低和电荷提取快，四元器件还表现出对器件效率和热稳定性的高厚度耐受性。这项工作提供了一种有前途的策略来缩小全 SMOSC 和 PSC 之间的性能差距，为它们在高效有机光伏中的实际部署铺平了道路。</w:t>
      </w:r>
    </w:p>
    <w:p>
      <w:pPr>
        <w:spacing w:before="0" w:after="200" w:lineRule="auto" w:line="276"/>
      </w:pPr>
      <w:r>
        <w:rPr>
          <w:b/>
        </w:rPr>
        <w:t xml:space="preserve">Abstract (EN): </w:t>
      </w:r>
      <w:r>
        <w:t>All‐small‐molecule organic solar cells (all‐SMOSCs) have emerged as promising candidates for next‐generation photovoltaic technologies due to their advantages in chemical tunability, purification ease, and batch‐to‐batch consistency. Despite significant progress, their power conversion efficiencies (PCEs) still trail those of polymer‐based solar cells (PSCs), primarily due to suboptimal charge management and morphology control. By introducing two structurally similar yet functionally complementary isomers, BTP‐Br‐γ and BTP‐Br‐δ, into a high‐performing host system (MPhS‐C2:BTP‐eC9), herein we construct quaternary blends that exhibit superior morphological robustness, efficient charge transport, and suppressed energy loss. The optimized quaternary device delivers a record PCE of 19.06% (certified at 18.7%), representing the highest value reported for all‐SMOSCs to date. Further investigations reveal that the quaternary devices also exhibit high thickness tolerance to device efficiency and thermal stability, owing to fast exciton dissociation, long carrier diffusion length, low recombination loss, and rapid charge extraction. The work offers a promising strategy to bridge the performance gap between all‐SMOSCs and PSCs, paving the way for their practical deployment in high‐efficiency organic photovoltaics.</w:t>
      </w:r>
    </w:p>
    <w:p>
      <w:pPr>
        <w:spacing w:before="120" w:after="120"/>
      </w:pPr>
      <w:r>
        <w:rPr>
          <w:sz w:val="18"/>
        </w:rPr>
        <w:t>——————————————————————————————————————————————————————————————————————</w:t>
      </w:r>
    </w:p>
    <w:p>
      <w:pPr>
        <w:spacing w:before="160" w:after="40" w:line="240" w:lineRule="auto"/>
      </w:pPr>
      <w:r>
        <w:rPr>
          <w:b/>
        </w:rPr>
        <w:t xml:space="preserve">[15] </w:t>
      </w:r>
      <w:hyperlink r:id="rId30">
        <w:r>
          <w:rPr>
            <w:color w:val="1155CC"/>
            <w:u w:val="single"/>
          </w:rPr>
          <w:t>利用增材工程抑制有机太阳能电池光电压损失的起源</w:t>
        </w:r>
      </w:hyperlink>
    </w:p>
    <w:p>
      <w:pPr>
        <w:spacing w:before="0" w:after="80"/>
      </w:pPr>
      <w:r>
        <w:rPr>
          <w:i/>
          <w:sz w:val="20"/>
        </w:rPr>
        <w:t>EN: Origin of Suppressed Photovoltage Loss in Organic Solar Cells With Additive Engineering</w:t>
      </w:r>
    </w:p>
    <w:p>
      <w:pPr>
        <w:spacing w:before="0" w:after="120"/>
      </w:pPr>
      <w:r>
        <w:rPr>
          <w:b/>
        </w:rPr>
        <w:t xml:space="preserve">Source: </w:t>
      </w:r>
      <w:r>
        <w:t>Wiley: Angewandte Chemie International Edition: Table of Contents</w:t>
      </w:r>
      <w:r>
        <w:t xml:space="preserve">    </w:t>
      </w:r>
      <w:r>
        <w:rPr>
          <w:b/>
        </w:rPr>
        <w:t xml:space="preserve">Pub date: </w:t>
      </w:r>
      <w:r>
        <w:t>2026-06-03 11:58:33+00:00</w:t>
      </w:r>
      <w:r>
        <w:t xml:space="preserve">    </w:t>
      </w:r>
      <w:r>
        <w:rPr>
          <w:b/>
        </w:rPr>
        <w:t xml:space="preserve">DOI: </w:t>
      </w:r>
      <w:hyperlink r:id="rId31">
        <w:r>
          <w:rPr>
            <w:color w:val="1155CC"/>
            <w:u w:val="single"/>
          </w:rPr>
          <w:t>10.1002/anie.6746000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增材工程已广泛用于调节有机太阳能电池（OSC）的形貌和光伏行为，而由此产生的电荷转移（CT）激子离域的增加往往伴随着增材加工共混薄膜的CT态能量降低，这会损害光电压并限制光伏效率的进一步提高。在这里，我们实现了光电压损失的减轻（</w:t>
      </w:r>
      <w:r>
        <w:t xml:space="preserve"> </w:t>
      </w:r>
      <w:r>
        <w:t>V</w:t>
      </w:r>
      <w:r>
        <w:t xml:space="preserve"> </w:t>
      </w:r>
      <w:r>
        <w:t>损失</w:t>
      </w:r>
      <w:r>
        <w:t xml:space="preserve"> </w:t>
      </w:r>
      <w:r>
        <w:t>）超过 30 meV，同时在经过添加剂处理后，一系列具有 A-D-A'-D-A 型受体的 OSC 仍保持高电荷产生/传输效率。结合实验和分子动力学模拟分析表明，添加剂处理主要通过增加介电常数来抑制电压损失（</w:t>
      </w:r>
      <w:r>
        <w:t xml:space="preserve"> </w:t>
      </w:r>
      <w:r>
        <w:t>ε</w:t>
      </w:r>
      <w:r>
        <w:t xml:space="preserve"> </w:t>
      </w:r>
      <w:r>
        <w:t>r</w:t>
      </w:r>
      <w:r>
        <w:t xml:space="preserve"> </w:t>
      </w:r>
      <w:r>
        <w:t>）在CT状态下减少能量紊乱。这些变化有助于抑制反电荷从电荷分离状态转移到 CT 状态，从而减少非辐射复合（Δ</w:t>
      </w:r>
      <w:r>
        <w:t xml:space="preserve"> </w:t>
      </w:r>
      <w:r>
        <w:t>V</w:t>
      </w:r>
      <w:r>
        <w:t xml:space="preserve"> </w:t>
      </w:r>
      <w:r>
        <w:t>非拉德</w:t>
      </w:r>
      <w:r>
        <w:t xml:space="preserve"> </w:t>
      </w:r>
      <w:r>
        <w:t>）并提高器件开路电压。我们进一步建立了一个通用的</w:t>
      </w:r>
      <w:r>
        <w:t xml:space="preserve"> </w:t>
      </w:r>
      <w:r>
        <w:t>ε</w:t>
      </w:r>
      <w:r>
        <w:t xml:space="preserve"> </w:t>
      </w:r>
      <w:r>
        <w:t>r</w:t>
      </w:r>
      <w:r>
        <w:t xml:space="preserve"> </w:t>
      </w:r>
      <w:r>
        <w:t>电压损失的依赖关系，表明光电压的增加和 Δ 的减少</w:t>
      </w:r>
      <w:r>
        <w:t xml:space="preserve"> </w:t>
      </w:r>
      <w:r>
        <w:t>V</w:t>
      </w:r>
      <w:r>
        <w:t xml:space="preserve"> </w:t>
      </w:r>
      <w:r>
        <w:t>非拉德</w:t>
      </w:r>
      <w:r>
        <w:t xml:space="preserve"> </w:t>
      </w:r>
      <w:r>
        <w:t>随着共混物介电常数的增加呈线性变化。这些鳍</w:t>
      </w:r>
    </w:p>
    <w:p>
      <w:pPr>
        <w:spacing w:before="0" w:after="200" w:lineRule="auto" w:line="276"/>
      </w:pPr>
      <w:r>
        <w:rPr>
          <w:b/>
        </w:rPr>
        <w:t xml:space="preserve">Abstract (EN): </w:t>
      </w:r>
      <w:r>
        <w:t>Additive engineering has become widely adopted for tuning morphology and photovoltaic behaviors of organic solar cells (OSCs), while the resultant increase in delocalization of charge transfer (CT) excitons is often accompanied by a reduced CT‐state energy of additive‐processed blend films, which impairs photovoltage and restrains further improvements of photovoltaic efficiencies. Here, we achieve mitigation of photovoltage loss (</w:t>
      </w:r>
      <w:r>
        <w:t xml:space="preserve"> </w:t>
      </w:r>
      <w:r>
        <w:t>V</w:t>
      </w:r>
      <w:r>
        <w:t xml:space="preserve"> </w:t>
      </w:r>
      <w:r>
        <w:t>loss</w:t>
      </w:r>
      <w:r>
        <w:t xml:space="preserve"> </w:t>
      </w:r>
      <w:r>
        <w:t>) over 30 meV while remaining high charge generation/transport efficiencies in a range of OSCs with A‐D‐A’‐D‐A type acceptors after additive treatment. Combined experimental and molecular dynamics simulation analyses reveal that additive treatments suppress voltage loss primarily by increasing the dielectric constant (</w:t>
      </w:r>
      <w:r>
        <w:t xml:space="preserve"> </w:t>
      </w:r>
      <w:r>
        <w:t>ε</w:t>
      </w:r>
      <w:r>
        <w:t xml:space="preserve"> </w:t>
      </w:r>
      <w:r>
        <w:t>r</w:t>
      </w:r>
      <w:r>
        <w:t xml:space="preserve"> </w:t>
      </w:r>
      <w:r>
        <w:t>) in the CT state and reducing energetic disorder. These changes help inhibit back charge transfer from charge‐separated states to CT states, thereby decreasing non‐radiative recombination (Δ</w:t>
      </w:r>
      <w:r>
        <w:t xml:space="preserve"> </w:t>
      </w:r>
      <w:r>
        <w:t>V</w:t>
      </w:r>
      <w:r>
        <w:t xml:space="preserve"> </w:t>
      </w:r>
      <w:r>
        <w:t>non‐rad</w:t>
      </w:r>
      <w:r>
        <w:t xml:space="preserve"> </w:t>
      </w:r>
      <w:r>
        <w:t>) and improving device open‐circuit voltage. We further establish a universal</w:t>
      </w:r>
      <w:r>
        <w:t xml:space="preserve"> </w:t>
      </w:r>
      <w:r>
        <w:t>ε</w:t>
      </w:r>
      <w:r>
        <w:t xml:space="preserve"> </w:t>
      </w:r>
      <w:r>
        <w:t>r</w:t>
      </w:r>
      <w:r>
        <w:t xml:space="preserve"> </w:t>
      </w:r>
      <w:r>
        <w:t>‐dependent relationship for voltage loss, showing that both the increase in photovoltage and the reduction in Δ</w:t>
      </w:r>
      <w:r>
        <w:t xml:space="preserve"> </w:t>
      </w:r>
      <w:r>
        <w:t>V</w:t>
      </w:r>
      <w:r>
        <w:t xml:space="preserve"> </w:t>
      </w:r>
      <w:r>
        <w:t>non‐rad</w:t>
      </w:r>
      <w:r>
        <w:t xml:space="preserve"> </w:t>
      </w:r>
      <w:r>
        <w:t>scale linearly with the enhancement of the blend dielectric constant. These findings deepen our insights into the voltage loss in organic solar cells, paving a way for surpassing the current photovoltage limits toward higher‐performance devices.</w:t>
      </w:r>
    </w:p>
    <w:p>
      <w:pPr>
        <w:spacing w:before="120" w:after="120"/>
      </w:pPr>
      <w:r>
        <w:rPr>
          <w:sz w:val="18"/>
        </w:rPr>
        <w:t>——————————————————————————————————————————————————————————————————————</w:t>
      </w:r>
    </w:p>
    <w:p>
      <w:pPr>
        <w:spacing w:before="160" w:after="40" w:line="240" w:lineRule="auto"/>
      </w:pPr>
      <w:r>
        <w:rPr>
          <w:b/>
        </w:rPr>
        <w:t xml:space="preserve">[16] </w:t>
      </w:r>
      <w:hyperlink r:id="rId32">
        <w:r>
          <w:rPr>
            <w:color w:val="1155CC"/>
            <w:u w:val="single"/>
          </w:rPr>
          <w:t>通过三碱阳离子中间层解耦高性能钙钛矿太阳能电池的整体均质化和界面重建</w:t>
        </w:r>
      </w:hyperlink>
    </w:p>
    <w:p>
      <w:pPr>
        <w:spacing w:before="0" w:after="80"/>
      </w:pPr>
      <w:r>
        <w:rPr>
          <w:i/>
          <w:sz w:val="20"/>
        </w:rPr>
        <w:t>EN: Decoupling Bulk Homogenization and Interfacial Reconstruction via a Triple‐Alkali‐Cation Interlayer for High‐Performance Perovskite Solar Cells</w:t>
      </w:r>
    </w:p>
    <w:p>
      <w:pPr>
        <w:spacing w:before="0" w:after="120"/>
      </w:pPr>
      <w:r>
        <w:rPr>
          <w:b/>
        </w:rPr>
        <w:t xml:space="preserve">Source: </w:t>
      </w:r>
      <w:r>
        <w:t>Wiley: Advanced Materials: Table of Contents</w:t>
      </w:r>
      <w:r>
        <w:t xml:space="preserve">    </w:t>
      </w:r>
      <w:r>
        <w:rPr>
          <w:b/>
        </w:rPr>
        <w:t xml:space="preserve">Pub date: </w:t>
      </w:r>
      <w:r>
        <w:t>2026-06-04 07:34:32+00:00</w:t>
      </w:r>
      <w:r>
        <w:t xml:space="preserve">    </w:t>
      </w:r>
      <w:r>
        <w:rPr>
          <w:b/>
        </w:rPr>
        <w:t xml:space="preserve">DOI: </w:t>
      </w:r>
      <w:hyperlink r:id="rId33">
        <w:r>
          <w:rPr>
            <w:color w:val="1155CC"/>
            <w:u w:val="single"/>
          </w:rPr>
          <w:t>10.1002/adma.73535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精确控制阳离子分布对于高性能钙钛矿太阳能电池（PSC）至关重要。传统的体掺杂通常会导致垂直偏析和晶格应变，而表面钝化不能确保体均匀性。我们在钙钛矿薄膜结晶之前引入了沉积在电子传输层上的三碱中间层（LiOH/KCl/CsI）。这种设计在空间上将结晶调节与成分调节解耦，即局部Li</w:t>
      </w:r>
      <w:r>
        <w:t xml:space="preserve"> </w:t>
      </w:r>
      <w:r>
        <w:t>+</w:t>
      </w:r>
      <w:r>
        <w:t xml:space="preserve"> </w:t>
      </w:r>
      <w:r>
        <w:t>和K</w:t>
      </w:r>
      <w:r>
        <w:t xml:space="preserve"> </w:t>
      </w:r>
      <w:r>
        <w:t>+</w:t>
      </w:r>
      <w:r>
        <w:t xml:space="preserve"> </w:t>
      </w:r>
      <w:r>
        <w:t>离子重建掩埋接触并钝化缺陷和界面 Cs</w:t>
      </w:r>
      <w:r>
        <w:t xml:space="preserve"> </w:t>
      </w:r>
      <w:r>
        <w:t>+</w:t>
      </w:r>
      <w:r>
        <w:t xml:space="preserve"> </w:t>
      </w:r>
      <w:r>
        <w:t>充当原位向上扩散的动力源。这种自下而上的机制有利于无应力结晶，从而形成致密、优先取向的钙钛矿薄膜，具有无空隙的埋入界面和优异的成分均匀性。因此，最终的冠军 n-i-p PSC 实现了 26.13% 的卓越功率转换效率、1.184 V 的高开路电压和 83.81% 的填充因子。此外，该器件表现出强大的耐用性，在 65°C 下连续 1-sun 照射 1440 小时后仍保持 93.7%。这项工作为管理阳离子动力学以实现高效稳定的钙钛矿光伏电池提供了一条有前途的途径。</w:t>
      </w:r>
    </w:p>
    <w:p>
      <w:pPr>
        <w:spacing w:before="0" w:after="200" w:lineRule="auto" w:line="276"/>
      </w:pPr>
      <w:r>
        <w:rPr>
          <w:b/>
        </w:rPr>
        <w:t xml:space="preserve">Abstract (EN): </w:t>
      </w:r>
      <w:r>
        <w:t>Precise control over cation distribution is critical for high‐performance perovskite solar cells (PSCs). Conventional bulk doping often leads to vertical segregation and lattice strain, while surface passivation dose not ensure bulk homogeneity. We introduce a triple‐alkali interlayer (LiOH/KCl/CsI) deposited on the electron transport layer prior to crystallization of the perovskite film. This design spatially decouples crystallization regulation from compositional modulation, i.e., localized Li</w:t>
      </w:r>
      <w:r>
        <w:t xml:space="preserve"> </w:t>
      </w:r>
      <w:r>
        <w:t>+</w:t>
      </w:r>
      <w:r>
        <w:t xml:space="preserve"> </w:t>
      </w:r>
      <w:r>
        <w:t>and K</w:t>
      </w:r>
      <w:r>
        <w:t xml:space="preserve"> </w:t>
      </w:r>
      <w:r>
        <w:t>+</w:t>
      </w:r>
      <w:r>
        <w:t xml:space="preserve"> </w:t>
      </w:r>
      <w:r>
        <w:t>ions reconstruct the buried contact and passivate defects and interfacial Cs</w:t>
      </w:r>
      <w:r>
        <w:t xml:space="preserve"> </w:t>
      </w:r>
      <w:r>
        <w:t>+</w:t>
      </w:r>
      <w:r>
        <w:t xml:space="preserve"> </w:t>
      </w:r>
      <w:r>
        <w:t>acts as a dynamic source for in situ upward diffusion. This bottom‐up mechanism facilitates stress‐free crystallization, resulting in a dense, preferentially oriented perovskite film with a void‐free buried interface and superior compositional homogeneity. Consequently, the resulting champion n‐i‐p PSC achieves a remarkable power conversion efficiency of 26.13%, with a high open‐circuit voltage of 1.184 V and a fill factor of 83.81%. Furthermore, the devices demonstrate robust durability maintaining 93.7% after 1440 h of continuous 1‐sun irradiation at 65°C. This work provides a promising pathway for managing cation dynamics to realize efficient and stable perovskite photovoltaics.</w:t>
      </w:r>
    </w:p>
    <w:p>
      <w:pPr>
        <w:spacing w:before="120" w:after="120"/>
      </w:pPr>
      <w:r>
        <w:rPr>
          <w:sz w:val="18"/>
        </w:rPr>
        <w:t>——————————————————————————————————————————————————————————————————————</w:t>
      </w:r>
    </w:p>
    <w:p>
      <w:pPr>
        <w:spacing w:before="160" w:after="40" w:line="240" w:lineRule="auto"/>
      </w:pPr>
      <w:r>
        <w:rPr>
          <w:b/>
        </w:rPr>
        <w:t xml:space="preserve">[17] </w:t>
      </w:r>
      <w:hyperlink r:id="rId34">
        <w:r>
          <w:rPr>
            <w:color w:val="1155CC"/>
            <w:u w:val="single"/>
          </w:rPr>
          <w:t>具有四个五边形-八边形对的非苯环纳米石墨烯马鞍</w:t>
        </w:r>
      </w:hyperlink>
    </w:p>
    <w:p>
      <w:pPr>
        <w:spacing w:before="0" w:after="80"/>
      </w:pPr>
      <w:r>
        <w:rPr>
          <w:i/>
          <w:sz w:val="20"/>
        </w:rPr>
        <w:t>EN: A Nonbenzenoid Nanographene Horse Saddle With Four Pentagon–Octagon Pairs</w:t>
      </w:r>
    </w:p>
    <w:p>
      <w:pPr>
        <w:spacing w:before="0" w:after="120"/>
      </w:pPr>
      <w:r>
        <w:rPr>
          <w:b/>
        </w:rPr>
        <w:t xml:space="preserve">Source: </w:t>
      </w:r>
      <w:r>
        <w:t>Wiley: Angewandte Chemie International Edition: Table of Contents</w:t>
      </w:r>
      <w:r>
        <w:t xml:space="preserve">    </w:t>
      </w:r>
      <w:r>
        <w:rPr>
          <w:b/>
        </w:rPr>
        <w:t xml:space="preserve">Pub date: </w:t>
      </w:r>
      <w:r>
        <w:t>2026-06-04 16:22:36+00:00</w:t>
      </w:r>
      <w:r>
        <w:t xml:space="preserve">    </w:t>
      </w:r>
      <w:r>
        <w:rPr>
          <w:b/>
        </w:rPr>
        <w:t xml:space="preserve">DOI: </w:t>
      </w:r>
      <w:hyperlink r:id="rId35">
        <w:r>
          <w:rPr>
            <w:color w:val="1155CC"/>
            <w:u w:val="single"/>
          </w:rPr>
          <w:t>10.1002/anie.2412282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非六角环纳入纳米石墨烯（NG）将显着改变其几何形状和电子结构，从而释放新的应用潜力。然而，由于相关的高应变和设计策略的限制，将连续的五边形-八边形精确集成到NG中仍然具有综合挑战性。在此，我们报告了一种前所未有的马鞍非苯类NG（</w:t>
      </w:r>
      <w:r>
        <w:t xml:space="preserve"> </w:t>
      </w:r>
      <w:r>
        <w:t>HN1</w:t>
      </w:r>
      <w:r>
        <w:t xml:space="preserve"> </w:t>
      </w:r>
      <w:r>
        <w:t>）嵌入四对五边形-八边形单元。合成通过两个关键步骤进行：3-溴苊-1(2</w:t>
      </w:r>
      <w:r>
        <w:t xml:space="preserve"> </w:t>
      </w:r>
      <w:r>
        <w:t>H</w:t>
      </w:r>
      <w:r>
        <w:t xml:space="preserve"> </w:t>
      </w:r>
      <w:r>
        <w:t>)-1，然后与丁二炔衍生物进行三重 Pd 催化环化。单晶 X 射线衍射证实</w:t>
      </w:r>
      <w:r>
        <w:t xml:space="preserve"> </w:t>
      </w:r>
      <w:r>
        <w:t>HN1</w:t>
      </w:r>
      <w:r>
        <w:t xml:space="preserve"> </w:t>
      </w:r>
      <w:r>
        <w:t>采用由四个相邻八边形引起的独特马鞍几何形状。 NG 的稠合五边形-八边形对赋予构型稳定性、高溶解度、多种可逆氧化还原行为以及核心结构产生的独特反芳香特征。值得注意的是，纳入</w:t>
      </w:r>
      <w:r>
        <w:t xml:space="preserve"> </w:t>
      </w:r>
      <w:r>
        <w:t>HN1</w:t>
      </w:r>
      <w:r>
        <w:t xml:space="preserve"> </w:t>
      </w:r>
      <w:r>
        <w:t>作为钙钛矿活性层中的添加剂，钙钛矿太阳能电池的功率转换效率（PCE）从20.60％显着提高到22.61％。这项工作不仅为具有连续非六边形图案的负弯曲NGs提供了一种合成方法，而且还探索了它们在新兴光电器件中的有前途的应用。</w:t>
      </w:r>
    </w:p>
    <w:p>
      <w:pPr>
        <w:spacing w:before="0" w:after="200" w:lineRule="auto" w:line="276"/>
      </w:pPr>
      <w:r>
        <w:rPr>
          <w:b/>
        </w:rPr>
        <w:t xml:space="preserve">Abstract (EN): </w:t>
      </w:r>
      <w:r>
        <w:t>The incorporation of non‐hexagonal rings into nanographenes (NGs) would significantly alter their geometry and electronic structures, unlocking new application potential. However, the precise integration of consecutive pentagon–octagon into NGs remains synthetically challenging due to the associated high strain and the limitation in design strategy. Herein, we report an unprecedented horse‐saddle non‐benzenoid NG (</w:t>
      </w:r>
      <w:r>
        <w:t xml:space="preserve"> </w:t>
      </w:r>
      <w:r>
        <w:t>HN1</w:t>
      </w:r>
      <w:r>
        <w:t xml:space="preserve"> </w:t>
      </w:r>
      <w:r>
        <w:t>) embedding four pairs of pentagon–octagon units. The synthesis proceeds through two key steps: a tetramerization of 3‐bromoacenaphthylen‐1(2</w:t>
      </w:r>
      <w:r>
        <w:t xml:space="preserve"> </w:t>
      </w:r>
      <w:r>
        <w:t>H</w:t>
      </w:r>
      <w:r>
        <w:t xml:space="preserve"> </w:t>
      </w:r>
      <w:r>
        <w:t>)‐one, followed by a three‐fold Pd‐catalyzed annulation with a diacetylene derivative. Single‐crystal X‐ray diffraction confirms that</w:t>
      </w:r>
      <w:r>
        <w:t xml:space="preserve"> </w:t>
      </w:r>
      <w:r>
        <w:t>HN1</w:t>
      </w:r>
      <w:r>
        <w:t xml:space="preserve"> </w:t>
      </w:r>
      <w:r>
        <w:t>adopts a unique horse‐saddle geometry induced by the four adjacent octagons. The fused pentagon–octagon pairs of NG impart configurational stability, high solubility, multiple reversible redox behavior, and a distinct antiaromatic character arising from the core structure. Notably, the incorporation of</w:t>
      </w:r>
      <w:r>
        <w:t xml:space="preserve"> </w:t>
      </w:r>
      <w:r>
        <w:t>HN1</w:t>
      </w:r>
      <w:r>
        <w:t xml:space="preserve"> </w:t>
      </w:r>
      <w:r>
        <w:t>as an additive in the perovskite active layer significantly enhanced the power conversion efficiency (PCE) of perovskite solar cells from 20.60% to 22.61%. This work not only provides a synthetic approach to negatively curved NGs with contiguous nonhexagonal motifs but also explores their promising application in emerging optoelectronic devices.</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36">
        <w:r>
          <w:rPr>
            <w:color w:val="1155CC"/>
            <w:u w:val="single"/>
          </w:rPr>
          <w:t>通过堆叠冲压法高通量生产微电池</w:t>
        </w:r>
      </w:hyperlink>
    </w:p>
    <w:p>
      <w:pPr>
        <w:spacing w:before="0" w:after="80"/>
      </w:pPr>
      <w:r>
        <w:rPr>
          <w:i/>
          <w:sz w:val="20"/>
        </w:rPr>
        <w:t>EN: High-throughput production of microbatteries by a stack-punching method</w:t>
      </w:r>
    </w:p>
    <w:p>
      <w:pPr>
        <w:spacing w:before="0" w:after="120"/>
      </w:pPr>
      <w:r>
        <w:rPr>
          <w:b/>
        </w:rPr>
        <w:t xml:space="preserve">Source: </w:t>
      </w:r>
      <w:r>
        <w:t>Nature Communications</w:t>
      </w:r>
      <w:r>
        <w:t xml:space="preserve">    </w:t>
      </w:r>
      <w:r>
        <w:rPr>
          <w:b/>
        </w:rPr>
        <w:t xml:space="preserve">Pub date: </w:t>
      </w:r>
      <w:r>
        <w:t>2026-05-30 00:00:00+00:00</w:t>
      </w:r>
      <w:r>
        <w:t xml:space="preserve">    </w:t>
      </w:r>
      <w:r>
        <w:rPr>
          <w:b/>
        </w:rPr>
        <w:t xml:space="preserve">DOI: </w:t>
      </w:r>
      <w:hyperlink r:id="rId37">
        <w:r>
          <w:rPr>
            <w:color w:val="1155CC"/>
            <w:u w:val="single"/>
          </w:rPr>
          <w:t>10.1038/s41467-026-73912-5</w:t>
        </w:r>
      </w:hyperlink>
    </w:p>
    <w:p>
      <w:pPr>
        <w:spacing w:before="0" w:after="120"/>
      </w:pPr>
      <w:r>
        <w:rPr>
          <w:b/>
        </w:rPr>
        <w:t xml:space="preserve">Notes: </w:t>
      </w:r>
      <w:r>
        <w:t>abstract_source=nature_html</w:t>
      </w:r>
    </w:p>
    <w:p>
      <w:pPr>
        <w:spacing w:before="0" w:after="80" w:lineRule="auto" w:line="276"/>
      </w:pPr>
      <w:r>
        <w:rPr>
          <w:b/>
        </w:rPr>
        <w:t xml:space="preserve">摘要（ZH）: </w:t>
      </w:r>
      <w:r>
        <w:t>微电池是集成电路、可穿戴电子产品、植入式医疗设备和微型机器人的关键电源。然而，它们的实际应用受到传统自下而上组装方法的限制，该方法存在生产效率低、均匀性差和电化学性能差的问题。在这里，我们报告了一种用于高通量生产微电池的自上而下的堆叠打孔方法。通过将最初的无阳极设计与互穿的正极|电解质融合层相集成，我们构建了坚固的电极|电解质界面，以承受高速冲压工艺引起的机械应力，生产率高达每小时 1800 件。由此产生的微电池在物理尺寸和电化学性能方面都高度均匀，最大体积能量密度达到1306 mWh cm−3，在最先进的微电池技术中具有很强的竞争力。作为概念验证，这些微电池与微型传感器集成，用于持续健康监测，并安装在蚂蚁和蜜蜂身上，有可能开发用于生态和地质数据收集的生物混合微系统。总体而言，我们的堆叠打孔方法为大规模制造高性能微电池提供了一种有前景的工具，有助于将其转化为下一代电子设备和系统。</w:t>
      </w:r>
    </w:p>
    <w:p>
      <w:pPr>
        <w:spacing w:before="0" w:after="200" w:lineRule="auto" w:line="276"/>
      </w:pPr>
      <w:r>
        <w:rPr>
          <w:b/>
        </w:rPr>
        <w:t xml:space="preserve">Abstract (EN): </w:t>
      </w:r>
      <w:r>
        <w:t>Microbatteries are critical power sources for integrated circuits, wearable electronics, implantable medical devices, and microrobots. However, their practical applications have been limited by conventional bottom-up assembly methods, which suffer from low production efficiency, poor uniformity, and inferior electrochemical performance. Here we report a top-down stack-punching approach for high-throughput production of microbatteries. Through the integration of an initially anode-free design with an interpenetrating positive electrode|electrolyte fusion layer, we construct robust electrode|electrolyte interfaces to withstand the mechanical stress induced by the high-speed punching process, with a high production rate of 1800 units per hour. The resulting microbatteries are highly uniform in both physical dimensions and electrochemical performance, achieving a maximum volumetric energy density of 1306 mWh cm−3, highly competitive among state-of-the-art microbattery technologies. As a proof-of-concept, these microbatteries are integrated with miniature sensors for continuous health monitoring and mounted onto ants and bees to potentially develop biohybrid microsystems for ecological and geological data collection. Overall, our stack-punching approach offers a promising tool for the large-scale manufacture of high-performance microbatteries, facilitating their translation into next-generation electronic devices and systems.</w:t>
      </w:r>
    </w:p>
    <w:p>
      <w:pPr>
        <w:spacing w:before="120" w:after="120"/>
      </w:pPr>
      <w:r>
        <w:rPr>
          <w:sz w:val="18"/>
        </w:rPr>
        <w:t>——————————————————————————————————————————————————————————————————————</w:t>
      </w:r>
    </w:p>
    <w:p>
      <w:pPr>
        <w:spacing w:before="160" w:after="40" w:line="240" w:lineRule="auto"/>
      </w:pPr>
      <w:r>
        <w:rPr>
          <w:b/>
        </w:rPr>
        <w:t xml:space="preserve">[2] </w:t>
      </w:r>
      <w:hyperlink r:id="rId38">
        <w:r>
          <w:rPr>
            <w:color w:val="1155CC"/>
            <w:u w:val="single"/>
          </w:rPr>
          <w:t>利用高压二氧化碳进行硫化物基全固态锂金属电池的分子尺度界面工程</w:t>
        </w:r>
      </w:hyperlink>
    </w:p>
    <w:p>
      <w:pPr>
        <w:spacing w:before="0" w:after="80"/>
      </w:pPr>
      <w:r>
        <w:rPr>
          <w:i/>
          <w:sz w:val="20"/>
        </w:rPr>
        <w:t>EN: Harnessing High‐Pressure CO2 for Molecular‐Scale Interfacial Engineering in Sulfide‐Based All‑Solid‑State Lithium Metal Batteries</w:t>
      </w:r>
    </w:p>
    <w:p>
      <w:pPr>
        <w:spacing w:before="0" w:after="120"/>
      </w:pPr>
      <w:r>
        <w:rPr>
          <w:b/>
        </w:rPr>
        <w:t xml:space="preserve">Source: </w:t>
      </w:r>
      <w:r>
        <w:t>Wiley: Advanced Materials: Table of Contents</w:t>
      </w:r>
      <w:r>
        <w:t xml:space="preserve">    </w:t>
      </w:r>
      <w:r>
        <w:rPr>
          <w:b/>
        </w:rPr>
        <w:t xml:space="preserve">Pub date: </w:t>
      </w:r>
      <w:r>
        <w:t>2026-05-30 04:35:35+00:00</w:t>
      </w:r>
      <w:r>
        <w:t xml:space="preserve">    </w:t>
      </w:r>
      <w:r>
        <w:rPr>
          <w:b/>
        </w:rPr>
        <w:t xml:space="preserve">DOI: </w:t>
      </w:r>
      <w:hyperlink r:id="rId39">
        <w:r>
          <w:rPr>
            <w:color w:val="1155CC"/>
            <w:u w:val="single"/>
          </w:rPr>
          <w:t>10.1002/adma.73554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空经济的快速扩张加剧了对具有卓越倍率能力的储能的需求。硫化物电解质具有高室温离子电导率和可加工性，对于下一代全固态电池（ASSB）至关重要，但其界面不稳定性和由此产生的低临界电流密度严重阻碍了高倍率性能。在这里，我们提出了一种使用高压 CO 的分子水平界面构建策略</w:t>
      </w:r>
      <w:r>
        <w:rPr>
          <w:vertAlign w:val="subscript"/>
        </w:rPr>
        <w:t>2</w:t>
      </w:r>
      <w:r>
        <w:t>现场设计Li</w:t>
      </w:r>
      <w:r>
        <w:rPr>
          <w:vertAlign w:val="subscript"/>
        </w:rPr>
        <w:t>6</w:t>
      </w:r>
      <w:r>
        <w:t>聚苯乙烯</w:t>
      </w:r>
      <w:r>
        <w:rPr>
          <w:vertAlign w:val="subscript"/>
        </w:rPr>
        <w:t>5</w:t>
      </w:r>
      <w:r>
        <w:t>Cl (LPSC) 表面。通过浓 CO 的精确调节</w:t>
      </w:r>
      <w:r>
        <w:rPr>
          <w:vertAlign w:val="subscript"/>
        </w:rPr>
        <w:t>2</w:t>
      </w:r>
      <w:r>
        <w:t>分子，纳米级的锂</w:t>
      </w:r>
      <w:r>
        <w:rPr>
          <w:vertAlign w:val="subscript"/>
        </w:rPr>
        <w:t>2</w:t>
      </w:r>
      <w:r>
        <w:t>一氧化碳</w:t>
      </w:r>
      <w:r>
        <w:rPr>
          <w:vertAlign w:val="subscript"/>
        </w:rPr>
        <w:t>3</w:t>
      </w:r>
      <w:r>
        <w:t>‐构建了具有高杨氏模量和优异抗氧化性的富层。这种设计的界面有效地抑制了寄生反应，增强了机械完整性，并使锂离子通量均匀化。因此，改进的 LPSC 表现出出色的枝晶抑制能力，实现了 7.76 mA cm 的临界电流密度</w:t>
      </w:r>
      <w:r>
        <w:t xml:space="preserve"> </w:t>
      </w:r>
      <w:r>
        <w:t>−2</w:t>
      </w:r>
      <w:r>
        <w:t xml:space="preserve"> </w:t>
      </w:r>
      <w:r>
        <w:t>，并可在 5 mA cm 下实现 920 小时内稳定的锂沉积和剥离</w:t>
      </w:r>
      <w:r>
        <w:t xml:space="preserve"> </w:t>
      </w:r>
      <w:r>
        <w:t>−2</w:t>
      </w:r>
      <w:r>
        <w:t xml:space="preserve"> </w:t>
      </w:r>
      <w:r>
        <w:t>在对称细胞中。此外，全电池与高压 LiNi 配对</w:t>
      </w:r>
      <w:r>
        <w:t xml:space="preserve"> </w:t>
      </w:r>
      <w:r>
        <w:t>0.8</w:t>
      </w:r>
      <w:r>
        <w:t xml:space="preserve"> </w:t>
      </w:r>
      <w:r>
        <w:t>钴</w:t>
      </w:r>
      <w:r>
        <w:t xml:space="preserve"> </w:t>
      </w:r>
      <w:r>
        <w:t>0.1</w:t>
      </w:r>
      <w:r>
        <w:t xml:space="preserve"> </w:t>
      </w:r>
      <w:r>
        <w:t>锰</w:t>
      </w:r>
    </w:p>
    <w:p>
      <w:pPr>
        <w:spacing w:before="0" w:after="200" w:lineRule="auto" w:line="276"/>
      </w:pPr>
      <w:r>
        <w:rPr>
          <w:b/>
        </w:rPr>
        <w:t xml:space="preserve">Abstract (EN): </w:t>
      </w:r>
      <w:r>
        <w:t>The rapid expansion of the low‐altitude economy has intensified the demand for energy storage with exceptional rate capability. Sulfide electrolytes, with high room‐temperature ionic conductivity and processability, are pivotal for next‐generation all‐solid‐state batteries (ASSBs), but their interfacial instability and the resulting low critical current density severely hinder high‐rate performance. Here, we propose a molecular‐level interfacial construction strategy using high‐pressure CO</w:t>
      </w:r>
      <w:r>
        <w:rPr>
          <w:vertAlign w:val="subscript"/>
        </w:rPr>
        <w:t>2</w:t>
      </w:r>
      <w:r>
        <w:t>to in situ engineer the Li</w:t>
      </w:r>
      <w:r>
        <w:rPr>
          <w:vertAlign w:val="subscript"/>
        </w:rPr>
        <w:t>6</w:t>
      </w:r>
      <w:r>
        <w:t>PS</w:t>
      </w:r>
      <w:r>
        <w:rPr>
          <w:vertAlign w:val="subscript"/>
        </w:rPr>
        <w:t>5</w:t>
      </w:r>
      <w:r>
        <w:t>Cl (LPSC) surface. Through precise regulation with concentrated CO</w:t>
      </w:r>
      <w:r>
        <w:rPr>
          <w:vertAlign w:val="subscript"/>
        </w:rPr>
        <w:t>2</w:t>
      </w:r>
      <w:r>
        <w:t>molecules, a nanoscale Li</w:t>
      </w:r>
      <w:r>
        <w:rPr>
          <w:vertAlign w:val="subscript"/>
        </w:rPr>
        <w:t>2</w:t>
      </w:r>
      <w:r>
        <w:t>CO</w:t>
      </w:r>
      <w:r>
        <w:rPr>
          <w:vertAlign w:val="subscript"/>
        </w:rPr>
        <w:t>3</w:t>
      </w:r>
      <w:r>
        <w:t>‐rich layer with high Young's modulus and superior oxidant‑resistance is constructed. This designed interphase effectively suppresses parasitic reactions, enhances mechanical integrity, and homogenizes Li‐ion flux. Consequently, the modified LPSC exhibits exceptional dendrite‐suppression capability, achieving a critical current density of 7.76 mA cm</w:t>
      </w:r>
      <w:r>
        <w:t xml:space="preserve"> </w:t>
      </w:r>
      <w:r>
        <w:t>−2</w:t>
      </w:r>
      <w:r>
        <w:t xml:space="preserve"> </w:t>
      </w:r>
      <w:r>
        <w:t>, and enables stable Li plating and stripping over 920 h at 5 mA cm</w:t>
      </w:r>
      <w:r>
        <w:t xml:space="preserve"> </w:t>
      </w:r>
      <w:r>
        <w:t>−2</w:t>
      </w:r>
      <w:r>
        <w:t xml:space="preserve"> </w:t>
      </w:r>
      <w:r>
        <w:t>in symmetric cells. Furthermore, full cells paired with a high‐voltage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cathode demonstrated outstanding rate capability at 5C with a power density of 3160 W kg</w:t>
      </w:r>
      <w:r>
        <w:t xml:space="preserve"> </w:t>
      </w:r>
      <w:r>
        <w:t>−1</w:t>
      </w:r>
      <w:r>
        <w:t xml:space="preserve"> </w:t>
      </w:r>
      <w:r>
        <w:t>and maintained stable cycling over 500 cycles at 0.5C. This work proposes a simple and effective molecular‐scale interface engineering method to overcome the power limitation problem of sulfide‐based ASSBs.</w:t>
      </w:r>
    </w:p>
    <w:p>
      <w:pPr>
        <w:spacing w:before="120" w:after="120"/>
      </w:pPr>
      <w:r>
        <w:rPr>
          <w:sz w:val="18"/>
        </w:rPr>
        <w:t>——————————————————————————————————————————————————————————————————————</w:t>
      </w:r>
    </w:p>
    <w:p>
      <w:pPr>
        <w:spacing w:before="160" w:after="40" w:line="240" w:lineRule="auto"/>
      </w:pPr>
      <w:r>
        <w:rPr>
          <w:b/>
        </w:rPr>
        <w:t xml:space="preserve">[3] </w:t>
      </w:r>
      <w:hyperlink r:id="rId40">
        <w:r>
          <w:rPr>
            <w:color w:val="1155CC"/>
            <w:u w:val="single"/>
          </w:rPr>
          <w:t>3D交联Fe-N4-GC协同增强多硫化物催化转化和抗锂枝晶性能，用于低N/P比的稳定锂硫电池</w:t>
        </w:r>
      </w:hyperlink>
    </w:p>
    <w:p>
      <w:pPr>
        <w:spacing w:before="0" w:after="80"/>
      </w:pPr>
      <w:r>
        <w:rPr>
          <w:i/>
          <w:sz w:val="20"/>
        </w:rPr>
        <w:t>EN: Synergistic Enhancement to Polysulfide Catalytic Conversion and Lithium Dendrite Resistant by 3D Cross‐Linked Fe‐N4‐GCs for Stable Lithium‐Sulfur Batteries of Low‐N/P‐Ratio</w:t>
      </w:r>
    </w:p>
    <w:p>
      <w:pPr>
        <w:spacing w:before="0" w:after="120"/>
      </w:pPr>
      <w:r>
        <w:rPr>
          <w:b/>
        </w:rPr>
        <w:t xml:space="preserve">Source: </w:t>
      </w:r>
      <w:r>
        <w:t>Wiley: Advanced Energy Materials: Table of Contents</w:t>
      </w:r>
      <w:r>
        <w:t xml:space="preserve">    </w:t>
      </w:r>
      <w:r>
        <w:rPr>
          <w:b/>
        </w:rPr>
        <w:t xml:space="preserve">Pub date: </w:t>
      </w:r>
      <w:r>
        <w:t>2026-05-30 11:31:47+00:00</w:t>
      </w:r>
      <w:r>
        <w:t xml:space="preserve">    </w:t>
      </w:r>
      <w:r>
        <w:rPr>
          <w:b/>
        </w:rPr>
        <w:t xml:space="preserve">DOI: </w:t>
      </w:r>
      <w:hyperlink r:id="rId41">
        <w:r>
          <w:rPr>
            <w:color w:val="1155CC"/>
            <w:u w:val="single"/>
          </w:rPr>
          <w:t>10.1002/aenm.71134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多硫化锂（LiPS）严重的穿梭效应和缓慢的反应动力学以及锂枝晶的生长仍然是锂硫电池（LSB）的关键问题。在此，原子分散的 Fe-N</w:t>
      </w:r>
      <w:r>
        <w:rPr>
          <w:vertAlign w:val="subscript"/>
        </w:rPr>
        <w:t>4</w:t>
      </w:r>
      <w:r>
        <w:t>锚定在 3D 交联 N 掺杂石墨烯类多孔碳纳米片（Fe-N</w:t>
      </w:r>
      <w:r>
        <w:rPr>
          <w:vertAlign w:val="subscript"/>
        </w:rPr>
        <w:t>4</w:t>
      </w:r>
      <w:r>
        <w:t>据报道，GCs）作为高效的 LiPSs 催化剂和高性能 LSB 的 Li 调节剂。作为硫主体，Fe-N</w:t>
      </w:r>
      <w:r>
        <w:rPr>
          <w:vertAlign w:val="subscript"/>
        </w:rPr>
        <w:t>4</w:t>
      </w:r>
      <w:r>
        <w:t>‐GCs提供丰富的吸附位点并有效催化LiPSs转化。作为隔膜涂层，它们形成均匀的Li</w:t>
      </w:r>
      <w:r>
        <w:t xml:space="preserve"> </w:t>
      </w:r>
      <w:r>
        <w:t>+</w:t>
      </w:r>
      <w:r>
        <w:t xml:space="preserve"> </w:t>
      </w:r>
      <w:r>
        <w:t>传输通道，促进快速离子扩散，并引导稳定的锂沉积/剥离以抑制枝晶生长。含 S/Fe-N</w:t>
      </w:r>
      <w:r>
        <w:rPr>
          <w:vertAlign w:val="subscript"/>
        </w:rPr>
        <w:t>4</w:t>
      </w:r>
      <w:r>
        <w:t>‐GCs 阴极（2.5 mg cm</w:t>
      </w:r>
      <w:r>
        <w:t xml:space="preserve"> </w:t>
      </w:r>
      <w:r>
        <w:t>−2</w:t>
      </w:r>
      <w:r>
        <w:t xml:space="preserve"> </w:t>
      </w:r>
      <w:r>
        <w:t>S) 和 Fe-N</w:t>
      </w:r>
      <w:r>
        <w:rPr>
          <w:vertAlign w:val="subscript"/>
        </w:rPr>
        <w:t>4</w:t>
      </w:r>
      <w:r>
        <w:t>‐GCs/PP 隔膜，LSB 提供 1045.6 mAh g 的高初始容量</w:t>
      </w:r>
      <w:r>
        <w:t xml:space="preserve"> </w:t>
      </w:r>
      <w:r>
        <w:t>−1</w:t>
      </w:r>
      <w:r>
        <w:t xml:space="preserve"> </w:t>
      </w:r>
      <w:r>
        <w:t>在 1.0 C 下，可稳定循环超过 1000 个循环，每个循环的衰减低至 0.023%。硫负载量高达 7.2 mg cm</w:t>
      </w:r>
      <w:r>
        <w:t xml:space="preserve"> </w:t>
      </w:r>
      <w:r>
        <w:t>−2</w:t>
      </w:r>
      <w:r>
        <w:t xml:space="preserve"> </w:t>
      </w:r>
      <w:r>
        <w:t>，面积容量为 6.6 mAh cm</w:t>
      </w:r>
      <w:r>
        <w:t xml:space="preserve"> </w:t>
      </w:r>
      <w:r>
        <w:t>−2</w:t>
      </w:r>
      <w:r>
        <w:t xml:space="preserve"> </w:t>
      </w:r>
      <w:r>
        <w:t>已实现。值得注意的是，使用 N/P 比为 1.3 的 Cu@Li 阳极（27 µm Li 层）的全电池保留了 1025.8 mAh g 的高容量</w:t>
      </w:r>
      <w:r>
        <w:t xml:space="preserve"> </w:t>
      </w:r>
      <w:r>
        <w:t>−1</w:t>
      </w:r>
      <w:r>
        <w:t xml:space="preserve"> </w:t>
      </w:r>
      <w:r>
        <w:t>在</w:t>
      </w:r>
    </w:p>
    <w:p>
      <w:pPr>
        <w:spacing w:before="0" w:after="200" w:lineRule="auto" w:line="276"/>
      </w:pPr>
      <w:r>
        <w:rPr>
          <w:b/>
        </w:rPr>
        <w:t xml:space="preserve">Abstract (EN): </w:t>
      </w:r>
      <w:r>
        <w:t>The severe shuttle effect and sluggish reaction kinetics of lithium polysulfides (LiPSs) as well as Li dendrite growth are still the key issues for lithium‐sulfur batteries (LSBs). Herein, atomically dispersed Fe‐N</w:t>
      </w:r>
      <w:r>
        <w:rPr>
          <w:vertAlign w:val="subscript"/>
        </w:rPr>
        <w:t>4</w:t>
      </w:r>
      <w:r>
        <w:t>moieties anchored on 3D cross‐linked N‐doped graphene‐like porous carbon nanosheets (Fe‐N</w:t>
      </w:r>
      <w:r>
        <w:rPr>
          <w:vertAlign w:val="subscript"/>
        </w:rPr>
        <w:t>4</w:t>
      </w:r>
      <w:r>
        <w:t>‐GCs) as efficient LiPSs catalyst and Li regulator for high‐performance LSBs is reported. Serving as sulfur host, Fe‐N</w:t>
      </w:r>
      <w:r>
        <w:rPr>
          <w:vertAlign w:val="subscript"/>
        </w:rPr>
        <w:t>4</w:t>
      </w:r>
      <w:r>
        <w:t>‐GCs provide abundant adsorption sites and effectively catalyze LiPSs conversion. As separator coating, they form uniform Li</w:t>
      </w:r>
      <w:r>
        <w:t xml:space="preserve"> </w:t>
      </w:r>
      <w:r>
        <w:t>+</w:t>
      </w:r>
      <w:r>
        <w:t xml:space="preserve"> </w:t>
      </w:r>
      <w:r>
        <w:t>transport channels, promote fast ion diffusion, and guide stable Li plating/stripping to suppress dendrite growth. With S/Fe‐N</w:t>
      </w:r>
      <w:r>
        <w:rPr>
          <w:vertAlign w:val="subscript"/>
        </w:rPr>
        <w:t>4</w:t>
      </w:r>
      <w:r>
        <w:t>‐GCs cathode (2.5 mg cm</w:t>
      </w:r>
      <w:r>
        <w:t xml:space="preserve"> </w:t>
      </w:r>
      <w:r>
        <w:t>−2</w:t>
      </w:r>
      <w:r>
        <w:t xml:space="preserve"> </w:t>
      </w:r>
      <w:r>
        <w:t>S) and Fe‐N</w:t>
      </w:r>
      <w:r>
        <w:rPr>
          <w:vertAlign w:val="subscript"/>
        </w:rPr>
        <w:t>4</w:t>
      </w:r>
      <w:r>
        <w:t>‐GCs/PP separator, LSB delivers a high initial capacity of 1045.6 mAh g</w:t>
      </w:r>
      <w:r>
        <w:t xml:space="preserve"> </w:t>
      </w:r>
      <w:r>
        <w:t>−1</w:t>
      </w:r>
      <w:r>
        <w:t xml:space="preserve"> </w:t>
      </w:r>
      <w:r>
        <w:t>at 1.0 C, along with stable cycling over 1000 cycles with a low decay of 0.023% per cycle. At a high S loading of 7.2 mg cm</w:t>
      </w:r>
      <w:r>
        <w:t xml:space="preserve"> </w:t>
      </w:r>
      <w:r>
        <w:t>−2</w:t>
      </w:r>
      <w:r>
        <w:t xml:space="preserve"> </w:t>
      </w:r>
      <w:r>
        <w:t>, an areal capacity of 6.6 mAh cm</w:t>
      </w:r>
      <w:r>
        <w:t xml:space="preserve"> </w:t>
      </w:r>
      <w:r>
        <w:t>−2</w:t>
      </w:r>
      <w:r>
        <w:t xml:space="preserve"> </w:t>
      </w:r>
      <w:r>
        <w:t>is achieved. Remarkably, a full cell using Cu@Li anode (27 µm Li layer) with a low N/P ratio of 1.3 retains a high capacity of 1025.8 mAh g</w:t>
      </w:r>
      <w:r>
        <w:t xml:space="preserve"> </w:t>
      </w:r>
      <w:r>
        <w:t>−1</w:t>
      </w:r>
      <w:r>
        <w:t xml:space="preserve"> </w:t>
      </w:r>
      <w:r>
        <w:t>at 1.0 C and stable cycling over 400 cycles with a low decay of 0.026% per cycle. This work offers an effective strategy toward high‐energy, long‐life LSBs.</w:t>
      </w:r>
    </w:p>
    <w:p>
      <w:pPr>
        <w:spacing w:before="120" w:after="120"/>
      </w:pPr>
      <w:r>
        <w:rPr>
          <w:sz w:val="18"/>
        </w:rPr>
        <w:t>——————————————————————————————————————————————————————————————————————</w:t>
      </w:r>
    </w:p>
    <w:p>
      <w:pPr>
        <w:spacing w:before="160" w:after="40" w:line="240" w:lineRule="auto"/>
      </w:pPr>
      <w:r>
        <w:rPr>
          <w:b/>
        </w:rPr>
        <w:t xml:space="preserve">[4] </w:t>
      </w:r>
      <w:hyperlink r:id="rId42">
        <w:r>
          <w:rPr>
            <w:color w:val="1155CC"/>
            <w:u w:val="single"/>
          </w:rPr>
          <w:t>通过阴离子添加剂弱相互作用调节高压锂金属电池的溶剂化结构和双电层</w:t>
        </w:r>
      </w:hyperlink>
    </w:p>
    <w:p>
      <w:pPr>
        <w:spacing w:before="0" w:after="80"/>
      </w:pPr>
      <w:r>
        <w:rPr>
          <w:i/>
          <w:sz w:val="20"/>
        </w:rPr>
        <w:t>EN: Modulating Solvation Structure and Electrical Double Layer via Anion‐Additive Weak Interactions for High‐Voltage Lithium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2026-05-31 16:17:08+00:00</w:t>
      </w:r>
      <w:r>
        <w:t xml:space="preserve">    </w:t>
      </w:r>
      <w:r>
        <w:rPr>
          <w:b/>
        </w:rPr>
        <w:t xml:space="preserve">DOI: </w:t>
      </w:r>
      <w:hyperlink r:id="rId43">
        <w:r>
          <w:rPr>
            <w:color w:val="1155CC"/>
            <w:u w:val="single"/>
          </w:rPr>
          <w:t>10.1002/anie.1383770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高压锂金属电池因其卓越的能量密度而受到关注。然而，电极-电解质界面（EEI）的不稳定性阻碍了它们的实际部署。在这里，我们报告了一种通过 DFOB 之间的弱相互作用协同调节溶剂化结构和双电层（EDL）来构建机械坚固且灵活的 EEI 的策略</w:t>
      </w:r>
      <w:r>
        <w:t xml:space="preserve"> </w:t>
      </w:r>
      <w:r>
        <w:t>-</w:t>
      </w:r>
      <w:r>
        <w:t>以及弱溶剂化电解质中的 2-噻吩甲腈 (2-TC) 添加剂。具体来说，强溶剂化 2-TC 和 DFOB 之间的离子偶极相互作用</w:t>
      </w:r>
      <w:r>
        <w:t xml:space="preserve"> </w:t>
      </w:r>
      <w:r>
        <w:t>-</w:t>
      </w:r>
      <w:r>
        <w:t>促进 DFOB</w:t>
      </w:r>
      <w:r>
        <w:t xml:space="preserve"> </w:t>
      </w:r>
      <w:r>
        <w:t>-</w:t>
      </w:r>
      <w:r>
        <w:t>‐丰富的接触离子对和聚集结构。同时，2-TC/DFOB的优先共吸附</w:t>
      </w:r>
      <w:r>
        <w:t xml:space="preserve"> </w:t>
      </w:r>
      <w:r>
        <w:t>-</w:t>
      </w:r>
      <w:r>
        <w:t>阴极表面与分子间弱相互作用协同作用，将 EDL 重新配置为 DFOB</w:t>
      </w:r>
      <w:r>
        <w:t xml:space="preserve"> </w:t>
      </w:r>
      <w:r>
        <w:t>-</w:t>
      </w:r>
      <w:r>
        <w:t>‐富集和缺乏溶剂的结构。溶剂化鞘和界面 EDL 的协同调节促进了 LiF/LiB 的形成</w:t>
      </w:r>
      <w:r>
        <w:t xml:space="preserve"> </w:t>
      </w:r>
      <w:r>
        <w:t>x</w:t>
      </w:r>
      <w:r>
        <w:t xml:space="preserve"> </w:t>
      </w:r>
      <w:r>
        <w:t>氧</w:t>
      </w:r>
      <w:r>
        <w:t xml:space="preserve"> </w:t>
      </w:r>
      <w:r>
        <w:t>y</w:t>
      </w:r>
      <w:r>
        <w:t xml:space="preserve"> </w:t>
      </w:r>
      <w:r>
        <w:t>‐丰富的EEI。此外，电场诱导的 2-TC 原位聚合产生了柔性的聚噻吩网络，赋予 EEI 优异的体积应变耐受性。这种电解液使 Li||NCM811 电池能够在较宽的温度范围（-20°C 至 6</w:t>
      </w:r>
    </w:p>
    <w:p>
      <w:pPr>
        <w:spacing w:before="0" w:after="200" w:lineRule="auto" w:line="276"/>
      </w:pPr>
      <w:r>
        <w:rPr>
          <w:b/>
        </w:rPr>
        <w:t xml:space="preserve">Abstract (EN): </w:t>
      </w:r>
      <w:r>
        <w:t>High‐voltage lithium metal batteries have attracted attention due to their exceptional energy density. However, their practical deployment is impeded by the instability of the electrode‐electrolyte interface (EEI). Here, we report a strategy to construct a mechanically robust yet flexible EEI by synergistically regulating the solvation structure and electrical double layer (EDL) via weak interactions between DFOB</w:t>
      </w:r>
      <w:r>
        <w:t xml:space="preserve"> </w:t>
      </w:r>
      <w:r>
        <w:t>−</w:t>
      </w:r>
      <w:r>
        <w:t>and the 2‐thiophenecarbonitrile (2‐TC) additive in weakly solvating electrolytes. Specifically, the ion‐dipole interactions between strongly solvating 2‐TC and DFOB</w:t>
      </w:r>
      <w:r>
        <w:t xml:space="preserve"> </w:t>
      </w:r>
      <w:r>
        <w:t>−</w:t>
      </w:r>
      <w:r>
        <w:t>facilitate DFOB</w:t>
      </w:r>
      <w:r>
        <w:t xml:space="preserve"> </w:t>
      </w:r>
      <w:r>
        <w:t>−</w:t>
      </w:r>
      <w:r>
        <w:t>‐rich contact ion pairs and aggregate structures. Concurrently, preferential co‐adsorption of 2‐TC/DFOB</w:t>
      </w:r>
      <w:r>
        <w:t xml:space="preserve"> </w:t>
      </w:r>
      <w:r>
        <w:t>−</w:t>
      </w:r>
      <w:r>
        <w:t>at the cathode surface synergizes with intermolecular weak interactions to reconfigure the EDL into a DFOB</w:t>
      </w:r>
      <w:r>
        <w:t xml:space="preserve"> </w:t>
      </w:r>
      <w:r>
        <w:t>−</w:t>
      </w:r>
      <w:r>
        <w:t>‐enriched and solvent‐deficient architecture. This synergistic modulation of the solvation sheath and interfacial EDL facilitates the formation of LiF/LiB</w:t>
      </w:r>
      <w:r>
        <w:t xml:space="preserve"> </w:t>
      </w:r>
      <w:r>
        <w:t>x</w:t>
      </w:r>
      <w:r>
        <w:t xml:space="preserve"> </w:t>
      </w:r>
      <w:r>
        <w:t>O</w:t>
      </w:r>
      <w:r>
        <w:t xml:space="preserve"> </w:t>
      </w:r>
      <w:r>
        <w:t>y</w:t>
      </w:r>
      <w:r>
        <w:t xml:space="preserve"> </w:t>
      </w:r>
      <w:r>
        <w:t>‐rich EEI. Furthermore, electric field‐induced in situ polymerization of 2‐TC generates a flexible polythiophene network, endowing the EEI with exceptional volume strain tolerance. This electrolyte enables Li||NCM811 battery to deliver stable cycling over a wide temperature range (−20°C to 60°C) and at a high voltage of 4.7 V. Furthermore, practical 4.8 Ah Li||NCM90 and 4.4 Ah Li||LiCoO</w:t>
      </w:r>
      <w:r>
        <w:rPr>
          <w:vertAlign w:val="subscript"/>
        </w:rPr>
        <w:t>2</w:t>
      </w:r>
      <w:r>
        <w:t>pouch cells with this electrolyte achieve energy densities of 472 Wh kg</w:t>
      </w:r>
      <w:r>
        <w:t xml:space="preserve"> </w:t>
      </w:r>
      <w:r>
        <w:t>−1</w:t>
      </w:r>
      <w:r>
        <w:t xml:space="preserve"> </w:t>
      </w:r>
      <w:r>
        <w:t>and 429 Wh kg</w:t>
      </w:r>
      <w:r>
        <w:t xml:space="preserve"> </w:t>
      </w:r>
      <w:r>
        <w:t>−1</w:t>
      </w:r>
      <w:r>
        <w:t xml:space="preserve"> </w:t>
      </w:r>
      <w:r>
        <w:t>, respectively, while maintaining stable cycling performance.</w:t>
      </w:r>
    </w:p>
    <w:p>
      <w:pPr>
        <w:spacing w:before="120" w:after="120"/>
      </w:pPr>
      <w:r>
        <w:rPr>
          <w:sz w:val="18"/>
        </w:rPr>
        <w:t>——————————————————————————————————————————————————————————————————————</w:t>
      </w:r>
    </w:p>
    <w:p>
      <w:pPr>
        <w:spacing w:before="160" w:after="40" w:line="240" w:lineRule="auto"/>
      </w:pPr>
      <w:r>
        <w:rPr>
          <w:b/>
        </w:rPr>
        <w:t xml:space="preserve">[5] </w:t>
      </w:r>
      <w:hyperlink r:id="rId44">
        <w:r>
          <w:rPr>
            <w:color w:val="1155CC"/>
            <w:u w:val="single"/>
          </w:rPr>
          <w:t>用于高压氟化物离子电池的固-固锌阳极和卤间碘阴极</w:t>
        </w:r>
      </w:hyperlink>
    </w:p>
    <w:p>
      <w:pPr>
        <w:spacing w:before="0" w:after="80"/>
      </w:pPr>
      <w:r>
        <w:rPr>
          <w:i/>
          <w:sz w:val="20"/>
        </w:rPr>
        <w:t>EN: Solid‐to‐Solid Zn Anode and Interhalogen Iodine Cathodes for High‐Voltage Fluoride‐Ion Batteries</w:t>
      </w:r>
    </w:p>
    <w:p>
      <w:pPr>
        <w:spacing w:before="0" w:after="120"/>
      </w:pPr>
      <w:r>
        <w:rPr>
          <w:b/>
        </w:rPr>
        <w:t xml:space="preserve">Source: </w:t>
      </w:r>
      <w:r>
        <w:t>Wiley: Angewandte Chemie International Edition: Table of Contents</w:t>
      </w:r>
      <w:r>
        <w:t xml:space="preserve">    </w:t>
      </w:r>
      <w:r>
        <w:rPr>
          <w:b/>
        </w:rPr>
        <w:t xml:space="preserve">Pub date: </w:t>
      </w:r>
      <w:r>
        <w:t>2026-05-31 16:23:55+00:00</w:t>
      </w:r>
      <w:r>
        <w:t xml:space="preserve">    </w:t>
      </w:r>
      <w:r>
        <w:rPr>
          <w:b/>
        </w:rPr>
        <w:t xml:space="preserve">DOI: </w:t>
      </w:r>
      <w:hyperlink r:id="rId45">
        <w:r>
          <w:rPr>
            <w:color w:val="1155CC"/>
            <w:u w:val="single"/>
          </w:rPr>
          <w:t>10.1002/anie.7702880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由于液体电解质中缺乏可逆、合适的电极化学物质，在室温下运行的氟化物离子电池 (FIB) 通常会出现输出电压较低 (&lt; 0.5 V) 的问题。在这里，我们报道了一种高压水基 FIB 系统，通过将锌/羟基氟化锌 (Zn↔ZnOHF) 阳极与碘阴极耦合，可提供约 1.3 V 的输出电压</w:t>
      </w:r>
      <w:r>
        <w:t xml:space="preserve"> </w:t>
      </w:r>
      <w:r>
        <w:t>-</w:t>
      </w:r>
      <w:r>
        <w:t>↔我</w:t>
      </w:r>
      <w:r>
        <w:rPr>
          <w:vertAlign w:val="subscript"/>
        </w:rPr>
        <w:t>2</w:t>
      </w:r>
      <w:r>
        <w:t>F</w:t>
      </w:r>
      <w:r>
        <w:t xml:space="preserve"> </w:t>
      </w:r>
      <w:r>
        <w:t>-</w:t>
      </w:r>
      <w:r>
        <w:t>NH 中卤素间的转化</w:t>
      </w:r>
      <w:r>
        <w:rPr>
          <w:vertAlign w:val="subscript"/>
        </w:rPr>
        <w:t>4</w:t>
      </w:r>
      <w:r>
        <w:t>F基甲醇/水混合电解质。在阳极，NH 之间发生强烈络合</w:t>
      </w:r>
      <w:r>
        <w:rPr>
          <w:vertAlign w:val="subscript"/>
        </w:rPr>
        <w:t>4</w:t>
      </w:r>
      <w:r>
        <w:t>+</w:t>
      </w:r>
      <w:r>
        <w:t xml:space="preserve"> </w:t>
      </w:r>
      <w:r>
        <w:t>和锌</w:t>
      </w:r>
      <w:r>
        <w:t xml:space="preserve"> </w:t>
      </w:r>
      <w:r>
        <w:t>2+</w:t>
      </w:r>
      <w:r>
        <w:t xml:space="preserve"> </w:t>
      </w:r>
      <w:r>
        <w:t>激活可逆的固-固 Zn↔ZnOHF 转化。同时，甲醇有效抑制HER并加速氟离子去溶剂化，从而实现快速动力学和高可逆性。因此，ZnOHF/Zn 阳极在 1 mA cm 电流下表现出超过 1100 小时的卓越耐用性</w:t>
      </w:r>
      <w:r>
        <w:t xml:space="preserve"> </w:t>
      </w:r>
      <w:r>
        <w:t>−2</w:t>
      </w:r>
      <w:r>
        <w:t xml:space="preserve"> </w:t>
      </w:r>
      <w:r>
        <w:t>和 2 mAh 厘米</w:t>
      </w:r>
      <w:r>
        <w:t xml:space="preserve"> </w:t>
      </w:r>
      <w:r>
        <w:t>−2</w:t>
      </w:r>
      <w:r>
        <w:t xml:space="preserve"> </w:t>
      </w:r>
      <w:r>
        <w:t>。在阴极，碘化四己基铵 (THAI) 诱导形成不溶性 THAI</w:t>
      </w:r>
      <w:r>
        <w:rPr>
          <w:vertAlign w:val="subscript"/>
        </w:rPr>
        <w:t>2</w:t>
      </w:r>
      <w:r>
        <w:t>I氟化期间的F</w:t>
      </w:r>
      <w:r>
        <w:rPr>
          <w:vertAlign w:val="subscript"/>
        </w:rPr>
        <w:t>2</w:t>
      </w:r>
      <w:r>
        <w:t>阴极，有效固定碘物种并抑制穿梭效应。所提出的氟离子穿梭 Zn/I</w:t>
      </w:r>
      <w:r>
        <w:rPr>
          <w:vertAlign w:val="subscript"/>
        </w:rPr>
        <w:t>2</w:t>
      </w:r>
    </w:p>
    <w:p>
      <w:pPr>
        <w:spacing w:before="0" w:after="200" w:lineRule="auto" w:line="276"/>
      </w:pPr>
      <w:r>
        <w:rPr>
          <w:b/>
        </w:rPr>
        <w:t xml:space="preserve">Abstract (EN): </w:t>
      </w:r>
      <w:r>
        <w:t>Fluoride ion batteries (FIBs) operated at room temperature typically suffer from low output voltages (&amp;lt; 0.5 V) due to the lack of reversible, suitable electrode chemistries in liquid electrolytes. Here, we report a high‐voltage aqueous FIB system delivering an output voltage of ∼1.3 V by coupling a zinc/zinc hydroxyfluoride (Zn↔ZnOHF) anode with an iodine cathode undergoing reversible I</w:t>
      </w:r>
      <w:r>
        <w:t xml:space="preserve"> </w:t>
      </w:r>
      <w:r>
        <w:t>−</w:t>
      </w:r>
      <w:r>
        <w:t>↔I</w:t>
      </w:r>
      <w:r>
        <w:rPr>
          <w:vertAlign w:val="subscript"/>
        </w:rPr>
        <w:t>2</w:t>
      </w:r>
      <w:r>
        <w:t>F</w:t>
      </w:r>
      <w:r>
        <w:t xml:space="preserve"> </w:t>
      </w:r>
      <w:r>
        <w:t>−</w:t>
      </w:r>
      <w:r>
        <w:t>interhalogen conversion in an NH</w:t>
      </w:r>
      <w:r>
        <w:rPr>
          <w:vertAlign w:val="subscript"/>
        </w:rPr>
        <w:t>4</w:t>
      </w:r>
      <w:r>
        <w:t>F‐based methanol/water hybrid electrolyte. At the anode, strong complexation between NH</w:t>
      </w:r>
      <w:r>
        <w:rPr>
          <w:vertAlign w:val="subscript"/>
        </w:rPr>
        <w:t>4</w:t>
      </w:r>
      <w:r>
        <w:t>+</w:t>
      </w:r>
      <w:r>
        <w:t xml:space="preserve"> </w:t>
      </w:r>
      <w:r>
        <w:t>and Zn</w:t>
      </w:r>
      <w:r>
        <w:t xml:space="preserve"> </w:t>
      </w:r>
      <w:r>
        <w:t>2+</w:t>
      </w:r>
      <w:r>
        <w:t xml:space="preserve"> </w:t>
      </w:r>
      <w:r>
        <w:t>activates a reversible solid‐to‐solid Zn↔ZnOHF conversion. Meanwhile, methanol effectively suppresses HER and accelerates fluoride‐ion desolvation, leading to fast kinetics and high reversibility. As a result, the ZnOHF/Zn anode exhibits remarkable durability for over 1100 h at 1 mA cm</w:t>
      </w:r>
      <w:r>
        <w:t xml:space="preserve"> </w:t>
      </w:r>
      <w:r>
        <w:t>−2</w:t>
      </w:r>
      <w:r>
        <w:t xml:space="preserve"> </w:t>
      </w:r>
      <w:r>
        <w:t>and 2 mAh cm</w:t>
      </w:r>
      <w:r>
        <w:t xml:space="preserve"> </w:t>
      </w:r>
      <w:r>
        <w:t>−2</w:t>
      </w:r>
      <w:r>
        <w:t xml:space="preserve"> </w:t>
      </w:r>
      <w:r>
        <w:t>. At the cathode, tetrahexylammonium iodide (THAI) induces the formation of insoluble THAI</w:t>
      </w:r>
      <w:r>
        <w:rPr>
          <w:vertAlign w:val="subscript"/>
        </w:rPr>
        <w:t>2</w:t>
      </w:r>
      <w:r>
        <w:t>F during the fluorination of I</w:t>
      </w:r>
      <w:r>
        <w:rPr>
          <w:vertAlign w:val="subscript"/>
        </w:rPr>
        <w:t>2</w:t>
      </w:r>
      <w:r>
        <w:t>cathode, effectively immobilizing iodine species and suppressing shuttle effects. The proposed fluoride‐ion‐shuttled Zn/I</w:t>
      </w:r>
      <w:r>
        <w:rPr>
          <w:vertAlign w:val="subscript"/>
        </w:rPr>
        <w:t>2</w:t>
      </w:r>
      <w:r>
        <w:t>cells deliver a high specific capacity of 168 mAh g</w:t>
      </w:r>
      <w:r>
        <w:t xml:space="preserve"> </w:t>
      </w:r>
      <w:r>
        <w:t>−1</w:t>
      </w:r>
      <w:r>
        <w:t xml:space="preserve"> </w:t>
      </w:r>
      <w:r>
        <w:t>at 2 A g</w:t>
      </w:r>
      <w:r>
        <w:t xml:space="preserve"> </w:t>
      </w:r>
      <w:r>
        <w:t>−1</w:t>
      </w:r>
      <w:r>
        <w:t xml:space="preserve"> </w:t>
      </w:r>
      <w:r>
        <w:t>and retain 81% capacity after 2500 cycles. This work establishes interhalogen chemistry and electrolyte‐regulated solid‐state fluorination as viable strategies for designing high‐voltage, long‐life FIBs.</w:t>
      </w:r>
    </w:p>
    <w:p>
      <w:pPr>
        <w:spacing w:before="120" w:after="120"/>
      </w:pPr>
      <w:r>
        <w:rPr>
          <w:sz w:val="18"/>
        </w:rPr>
        <w:t>——————————————————————————————————————————————————————————————————————</w:t>
      </w:r>
    </w:p>
    <w:p>
      <w:pPr>
        <w:spacing w:before="160" w:after="40" w:line="240" w:lineRule="auto"/>
      </w:pPr>
      <w:r>
        <w:rPr>
          <w:b/>
        </w:rPr>
        <w:t xml:space="preserve">[6] </w:t>
      </w:r>
      <w:hyperlink r:id="rId46">
        <w:r>
          <w:rPr>
            <w:color w:val="1155CC"/>
            <w:u w:val="single"/>
          </w:rPr>
          <w:t>有机氧化还原化学中独特的交叉共轭双活性中心设计实现的能量密度高的水系全聚合物电池</w:t>
        </w:r>
      </w:hyperlink>
    </w:p>
    <w:p>
      <w:pPr>
        <w:spacing w:before="0" w:after="80"/>
      </w:pPr>
      <w:r>
        <w:rPr>
          <w:i/>
          <w:sz w:val="20"/>
        </w:rPr>
        <w:t>EN: An Energy‐Dense Aqueous All‐Polymer Battery Enabled by Unique Cross‐Conjugated Dual‐Active‐Center Design in Organic Redox Chemistry</w:t>
      </w:r>
    </w:p>
    <w:p>
      <w:pPr>
        <w:spacing w:before="0" w:after="120"/>
      </w:pPr>
      <w:r>
        <w:rPr>
          <w:b/>
        </w:rPr>
        <w:t xml:space="preserve">Source: </w:t>
      </w:r>
      <w:r>
        <w:t>Wiley: Angewandte Chemie International Edition: Table of Contents</w:t>
      </w:r>
      <w:r>
        <w:t xml:space="preserve">    </w:t>
      </w:r>
      <w:r>
        <w:rPr>
          <w:b/>
        </w:rPr>
        <w:t xml:space="preserve">Pub date: </w:t>
      </w:r>
      <w:r>
        <w:t>2026-05-31 16:23:58+00:00</w:t>
      </w:r>
      <w:r>
        <w:t xml:space="preserve">    </w:t>
      </w:r>
      <w:r>
        <w:rPr>
          <w:b/>
        </w:rPr>
        <w:t xml:space="preserve">DOI: </w:t>
      </w:r>
      <w:hyperlink r:id="rId47">
        <w:r>
          <w:rPr>
            <w:color w:val="1155CC"/>
            <w:u w:val="single"/>
          </w:rPr>
          <w:t>10.1002/anie.1818044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全有机电池（AAOB）的出现引起了人们的广泛关注，但由于大容量、高电位正极材料的稀缺，其能量密度有限，阻碍了其进展。在此，我们开发了一种交叉共轭双活性中心设计策略来调节二维氧化还原聚合物（2DRP）的电子分布和前沿轨道，以获得能量密集的AAOB。理论研究表明，简单地在聚合物骨架中嵌入更多的吡嗪单元可以提高容量和潜力，但代价是活性降低，而引入醌单元可以形成交叉共轭的供体-受体（D-A）结构，从而改善所有上述指标。因此，我们合成了具有交替吡嗪-醌单元（PQ）的2DRP及其具有纯吡嗪单元的类似物（P1和P3）。所有预测的优于其类似物的优点都是通过 PQ 在酸性电解质中实现的，呈现快速 Grotthuss 型质子传输、更大的容量（251 mAh g</w:t>
      </w:r>
      <w:r>
        <w:t xml:space="preserve"> </w:t>
      </w:r>
      <w:r>
        <w:t>−1</w:t>
      </w:r>
      <w:r>
        <w:t xml:space="preserve"> </w:t>
      </w:r>
      <w:r>
        <w:t>）和更高的平均还原电位（0.46 V vs. SHE），超越了大多数报道的聚合物电极，以及超长的低温寿命（83.8%@12000 次循环，-20°C）。最后，将 PQ 与混合电解质中的 2DRP 负极 (PD) 配对，可得到平均输出电压为 1.31 V、最大比能量为 111.7 Wh kg 的 PD//PQ 全聚合物电池。</w:t>
      </w:r>
      <w:r>
        <w:t xml:space="preserve"> </w:t>
      </w:r>
      <w:r>
        <w:t>−1</w:t>
      </w:r>
      <w:r>
        <w:t xml:space="preserve"> </w:t>
      </w:r>
      <w:r>
        <w:t>，超过大多数 AAOB。</w:t>
      </w:r>
    </w:p>
    <w:p>
      <w:pPr>
        <w:spacing w:before="0" w:after="200" w:lineRule="auto" w:line="276"/>
      </w:pPr>
      <w:r>
        <w:rPr>
          <w:b/>
        </w:rPr>
        <w:t xml:space="preserve">Abstract (EN): </w:t>
      </w:r>
      <w:r>
        <w:t>The emergence of aqueous all‐organic batteries (AAOBs) has attracted surging attention, yet their progress is hindered by the limited energy density due to the scarcity of large‐capacity and high‐potential positive electrode materials. Herein, we develop a cross‐conjugated dual‐active‐center design strategy to modulate the electron distribution and frontier orbitals of 2D redox polymers (2DRPs) for attaining energy‐dense AAOBs. Theoretical studies reveal that simply embedding more pyrazine units in the polymer skeleton can elevate capacity and potential but at the expense of reduced activity, while introducing quinone units can form a cross‐conjugated donor–acceptor (D–A) structure that improves all above metrics. Accordingly, we synthesized 2DRP with alternating pyrazine‐quinone units (PQ) and its analogues with pure pyrazine units (P1 and P3). All predicted advantages over its analogues are realized by PQ in acidic electrolytes, presenting fast Grotthuss‐type proton transport, a larger capacity (251 mAh g</w:t>
      </w:r>
      <w:r>
        <w:t xml:space="preserve"> </w:t>
      </w:r>
      <w:r>
        <w:t>−1</w:t>
      </w:r>
      <w:r>
        <w:t xml:space="preserve"> </w:t>
      </w:r>
      <w:r>
        <w:t>) and a higher average reduction potential (0.46 V vs. SHE), surpassing most reported polymer electrodes, along with an ultralong low‐temperature lifespan (83.8%@12000 cycles, −20°C). Finally, pairing PQ with a 2DRP negative electrode (PD) in hybrid electrolytes affords a PD//PQ all‐polymer battery with an average output voltage of 1.31 V and a maximum specific energy of 111.7 Wh kg</w:t>
      </w:r>
      <w:r>
        <w:t xml:space="preserve"> </w:t>
      </w:r>
      <w:r>
        <w:t>−1</w:t>
      </w:r>
      <w:r>
        <w:t xml:space="preserve"> </w:t>
      </w:r>
      <w:r>
        <w:t>, exceeding most AAOBs.</w:t>
      </w:r>
    </w:p>
    <w:p>
      <w:pPr>
        <w:spacing w:before="120" w:after="120"/>
      </w:pPr>
      <w:r>
        <w:rPr>
          <w:sz w:val="18"/>
        </w:rPr>
        <w:t>——————————————————————————————————————————————————————————————————————</w:t>
      </w:r>
    </w:p>
    <w:p>
      <w:pPr>
        <w:spacing w:before="160" w:after="40" w:line="240" w:lineRule="auto"/>
      </w:pPr>
      <w:r>
        <w:rPr>
          <w:b/>
        </w:rPr>
        <w:t xml:space="preserve">[7] </w:t>
      </w:r>
      <w:hyperlink r:id="rId48">
        <w:r>
          <w:rPr>
            <w:color w:val="1155CC"/>
            <w:u w:val="single"/>
          </w:rPr>
          <w:t>用于高效水系锌电池的疏水性液体电解质界面</w:t>
        </w:r>
      </w:hyperlink>
    </w:p>
    <w:p>
      <w:pPr>
        <w:spacing w:before="0" w:after="80"/>
      </w:pPr>
      <w:r>
        <w:rPr>
          <w:i/>
          <w:sz w:val="20"/>
        </w:rPr>
        <w:t>EN: Hydrophobic liquid electrolyte interphases for efficient aqueous zinc batteries</w:t>
      </w:r>
    </w:p>
    <w:p>
      <w:pPr>
        <w:spacing w:before="0" w:after="120"/>
      </w:pPr>
      <w:r>
        <w:rPr>
          <w:b/>
        </w:rPr>
        <w:t xml:space="preserve">Source: </w:t>
      </w:r>
      <w:r>
        <w:t>Nature Nanotechnology</w:t>
      </w:r>
      <w:r>
        <w:t xml:space="preserve">    </w:t>
      </w:r>
      <w:r>
        <w:rPr>
          <w:b/>
        </w:rPr>
        <w:t xml:space="preserve">Pub date: </w:t>
      </w:r>
      <w:r>
        <w:t>2026-06-01 00:00:00+00:00</w:t>
      </w:r>
      <w:r>
        <w:t xml:space="preserve">    </w:t>
      </w:r>
      <w:r>
        <w:rPr>
          <w:b/>
        </w:rPr>
        <w:t xml:space="preserve">DOI: </w:t>
      </w:r>
      <w:hyperlink r:id="rId49">
        <w:r>
          <w:rPr>
            <w:color w:val="1155CC"/>
            <w:u w:val="single"/>
          </w:rPr>
          <w:t>10.1038/s41565-026-02187-0</w:t>
        </w:r>
      </w:hyperlink>
    </w:p>
    <w:p>
      <w:pPr>
        <w:spacing w:before="0" w:after="120"/>
      </w:pPr>
      <w:r>
        <w:rPr>
          <w:b/>
        </w:rPr>
        <w:t xml:space="preserve">Notes: </w:t>
      </w:r>
      <w:r>
        <w:t>abstract_source=nature_html</w:t>
      </w:r>
    </w:p>
    <w:p>
      <w:pPr>
        <w:spacing w:before="0" w:after="80" w:lineRule="auto" w:line="276"/>
      </w:pPr>
      <w:r>
        <w:rPr>
          <w:b/>
        </w:rPr>
        <w:t xml:space="preserve">摘要（ZH）: </w:t>
      </w:r>
      <w:r>
        <w:t>扩大电解质水溶液的电化学稳定性窗口是提高电池性能的可行策略。使用盐包水电解质水溶液，负极上形成的固体电解质界面可实现高达 3.0 V 的电化学稳定性窗口，但这通常会降低离子电导率并增加成本。在这里，为了规避这些问题，我们报告了在 3 摩尔三氟甲磺酸锌水溶液电解质溶液中使用疏水性和亲电极性醚基添加剂。这些添加剂的特点是锌离子溶剂化能力较弱，可低浓度（低于 2 mol%）溶于电解质水溶液中。它们可以吸附在正极和负极表面，抑制锌枝晶生长，形成液体电解质界面，将电化学稳定性窗口扩展至3.08 V，实现高体积离子电导率（25℃时约为54 mS cm−1）并确保电解质水溶液的不可燃性。这种纳米工程电解质方法使 Zn||NaV3O8 单层软包电池能够稳定运行 500 次（平均库仑效率为 99.95%），在 500 mA g−1 和 25 °C 下比放电容量保持率为 80%，计算出的初始比能量为 132 Wh kg−1（基于负极和正极活性材料的质量）。</w:t>
      </w:r>
    </w:p>
    <w:p>
      <w:pPr>
        <w:spacing w:before="0" w:after="200" w:lineRule="auto" w:line="276"/>
      </w:pPr>
      <w:r>
        <w:rPr>
          <w:b/>
        </w:rPr>
        <w:t xml:space="preserve">Abstract (EN): </w:t>
      </w:r>
      <w:r>
        <w:t>Expanding the electrochemical stability window of aqueous electrolyte solutions is a viable strategy to improve battery performance. Using water-in-salt aqueous electrolyte solutions, the solid electrolyte interphase formed on the negative electrode enables an electrochemical stability window up to 3.0 V, but this often reduces ionic conductivity and increases costs. Here, to circumvent these issues, we report the use of hydrophobic and electrode-philic ether-based additives in 3-molal aqueous zinc trifluoromethanesulfonate electrolyte solutions. These additives, characterized by a weak Zn-ion solvation capability, are soluble in the aqueous electrolyte solution at low concentrations (below 2 mol%). They can be adsorbed on both positive and negative electrode surfaces, inhibiting Zn dendrite growth, forming a liquid electrolyte interphase that extends the electrochemical stability window to 3.08 V, enabling high bulk ionic conductivity (about 54 mS cm−1 at 25 °C) and ensuring the non-flammability of the aqueous electrolyte solution. This nanoengineered electrolyte approach enables a Zn||NaV3O8 single-layer pouch cell to operate 500 stable cycles (average Coulombic efficiency of 99.95%) with a specific discharge capacity retention of 80% at 500 mA g−1 and 25 °C with a calculated initial specific energy of 132 Wh kg−1 (based on the mass of the negative and positive electrode active materials).</w:t>
      </w:r>
    </w:p>
    <w:p>
      <w:pPr>
        <w:spacing w:before="120" w:after="120"/>
      </w:pPr>
      <w:r>
        <w:rPr>
          <w:sz w:val="18"/>
        </w:rPr>
        <w:t>——————————————————————————————————————————————————————————————————————</w:t>
      </w:r>
    </w:p>
    <w:p>
      <w:pPr>
        <w:spacing w:before="160" w:after="40" w:line="240" w:lineRule="auto"/>
      </w:pPr>
      <w:r>
        <w:rPr>
          <w:b/>
        </w:rPr>
        <w:t xml:space="preserve">[8] </w:t>
      </w:r>
      <w:hyperlink r:id="rId50">
        <w:r>
          <w:rPr>
            <w:color w:val="1155CC"/>
            <w:u w:val="single"/>
          </w:rPr>
          <w:t>非平面叔氮扩展硝基苯可实现高性能水系电池的不溶性和低能垒有机小分子正极</w:t>
        </w:r>
      </w:hyperlink>
    </w:p>
    <w:p>
      <w:pPr>
        <w:spacing w:before="0" w:after="80"/>
      </w:pPr>
      <w:r>
        <w:rPr>
          <w:i/>
          <w:sz w:val="20"/>
        </w:rPr>
        <w:t>EN: Nonplanar Tertiary-N Extended Nitrobenzene Enables Insoluble and Low-Energy-Barrier Organic Small Molecule Cathode for High-Performance Aqueous Batteries</w:t>
      </w:r>
    </w:p>
    <w:p>
      <w:pPr>
        <w:spacing w:before="0" w:after="120"/>
      </w:pPr>
      <w:r>
        <w:rPr>
          <w:b/>
        </w:rPr>
        <w:t xml:space="preserve">Source: </w:t>
      </w:r>
      <w:r>
        <w:t>RSC - Energy Environ. Sci. latest articles</w:t>
      </w:r>
      <w:r>
        <w:t xml:space="preserve">    </w:t>
      </w:r>
      <w:r>
        <w:rPr>
          <w:b/>
        </w:rPr>
        <w:t xml:space="preserve">Pub date: </w:t>
      </w:r>
      <w:r>
        <w:t>2026-06-01 23:00:00+00:00</w:t>
      </w:r>
    </w:p>
    <w:p>
      <w:pPr>
        <w:spacing w:before="0" w:after="120"/>
      </w:pPr>
      <w:r>
        <w:rPr>
          <w:b/>
        </w:rPr>
        <w:t xml:space="preserve">Notes: </w:t>
      </w:r>
      <w:r>
        <w:t>abstract_source=rsc_html</w:t>
      </w:r>
    </w:p>
    <w:p>
      <w:pPr>
        <w:spacing w:before="0" w:after="80" w:lineRule="auto" w:line="276"/>
      </w:pPr>
      <w:r>
        <w:rPr>
          <w:b/>
        </w:rPr>
        <w:t xml:space="preserve">摘要（ZH）: </w:t>
      </w:r>
      <w:r>
        <w:t>具有高氧化还原活性位点质量比的有机小分子是很有前途的水系锌电池高容量正极材料，但它们与水系电解质的强烈相互作用会导致严重的溶解和有限的循环寿命。在这里，我们展示了非平面叔N扩展硝基苯，它利用其超出H2O解离能的强分子内π−π相互作用，来创建不溶性和低能垒硝基芳烃（TNB）小分子阴极。两个旋转的叔N键带来了TNB的扩展π-芳香族非平面构型，与H2O介质中15.1 kcal mol−1的大排斥力相比，其最大负分子内势能为-35.8 kcal mol−1。因此，TNB 的分子内 π-π 相互作用明显强于 H2O 的解离能，从而在水性电解质中提供结构抗溶解作用，从而将电池寿命延长至最先进的水平（180,000 次循环）。同时，TNB的非平面结构使得硝基/叔N基序的利用率达到98.9%，并且具有低活化能（0.23 eV），释放出优异的容量（430 mAh g−1）和大电流耐受性（100 A g−1）。值得注意的是，这种非平面分子设计显示出有希望的初步推广性，可用于开发多功能的不溶性羧酸、氰基和亚胺化合物。这些概念验证结果表明，高活性和超稳定的有机分子为更好的水性电池提供了潜在的范式。</w:t>
      </w:r>
    </w:p>
    <w:p>
      <w:pPr>
        <w:spacing w:before="0" w:after="200" w:lineRule="auto" w:line="276"/>
      </w:pPr>
      <w:r>
        <w:rPr>
          <w:b/>
        </w:rPr>
        <w:t xml:space="preserve">Abstract (EN): </w:t>
      </w:r>
      <w:r>
        <w:t>Organic small molecules with a high mass content ratio of redox-active sites are promising high-capacity cathode materials for aqueous zinc batteries, but their strong interaction with aqueous electrolytes causes serious dissolution and limited cycling life. Here we demonstrate nonplanar tertiary-N extended nitrobenzene, which harnesses its strong intramolecular π−π interaction beyond the H2O dissociation energy, to create an insoluble and low-energy-barrier nitroarene (TNB) small molecule cathode. Two rotating tert-N linkages bring the extended π-aromatic nonplane configuration of TNB, exhibiting a maximum negative intramolecular potential energy of −35.8 kcal mol−1 compared to its large repulsive force of 15.1 kcal mol−1 in H2O medium. Consequently, the intramolecular π-π interaction of TNB is significantly stronger than the dissociation energy of H2O, which affords structural anti-dissolution in aqueous electrolyte, extending battery lifespan to the state-of-the-art level (180,000 cycles). Meanwhile, the nonplanar structure of TNB allows for 98.9% utilization of nitro/tert-N motifs with low activation energy (0.23 eV), liberating superior capacity (430 mAh g−1) and large-current tolerance (100 A g−1). Significantly, this nonplanar molecular design shows promising preliminary generalizability to develop versatile insoluble carboxylic, cyano, and imine compounds. These proof-of-concept results suggest a potential paradigm for highly active and ultrastable organic molecules towards better aqueous batteries.</w:t>
      </w:r>
    </w:p>
    <w:p>
      <w:pPr>
        <w:spacing w:before="120" w:after="120"/>
      </w:pPr>
      <w:r>
        <w:rPr>
          <w:sz w:val="18"/>
        </w:rPr>
        <w:t>——————————————————————————————————————————————————————————————————————</w:t>
      </w:r>
    </w:p>
    <w:p>
      <w:pPr>
        <w:spacing w:before="160" w:after="40" w:line="240" w:lineRule="auto"/>
      </w:pPr>
      <w:r>
        <w:rPr>
          <w:b/>
        </w:rPr>
        <w:t xml:space="preserve">[9] </w:t>
      </w:r>
      <w:hyperlink r:id="rId51">
        <w:r>
          <w:rPr>
            <w:color w:val="1155CC"/>
            <w:u w:val="single"/>
          </w:rPr>
          <w:t>具有明确电子结构的无机材料的生成建模</w:t>
        </w:r>
      </w:hyperlink>
    </w:p>
    <w:p>
      <w:pPr>
        <w:spacing w:before="0" w:after="80"/>
      </w:pPr>
      <w:r>
        <w:rPr>
          <w:i/>
          <w:sz w:val="20"/>
        </w:rPr>
        <w:t>EN: Generative modelling of inorganic materials with explicit electronic structure</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生成模型的最新进展为无机材料的逆向设计引入了新的范式，使得能够发现具有所需特性的新晶体结构。然而，现有的生成模型仅关注生成过程中材料的结构方面，而忽略了从根本上控制材料稳定性和功能的潜在电子行为。在这项工作中，我们提出了 ChargeDIFF，一种无机材料的生成模型，它明确地将电子结构纳入生成过程。具体来说，ChargeDIFF 利用电荷密度（材料电子结构的直接空间表示）作为额外的生成方式。与基线模型相比，ChargeDIFF 在无条件和条件生成任务中表现出了卓越的性能，消融研究表明，这种改进直接归因于其在生成过程中捕获材料电子结构的能力。此外，在生成过程中控制电荷密度的能力使ChargeDIFF能够引入基于三维电荷密度的逆向设计方法，说明了生成具有所需离子迁移路径的锂离子电池正极材料的潜力，并通过基于物理的模拟进一步验证。通过强调材料生成过程中考虑电子特性的重要性，ChargeDIFF 将生成设计的适用性扩展到稳定和功能材料。</w:t>
      </w:r>
    </w:p>
    <w:p>
      <w:pPr>
        <w:spacing w:before="0" w:after="200" w:lineRule="auto" w:line="276"/>
      </w:pPr>
      <w:r>
        <w:rPr>
          <w:b/>
        </w:rPr>
        <w:t xml:space="preserve">Abstract (EN): </w:t>
      </w:r>
      <w:r>
        <w:t>Recent advances in generative models have introduced a new paradigm for the inverse design of inorganic materials, enabling the discovery of new crystalline structures with desired properties. However, existing generative models focus solely on structural aspects of materials during generation, while overlooking the underlying electronic behavior that fundamentally governs materials’ stability and functionality. In this work, we present ChargeDIFF, a generative model for inorganic materials that explicitly incorporates electronic structure into the generation process. Specifically, ChargeDIFF leverages charge density, a direct spatial representation of a material’s electronic structure, as an additional modality for generation. ChargeDIFF demonstrates exceptional performance in both unconditional and conditional generation tasks compared to baseline models, with ablation studies revealing that this improvement is directly due to its ability to capture the material’s electronic structure during generation. Moreover, the ability to control charge density during generation allows ChargeDIFF to introduce an inverse design method based on three-dimensional charge density, illustrating the potential to generate lithium-ion battery cathode materials with desired ion migration pathways, as further validated by physics-based simulations. By highlighting the importance of accounting for electronic characteristics during material generation, ChargeDIFF expands the applicability of generative design toward stable and functional materials.</w:t>
      </w:r>
    </w:p>
    <w:p>
      <w:pPr>
        <w:spacing w:before="120" w:after="120"/>
      </w:pPr>
      <w:r>
        <w:rPr>
          <w:sz w:val="18"/>
        </w:rPr>
        <w:t>——————————————————————————————————————————————————————————————————————</w:t>
      </w:r>
    </w:p>
    <w:p>
      <w:pPr>
        <w:spacing w:before="160" w:after="40" w:line="240" w:lineRule="auto"/>
      </w:pPr>
      <w:r>
        <w:rPr>
          <w:b/>
        </w:rPr>
        <w:t xml:space="preserve">[10] </w:t>
      </w:r>
      <w:hyperlink r:id="rId52">
        <w:r>
          <w:rPr>
            <w:color w:val="1155CC"/>
            <w:u w:val="single"/>
          </w:rPr>
          <w:t>通过无量纲因子重新审视锌特异性成核以量化水系电池的界面电化学</w:t>
        </w:r>
      </w:hyperlink>
    </w:p>
    <w:p>
      <w:pPr>
        <w:spacing w:before="0" w:after="80"/>
      </w:pPr>
      <w:r>
        <w:rPr>
          <w:i/>
          <w:sz w:val="20"/>
        </w:rPr>
        <w:t>EN: Revisiting Zn-specific nucleation via a dimensionless factor to quantify interfacial electrochemistry of aqueous batteries</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锌基水系电池引起了广泛的研究关注，而锌-水界面电化学相互作用的成核理论的缺乏限制了抑制热力学自发析氢反应和枝晶形成的努力，从而阻碍了实际发展。阐明水介质中的锌电沉积需要锌特异性成核理论和调节界面电化学的描述符。传统的锂基球形成核模型忽略了锌的晶体学和控制成核的界面阻力，从而专注于极化变化。在这项工作中，我们重新阐述了Li针对Zn的六方密堆积结构导出的经典球形成核理论，并建立了无量纲描述符（Wf）来定量合理化界面电化学。 Wf 将偏振驱动力和界面阻力综合为稳定性指标。正如文献所证明的，较高的 Wf 值有利于均匀的锌沉积。因此，我们开发了一种高 Wf 电解质来抑制枝晶和副反应，在 Zn||NaV3O8 电池中实现了 100% 放电深度超过 700 小时以及 10 A g−1 的 7660 次循环。这项工作为锌基水系电池的合理设计提供了基本的成核理论和普遍适用的定量指标。</w:t>
      </w:r>
    </w:p>
    <w:p>
      <w:pPr>
        <w:spacing w:before="0" w:after="200" w:lineRule="auto" w:line="276"/>
      </w:pPr>
      <w:r>
        <w:rPr>
          <w:b/>
        </w:rPr>
        <w:t xml:space="preserve">Abstract (EN): </w:t>
      </w:r>
      <w:r>
        <w:t>Zn-based aqueous batteries have attracted widespread research attention, while the lack of nucleation theory for electrochemical interactions at the Zn-water interface constrains efforts to suppress the thermodynamically spontaneous hydrogen evolution reaction and dendrite formation, thereby stalling practical development. Elucidating Zn electrodeposition in aqueous media requires Zn-specific nucleation theory and a descriptor to regulate interfacial electrochemistry. Conventional Li-based spherical nucleation models disregard Zn’s crystallography and the interfacial resistance that governs nucleation, thereby focusing on polarization variations. In this work, we reformulate the classical spherical nucleation theory derived by Li for the hexagonal close-packed structure of Zn and establish a dimensionless descriptor (Wf) to quantitatively rationalize interfacial electrochemistry. Wf synthesizes the polarization driving force and interfacial resistance into a stability metric. Higher Wf values facilitate uniform Zn deposition, as evidenced by the literature. Accordingly, we develop a high-Wf electrolyte to inhibit dendrites and side reactions, achieving over 700 h at 100% depth of discharge and 7660 cycles at 10 A g−1 in a Zn||NaV3O8 cell. This work provides a fundamental nucleation theory and a generally applicable quantitative metric for the rational design of Zn-based aqueous batteries.</w:t>
      </w:r>
    </w:p>
    <w:p>
      <w:pPr>
        <w:spacing w:before="120" w:after="120"/>
      </w:pPr>
      <w:r>
        <w:rPr>
          <w:sz w:val="18"/>
        </w:rPr>
        <w:t>——————————————————————————————————————————————————————————————————————</w:t>
      </w:r>
    </w:p>
    <w:p>
      <w:pPr>
        <w:spacing w:before="160" w:after="40" w:line="240" w:lineRule="auto"/>
      </w:pPr>
      <w:r>
        <w:rPr>
          <w:b/>
        </w:rPr>
        <w:t xml:space="preserve">[11] </w:t>
      </w:r>
      <w:hyperlink r:id="rId53">
        <w:r>
          <w:rPr>
            <w:color w:val="1155CC"/>
            <w:u w:val="single"/>
          </w:rPr>
          <w:t>通过集成阴极设计形成开放结构氢氧化锌硫酸盐，实现高度可逆的 Ah 级 Zn-MnO2 电池</w:t>
        </w:r>
      </w:hyperlink>
    </w:p>
    <w:p>
      <w:pPr>
        <w:spacing w:before="0" w:after="80"/>
      </w:pPr>
      <w:r>
        <w:rPr>
          <w:i/>
          <w:sz w:val="20"/>
        </w:rPr>
        <w:t>EN: Open‐Structured Zinc Hydroxide Sulfate Formation via Integrated Cathode Design Enabling Highly Reversible Ah‐Level Zn‐MnO2 Batteries</w:t>
      </w:r>
    </w:p>
    <w:p>
      <w:pPr>
        <w:spacing w:before="0" w:after="120"/>
      </w:pPr>
      <w:r>
        <w:rPr>
          <w:b/>
        </w:rPr>
        <w:t xml:space="preserve">Source: </w:t>
      </w:r>
      <w:r>
        <w:t>Wiley: Advanced Energy Materials: Table of Contents</w:t>
      </w:r>
      <w:r>
        <w:t xml:space="preserve">    </w:t>
      </w:r>
      <w:r>
        <w:rPr>
          <w:b/>
        </w:rPr>
        <w:t xml:space="preserve">Pub date: </w:t>
      </w:r>
      <w:r>
        <w:t>2026-06-02 07:09:58+00:00</w:t>
      </w:r>
      <w:r>
        <w:t xml:space="preserve">    </w:t>
      </w:r>
      <w:r>
        <w:rPr>
          <w:b/>
        </w:rPr>
        <w:t xml:space="preserve">DOI: </w:t>
      </w:r>
      <w:hyperlink r:id="rId54">
        <w:r>
          <w:rPr>
            <w:color w:val="1155CC"/>
            <w:u w:val="single"/>
          </w:rPr>
          <w:t>10.1002/aenm.71141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Ah级水相Zn-MnO的实际应用</w:t>
      </w:r>
      <w:r>
        <w:rPr>
          <w:vertAlign w:val="subscript"/>
        </w:rPr>
        <w:t>2</w:t>
      </w:r>
      <w:r>
        <w:t>绝缘氢氧化锌硫酸盐（Zn）的大量沉积阻碍了电池（AZMB）的发展</w:t>
      </w:r>
      <w:r>
        <w:rPr>
          <w:vertAlign w:val="subscript"/>
        </w:rPr>
        <w:t>4</w:t>
      </w:r>
      <w:r>
        <w:t>SO</w:t>
      </w:r>
      <w:r>
        <w:rPr>
          <w:vertAlign w:val="subscript"/>
        </w:rPr>
        <w:t>4</w:t>
      </w:r>
      <w:r>
        <w:t>（哦）</w:t>
      </w:r>
      <w:r>
        <w:rPr>
          <w:vertAlign w:val="subscript"/>
        </w:rPr>
        <w:t>6</w:t>
      </w:r>
      <w:r>
        <w:t>·</w:t>
      </w:r>
      <w:r>
        <w:t xml:space="preserve"> </w:t>
      </w:r>
      <w:r>
        <w:t>x</w:t>
      </w:r>
      <w:r>
        <w:t xml:space="preserve"> </w:t>
      </w:r>
      <w:r>
        <w:t>H</w:t>
      </w:r>
      <w:r>
        <w:rPr>
          <w:vertAlign w:val="subscript"/>
        </w:rPr>
        <w:t>2</w:t>
      </w:r>
      <w:r>
        <w:t>O，ZHS）。由于添加剂消耗不均匀，传统的 ZHS 抑制策略在放大系统中效果有限，使得完全消除 ZHS 的目标既不切实际，也没有必要。在此，提出了从 ZHS 抑制到形态管理的实用范式转变。阿碧</w:t>
      </w:r>
      <w:r>
        <w:rPr>
          <w:vertAlign w:val="subscript"/>
        </w:rPr>
        <w:t>2</w:t>
      </w:r>
      <w:r>
        <w:t>氧</w:t>
      </w:r>
      <w:r>
        <w:rPr>
          <w:vertAlign w:val="subscript"/>
        </w:rPr>
        <w:t>3</w:t>
      </w:r>
      <w:r>
        <w:t>‐改性二氧化锰</w:t>
      </w:r>
      <w:r>
        <w:rPr>
          <w:vertAlign w:val="subscript"/>
        </w:rPr>
        <w:t>2</w:t>
      </w:r>
      <w:r>
        <w:t>阴极（20BEMD）是通过一步高能球磨（HEBM）工艺合成的。电化学惰性 Bi</w:t>
      </w:r>
      <w:r>
        <w:rPr>
          <w:vertAlign w:val="subscript"/>
        </w:rPr>
        <w:t>2</w:t>
      </w:r>
      <w:r>
        <w:t>氧</w:t>
      </w:r>
      <w:r>
        <w:rPr>
          <w:vertAlign w:val="subscript"/>
        </w:rPr>
        <w:t>3</w:t>
      </w:r>
      <w:r>
        <w:t>通过对SO的弱吸附来调节界面环境</w:t>
      </w:r>
      <w:r>
        <w:rPr>
          <w:vertAlign w:val="subscript"/>
        </w:rPr>
        <w:t>4</w:t>
      </w:r>
      <w:r>
        <w:t>2−</w:t>
      </w:r>
      <w:r>
        <w:t>，促进稀疏的 ZHS 生长，从而降低电荷转移阻力。同时，毕</w:t>
      </w:r>
      <w:r>
        <w:t xml:space="preserve"> </w:t>
      </w:r>
      <w:r>
        <w:t>3+</w:t>
      </w:r>
      <w:r>
        <w:t xml:space="preserve"> </w:t>
      </w:r>
      <w:r>
        <w:t>掺杂是通过 HEBM 工艺实现的，导致带隙变窄并产生氧空位，从而增强导电性和离子扩散动力学。优化后的20BEM</w:t>
      </w:r>
    </w:p>
    <w:p>
      <w:pPr>
        <w:spacing w:before="0" w:after="200" w:lineRule="auto" w:line="276"/>
      </w:pPr>
      <w:r>
        <w:rPr>
          <w:b/>
        </w:rPr>
        <w:t xml:space="preserve">Abstract (EN): </w:t>
      </w:r>
      <w:r>
        <w:t>The practical deployment of Ah‐level aqueous Zn‐MnO</w:t>
      </w:r>
      <w:r>
        <w:rPr>
          <w:vertAlign w:val="subscript"/>
        </w:rPr>
        <w:t>2</w:t>
      </w:r>
      <w:r>
        <w:t>batteries (AZMBs) is hindered by the rampant deposition of insulating zinc hydroxide sulfate (Zn</w:t>
      </w:r>
      <w:r>
        <w:rPr>
          <w:vertAlign w:val="subscript"/>
        </w:rPr>
        <w:t>4</w:t>
      </w:r>
      <w:r>
        <w:t>SO</w:t>
      </w:r>
      <w:r>
        <w:rPr>
          <w:vertAlign w:val="subscript"/>
        </w:rPr>
        <w:t>4</w:t>
      </w:r>
      <w:r>
        <w:t>(OH)</w:t>
      </w:r>
      <w:r>
        <w:rPr>
          <w:vertAlign w:val="subscript"/>
        </w:rPr>
        <w:t>6</w:t>
      </w:r>
      <w:r>
        <w:t>·</w:t>
      </w:r>
      <w:r>
        <w:t xml:space="preserve"> </w:t>
      </w:r>
      <w:r>
        <w:t>x</w:t>
      </w:r>
      <w:r>
        <w:t xml:space="preserve"> </w:t>
      </w:r>
      <w:r>
        <w:t>H</w:t>
      </w:r>
      <w:r>
        <w:rPr>
          <w:vertAlign w:val="subscript"/>
        </w:rPr>
        <w:t>2</w:t>
      </w:r>
      <w:r>
        <w:t>O, ZHS). Due to the inhomogeneous consumption of additives, conventional strategies for ZHS suppression exhibit limited effectiveness in scaled‐up systems, making the goal of complete ZHS elimination both impractical and unnecessary. Herein, a practical paradigm shift from ZHS inhibition to morphological management is presented. A Bi</w:t>
      </w:r>
      <w:r>
        <w:rPr>
          <w:vertAlign w:val="subscript"/>
        </w:rPr>
        <w:t>2</w:t>
      </w:r>
      <w:r>
        <w:t>O</w:t>
      </w:r>
      <w:r>
        <w:rPr>
          <w:vertAlign w:val="subscript"/>
        </w:rPr>
        <w:t>3</w:t>
      </w:r>
      <w:r>
        <w:t>‐modified MnO</w:t>
      </w:r>
      <w:r>
        <w:rPr>
          <w:vertAlign w:val="subscript"/>
        </w:rPr>
        <w:t>2</w:t>
      </w:r>
      <w:r>
        <w:t>cathode (20BEMD) is synthesized via a one‐step high‐energy ball milling (HEBM) process. Electrochemically inert Bi</w:t>
      </w:r>
      <w:r>
        <w:rPr>
          <w:vertAlign w:val="subscript"/>
        </w:rPr>
        <w:t>2</w:t>
      </w:r>
      <w:r>
        <w:t>O</w:t>
      </w:r>
      <w:r>
        <w:rPr>
          <w:vertAlign w:val="subscript"/>
        </w:rPr>
        <w:t>3</w:t>
      </w:r>
      <w:r>
        <w:t>regulates the interfacial environment through weak adsorption of SO</w:t>
      </w:r>
      <w:r>
        <w:rPr>
          <w:vertAlign w:val="subscript"/>
        </w:rPr>
        <w:t>4</w:t>
      </w:r>
      <w:r>
        <w:t>2−</w:t>
      </w:r>
      <w:r>
        <w:t>, promoting a sparse ZHS growth that lowers charge transfer resistance. Simultaneously, Bi</w:t>
      </w:r>
      <w:r>
        <w:t xml:space="preserve"> </w:t>
      </w:r>
      <w:r>
        <w:t>3+</w:t>
      </w:r>
      <w:r>
        <w:t xml:space="preserve"> </w:t>
      </w:r>
      <w:r>
        <w:t>doping is achieved through the HEBM process, resulting in bandgap narrowing and oxygen vacancy generation, which enhances electrical conductivity and ion diffusion kinetics. The optimized 20BEMD cathode delivers a reversible capacity of 338.2 mAh g</w:t>
      </w:r>
      <w:r>
        <w:t xml:space="preserve"> </w:t>
      </w:r>
      <w:r>
        <w:t>−1</w:t>
      </w:r>
      <w:r>
        <w:t xml:space="preserve"> </w:t>
      </w:r>
      <w:r>
        <w:t>at 0.1 A g</w:t>
      </w:r>
      <w:r>
        <w:t xml:space="preserve"> </w:t>
      </w:r>
      <w:r>
        <w:t>−1</w:t>
      </w:r>
      <w:r>
        <w:t xml:space="preserve"> </w:t>
      </w:r>
      <w:r>
        <w:t>, and maintains 90% capacity retention after 500 cycles at 0.5 A g</w:t>
      </w:r>
      <w:r>
        <w:t xml:space="preserve"> </w:t>
      </w:r>
      <w:r>
        <w:t>−1</w:t>
      </w:r>
      <w:r>
        <w:t xml:space="preserve"> </w:t>
      </w:r>
      <w:r>
        <w:t>. An Ah‐level pouch cell demonstrates stable operation over 22 days in deep charge/discharge operation, and exhibits practical applicability in photovoltaic energy storage, supporting the feasibility of this approach for scalable AZMBs.</w:t>
      </w:r>
    </w:p>
    <w:p>
      <w:pPr>
        <w:spacing w:before="120" w:after="120"/>
      </w:pPr>
      <w:r>
        <w:rPr>
          <w:sz w:val="18"/>
        </w:rPr>
        <w:t>——————————————————————————————————————————————————————————————————————</w:t>
      </w:r>
    </w:p>
    <w:p>
      <w:pPr>
        <w:spacing w:before="160" w:after="40" w:line="240" w:lineRule="auto"/>
      </w:pPr>
      <w:r>
        <w:rPr>
          <w:b/>
        </w:rPr>
        <w:t xml:space="preserve">[12] </w:t>
      </w:r>
      <w:hyperlink r:id="rId55">
        <w:r>
          <w:rPr>
            <w:color w:val="1155CC"/>
            <w:u w:val="single"/>
          </w:rPr>
          <w:t>全MXene协同设计可在水性Zn-I2电池中实现快速碘氧化还原和超稳定锌阳极</w:t>
        </w:r>
      </w:hyperlink>
    </w:p>
    <w:p>
      <w:pPr>
        <w:spacing w:before="0" w:after="80"/>
      </w:pPr>
      <w:r>
        <w:rPr>
          <w:i/>
          <w:sz w:val="20"/>
        </w:rPr>
        <w:t>EN: All‐MXene Co‐Design Enables Fast Iodine Redox and Ultrastable Zinc Anode in Aqueous Zn–I2 Batteries</w:t>
      </w:r>
    </w:p>
    <w:p>
      <w:pPr>
        <w:spacing w:before="0" w:after="120"/>
      </w:pPr>
      <w:r>
        <w:rPr>
          <w:b/>
        </w:rPr>
        <w:t xml:space="preserve">Source: </w:t>
      </w:r>
      <w:r>
        <w:t>Wiley: Advanced Energy Materials: Table of Contents</w:t>
      </w:r>
      <w:r>
        <w:t xml:space="preserve">    </w:t>
      </w:r>
      <w:r>
        <w:rPr>
          <w:b/>
        </w:rPr>
        <w:t xml:space="preserve">Pub date: </w:t>
      </w:r>
      <w:r>
        <w:t>2026-06-02 07:12:00+00:00</w:t>
      </w:r>
      <w:r>
        <w:t xml:space="preserve">    </w:t>
      </w:r>
      <w:r>
        <w:rPr>
          <w:b/>
        </w:rPr>
        <w:t xml:space="preserve">DOI: </w:t>
      </w:r>
      <w:hyperlink r:id="rId56">
        <w:r>
          <w:rPr>
            <w:color w:val="1155CC"/>
            <w:u w:val="single"/>
          </w:rPr>
          <w:t>10.1002/aenm.71127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锌碘水溶液 (Zn-I</w:t>
      </w:r>
      <w:r>
        <w:rPr>
          <w:vertAlign w:val="subscript"/>
        </w:rPr>
        <w:t>2</w:t>
      </w:r>
      <w:r>
        <w:t>）电池将本质安全性与低成本和有吸引力的能量密度结合在一起，但进展受到阴极多碘化物穿梭和阳极不稳定锌沉积的限制，这些因素共同导致自放电和较差的循环寿命。在此，提出了一种全 MXene 协同策略，即使用富氟 MXene（即 Nb</w:t>
      </w:r>
      <w:r>
        <w:rPr>
          <w:vertAlign w:val="subscript"/>
        </w:rPr>
        <w:t>2</w:t>
      </w:r>
      <w:r>
        <w:t>C-F 和 V</w:t>
      </w:r>
      <w:r>
        <w:rPr>
          <w:vertAlign w:val="subscript"/>
        </w:rPr>
        <w:t>2</w:t>
      </w:r>
      <w:r>
        <w:t>C-F)通过HF气相蚀刻合成。铌</w:t>
      </w:r>
      <w:r>
        <w:rPr>
          <w:vertAlign w:val="subscript"/>
        </w:rPr>
        <w:t>2</w:t>
      </w:r>
      <w:r>
        <w:t>C-F 以其扩展的通道作为碘主体，氟化物纳米域固定聚碘化物并催化 I</w:t>
      </w:r>
      <w:r>
        <w:t xml:space="preserve"> </w:t>
      </w:r>
      <w:r>
        <w:t>-</w:t>
      </w:r>
      <w:r>
        <w:t>/我</w:t>
      </w:r>
      <w:r>
        <w:rPr>
          <w:vertAlign w:val="subscript"/>
        </w:rPr>
        <w:t>2</w:t>
      </w:r>
      <w:r>
        <w:t>转换，抑制穿梭效应并加速动力学。与此同时，V</w:t>
      </w:r>
      <w:r>
        <w:rPr>
          <w:vertAlign w:val="subscript"/>
        </w:rPr>
        <w:t>2</w:t>
      </w:r>
      <w:r>
        <w:t>C-F 形成富含氟化物的底物，使 Zn 均质化</w:t>
      </w:r>
      <w:r>
        <w:t xml:space="preserve"> </w:t>
      </w:r>
      <w:r>
        <w:t>2+</w:t>
      </w:r>
      <w:r>
        <w:t xml:space="preserve"> </w:t>
      </w:r>
      <w:r>
        <w:t>通量和成核并促进原位无机杂化 SEI 与 ZnF 交织</w:t>
      </w:r>
      <w:r>
        <w:rPr>
          <w:vertAlign w:val="subscript"/>
        </w:rPr>
        <w:t>2</w:t>
      </w:r>
      <w:r>
        <w:t>网络和 ZnS/‐SO</w:t>
      </w:r>
      <w:r>
        <w:rPr>
          <w:vertAlign w:val="subscript"/>
        </w:rPr>
        <w:t>3</w:t>
      </w:r>
      <w:r>
        <w:t>成分，从而实现均匀稳定的锌沉积。锌-I</w:t>
      </w:r>
      <w:r>
        <w:rPr>
          <w:vertAlign w:val="subscript"/>
        </w:rPr>
        <w:t>2</w:t>
      </w:r>
      <w:r>
        <w:t>全电池，利用 Nb 的协调</w:t>
      </w:r>
      <w:r>
        <w:rPr>
          <w:vertAlign w:val="subscript"/>
        </w:rPr>
        <w:t>2</w:t>
      </w:r>
      <w:r>
        <w:t>C-F@I</w:t>
      </w:r>
      <w:r>
        <w:rPr>
          <w:vertAlign w:val="subscript"/>
        </w:rPr>
        <w:t>2</w:t>
      </w:r>
      <w:r>
        <w:t>阴极和V</w:t>
      </w:r>
      <w:r>
        <w:rPr>
          <w:vertAlign w:val="subscript"/>
        </w:rPr>
        <w:t>2</w:t>
      </w:r>
    </w:p>
    <w:p>
      <w:pPr>
        <w:spacing w:before="0" w:after="200" w:lineRule="auto" w:line="276"/>
      </w:pPr>
      <w:r>
        <w:rPr>
          <w:b/>
        </w:rPr>
        <w:t xml:space="preserve">Abstract (EN): </w:t>
      </w:r>
      <w:r>
        <w:t>Aqueous zinc–iodine (Zn–I</w:t>
      </w:r>
      <w:r>
        <w:rPr>
          <w:vertAlign w:val="subscript"/>
        </w:rPr>
        <w:t>2</w:t>
      </w:r>
      <w:r>
        <w:t>) batteries combine intrinsic safety with low cost and attractive energy density, but progress is limited by polyiodide shuttling at the cathode and unstable zinc deposition at the anode, which together drive self‐discharge and poor cycle life. Herein, an all‐MXene synergistic strategy is proposed that co‐engineers both electrodes using fluorine‐rich MXenes (i.e., Nb</w:t>
      </w:r>
      <w:r>
        <w:rPr>
          <w:vertAlign w:val="subscript"/>
        </w:rPr>
        <w:t>2</w:t>
      </w:r>
      <w:r>
        <w:t>C‐F and V</w:t>
      </w:r>
      <w:r>
        <w:rPr>
          <w:vertAlign w:val="subscript"/>
        </w:rPr>
        <w:t>2</w:t>
      </w:r>
      <w:r>
        <w:t>C‐F) synthesized via HF vapor etching. The Nb</w:t>
      </w:r>
      <w:r>
        <w:rPr>
          <w:vertAlign w:val="subscript"/>
        </w:rPr>
        <w:t>2</w:t>
      </w:r>
      <w:r>
        <w:t>C‐F serves as the iodine host with its expanded galleries, and fluoride nanodomains immobilize polyiodides and catalyze the I</w:t>
      </w:r>
      <w:r>
        <w:t xml:space="preserve"> </w:t>
      </w:r>
      <w:r>
        <w:t>−</w:t>
      </w:r>
      <w:r>
        <w:t>/I</w:t>
      </w:r>
      <w:r>
        <w:rPr>
          <w:vertAlign w:val="subscript"/>
        </w:rPr>
        <w:t>2</w:t>
      </w:r>
      <w:r>
        <w:t>conversion, suppressing the shuttle effect and accelerating kinetics. Meanwhile, the V</w:t>
      </w:r>
      <w:r>
        <w:rPr>
          <w:vertAlign w:val="subscript"/>
        </w:rPr>
        <w:t>2</w:t>
      </w:r>
      <w:r>
        <w:t>C‐F forms a fluoride‐rich substrate that homogenizes Zn</w:t>
      </w:r>
      <w:r>
        <w:t xml:space="preserve"> </w:t>
      </w:r>
      <w:r>
        <w:t>2+</w:t>
      </w:r>
      <w:r>
        <w:t xml:space="preserve"> </w:t>
      </w:r>
      <w:r>
        <w:t>flux and nucleation and promotes an in situ inorganic hybrid SEI interwoven with ZnF</w:t>
      </w:r>
      <w:r>
        <w:rPr>
          <w:vertAlign w:val="subscript"/>
        </w:rPr>
        <w:t>2</w:t>
      </w:r>
      <w:r>
        <w:t>network and ZnS/‐SO</w:t>
      </w:r>
      <w:r>
        <w:rPr>
          <w:vertAlign w:val="subscript"/>
        </w:rPr>
        <w:t>3</w:t>
      </w:r>
      <w:r>
        <w:t>components, thereby enabling uniform and stable zinc deposition. The Zn–I</w:t>
      </w:r>
      <w:r>
        <w:rPr>
          <w:vertAlign w:val="subscript"/>
        </w:rPr>
        <w:t>2</w:t>
      </w:r>
      <w:r>
        <w:t>full cell, leveraging the coordination of Nb</w:t>
      </w:r>
      <w:r>
        <w:rPr>
          <w:vertAlign w:val="subscript"/>
        </w:rPr>
        <w:t>2</w:t>
      </w:r>
      <w:r>
        <w:t>C‐F@I</w:t>
      </w:r>
      <w:r>
        <w:rPr>
          <w:vertAlign w:val="subscript"/>
        </w:rPr>
        <w:t>2</w:t>
      </w:r>
      <w:r>
        <w:t>cathode and V</w:t>
      </w:r>
      <w:r>
        <w:rPr>
          <w:vertAlign w:val="subscript"/>
        </w:rPr>
        <w:t>2</w:t>
      </w:r>
      <w:r>
        <w:t>C‐F@Zn anode, delivers a high capacity of 220.7 mAh g</w:t>
      </w:r>
      <w:r>
        <w:t xml:space="preserve"> </w:t>
      </w:r>
      <w:r>
        <w:t>−1</w:t>
      </w:r>
      <w:r>
        <w:t xml:space="preserve"> </w:t>
      </w:r>
      <w:r>
        <w:t>at 0.2 A g</w:t>
      </w:r>
      <w:r>
        <w:t xml:space="preserve"> </w:t>
      </w:r>
      <w:r>
        <w:t>−1</w:t>
      </w:r>
      <w:r>
        <w:t xml:space="preserve"> </w:t>
      </w:r>
      <w:r>
        <w:t>, maintains 105.8 mAh g</w:t>
      </w:r>
      <w:r>
        <w:t xml:space="preserve"> </w:t>
      </w:r>
      <w:r>
        <w:t>−1</w:t>
      </w:r>
      <w:r>
        <w:t xml:space="preserve"> </w:t>
      </w:r>
      <w:r>
        <w:t>at 5 A g</w:t>
      </w:r>
      <w:r>
        <w:t xml:space="preserve"> </w:t>
      </w:r>
      <w:r>
        <w:t>−1</w:t>
      </w:r>
      <w:r>
        <w:t xml:space="preserve"> </w:t>
      </w:r>
      <w:r>
        <w:t>, alongside an exceptional cycling stability of 72.8% capacity retention over 60 000 cycles, with a Coulombic efficiency approaching 100%. This work establishes an All‐MXene synergistic strategy in which co‐design of the iodine host and zinc interface enables durable, high‐rate aqueous Zn‐I</w:t>
      </w:r>
      <w:r>
        <w:rPr>
          <w:vertAlign w:val="subscript"/>
        </w:rPr>
        <w:t>2</w:t>
      </w:r>
      <w:r>
        <w:t>batteries.</w:t>
      </w:r>
    </w:p>
    <w:p>
      <w:pPr>
        <w:spacing w:before="120" w:after="120"/>
      </w:pPr>
      <w:r>
        <w:rPr>
          <w:sz w:val="18"/>
        </w:rPr>
        <w:t>——————————————————————————————————————————————————————————————————————</w:t>
      </w:r>
    </w:p>
    <w:p>
      <w:pPr>
        <w:spacing w:before="160" w:after="40" w:line="240" w:lineRule="auto"/>
      </w:pPr>
      <w:r>
        <w:rPr>
          <w:b/>
        </w:rPr>
        <w:t xml:space="preserve">[13] </w:t>
      </w:r>
      <w:hyperlink r:id="rId57">
        <w:r>
          <w:rPr>
            <w:color w:val="1155CC"/>
            <w:u w:val="single"/>
          </w:rPr>
          <w:t>解锁镁电池中的 Mg2+ 传输：芳香结构和系统协同设计</w:t>
        </w:r>
      </w:hyperlink>
    </w:p>
    <w:p>
      <w:pPr>
        <w:spacing w:before="0" w:after="80"/>
      </w:pPr>
      <w:r>
        <w:rPr>
          <w:i/>
          <w:sz w:val="20"/>
        </w:rPr>
        <w:t>EN: Unlocking Mg2+ Transport in Magnesium Batteries: Aromatic Architectures and Systemic Co‐Design</w:t>
      </w:r>
    </w:p>
    <w:p>
      <w:pPr>
        <w:spacing w:before="0" w:after="120"/>
      </w:pPr>
      <w:r>
        <w:rPr>
          <w:b/>
        </w:rPr>
        <w:t xml:space="preserve">Source: </w:t>
      </w:r>
      <w:r>
        <w:t>Wiley: Advanced Energy Materials: Table of Contents</w:t>
      </w:r>
      <w:r>
        <w:t xml:space="preserve">    </w:t>
      </w:r>
      <w:r>
        <w:rPr>
          <w:b/>
        </w:rPr>
        <w:t xml:space="preserve">Pub date: </w:t>
      </w:r>
      <w:r>
        <w:t>2026-06-03 05:30:46+00:00</w:t>
      </w:r>
      <w:r>
        <w:t xml:space="preserve">    </w:t>
      </w:r>
      <w:r>
        <w:rPr>
          <w:b/>
        </w:rPr>
        <w:t xml:space="preserve">DOI: </w:t>
      </w:r>
      <w:hyperlink r:id="rId58">
        <w:r>
          <w:rPr>
            <w:color w:val="1155CC"/>
            <w:u w:val="single"/>
          </w:rPr>
          <w:t>10.1002/aenm.71163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镁电池作为后锂储能系统引起了人们的兴趣，因为镁金属具有高体积容量、在许多条件下无枝晶沉积以及有利的元素丰度。然而，它们的实际发展仍然受到镁含量低迷的限制。</w:t>
      </w:r>
      <w:r>
        <w:t xml:space="preserve"> </w:t>
      </w:r>
      <w:r>
        <w:t>2+</w:t>
      </w:r>
      <w:r>
        <w:t xml:space="preserve"> </w:t>
      </w:r>
      <w:r>
        <w:t>跨长度尺度的传输，包括界面离子去溶剂化和固态扩散。在此背景下，芳香族化合物已成为镁电池设计的平台，不仅因为它们提供氧化还原活性基序，还因为它们的低电负性框架、离域π电子系统和分子可编程性可以减轻局部静电捕获并调节镁</w:t>
      </w:r>
      <w:r>
        <w:t xml:space="preserve"> </w:t>
      </w:r>
      <w:r>
        <w:t>2+</w:t>
      </w:r>
      <w:r>
        <w:t xml:space="preserve"> </w:t>
      </w:r>
      <w:r>
        <w:t>迁移途径。本综述从三个相互关联的角度讨论了芳香族化学如何解决镁电池的关键瓶颈：阴极设计、阳极相间工程和电解质兼容性。特别强调基于苝二酰亚胺（PDI）的系统，它提供了一个罕见的模型平台，其中分子结构、共轭模式、空间畸变、离子可接近的几何结构和存储机制都可以被有意地调整。我们进一步讨论了用于镁金属保护的芳香族人工界面相，包括富勒烯衍生的网络作为机械说明性示例，并分析了电解质化学如何控制存储物种、界面相容性和活性材料状态</w:t>
      </w:r>
    </w:p>
    <w:p>
      <w:pPr>
        <w:spacing w:before="0" w:after="200" w:lineRule="auto" w:line="276"/>
      </w:pPr>
      <w:r>
        <w:rPr>
          <w:b/>
        </w:rPr>
        <w:t xml:space="preserve">Abstract (EN): </w:t>
      </w:r>
      <w:r>
        <w:t>Magnesium batteries have attracted interest as post‐lithium energy‐storage systems because Mg metal offers high volumetric capacity, dendrite‐free deposition under many conditions, and favorable elemental abundance. However, their practical development remains limited by sluggish Mg</w:t>
      </w:r>
      <w:r>
        <w:t xml:space="preserve"> </w:t>
      </w:r>
      <w:r>
        <w:t>2+</w:t>
      </w:r>
      <w:r>
        <w:t xml:space="preserve"> </w:t>
      </w:r>
      <w:r>
        <w:t>transport across length scales, including interfacial ion desolvation and solid‐state diffusion. Against this backdrop, aromatic compounds have emerged as a platform for magnesium‐battery design, not simply because they provide redox‐active motifs, but because their low‐electronegativity frameworks, delocalized π‐electron systems, and molecular programmability can mitigate localized electrostatic trapping and regulate Mg</w:t>
      </w:r>
      <w:r>
        <w:t xml:space="preserve"> </w:t>
      </w:r>
      <w:r>
        <w:t>2+</w:t>
      </w:r>
      <w:r>
        <w:t xml:space="preserve"> </w:t>
      </w:r>
      <w:r>
        <w:t>migration pathways. This review discusses how aromatic chemistry can address the key bottlenecks of magnesium batteries from three interconnected perspectives: cathode design, anode interphase engineering, and electrolyte compatibility. Particular emphasis is placed on perylene diimide (PDI)‐based systems, which provide a rare model platform in which molecular structure, conjugation mode, steric distortion, ion‐accessible geometry, and storage mechanism can all be deliberately tuned. We further discuss aromatic artificial interphases for Mg‐metal protection, including fullerene‐derived networks as mechanistically illustrative examples, and analyze how electrolyte chemistry governs storage species, interfacial compatibility, and active‐material stability. Rather than treating cathodes, anodes, and electrolytes as isolated components, this review emphasizes mechanism‐oriented co‐design and critically assesses the limitations of aromatic materials for magnesium batteries.</w:t>
      </w:r>
    </w:p>
    <w:p>
      <w:pPr>
        <w:spacing w:before="120" w:after="120"/>
      </w:pPr>
      <w:r>
        <w:rPr>
          <w:sz w:val="18"/>
        </w:rPr>
        <w:t>——————————————————————————————————————————————————————————————————————</w:t>
      </w:r>
    </w:p>
    <w:p>
      <w:pPr>
        <w:spacing w:before="160" w:after="40" w:line="240" w:lineRule="auto"/>
      </w:pPr>
      <w:r>
        <w:rPr>
          <w:b/>
        </w:rPr>
        <w:t xml:space="preserve">[14] </w:t>
      </w:r>
      <w:hyperlink r:id="rId59">
        <w:r>
          <w:rPr>
            <w:color w:val="1155CC"/>
            <w:u w:val="single"/>
          </w:rPr>
          <w:t>结构和界面稳定的粘合剂工程使 NCM811 阴极在 4.6 V 下具有高倍率能力（Adv. Energy Mater. 21/2026）</w:t>
        </w:r>
      </w:hyperlink>
    </w:p>
    <w:p>
      <w:pPr>
        <w:spacing w:before="0" w:after="80"/>
      </w:pPr>
      <w:r>
        <w:rPr>
          <w:i/>
          <w:sz w:val="20"/>
        </w:rPr>
        <w:t>EN: Structure and Interfacial‐Stable Binder Engineering Enables High‐Rate Capability of NCM811 Cathodes at 4.6 V (Adv. Energy Mater. 21/2026)</w:t>
      </w:r>
    </w:p>
    <w:p>
      <w:pPr>
        <w:spacing w:before="0" w:after="120"/>
      </w:pPr>
      <w:r>
        <w:rPr>
          <w:b/>
        </w:rPr>
        <w:t xml:space="preserve">Source: </w:t>
      </w:r>
      <w:r>
        <w:t>Wiley: Advanced Energy Materials: Table of Contents</w:t>
      </w:r>
      <w:r>
        <w:t xml:space="preserve">    </w:t>
      </w:r>
      <w:r>
        <w:rPr>
          <w:b/>
        </w:rPr>
        <w:t xml:space="preserve">Pub date: </w:t>
      </w:r>
      <w:r>
        <w:t>2026-06-03 05:51:05+00:00</w:t>
      </w:r>
      <w:r>
        <w:t xml:space="preserve">    </w:t>
      </w:r>
      <w:r>
        <w:rPr>
          <w:b/>
        </w:rPr>
        <w:t xml:space="preserve">DOI: </w:t>
      </w:r>
      <w:hyperlink r:id="rId60">
        <w:r>
          <w:rPr>
            <w:color w:val="1155CC"/>
            <w:u w:val="single"/>
          </w:rPr>
          <w:t>10.1002/aenm.70996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61">
        <w:r>
          <w:rPr>
            <w:color w:val="1155CC"/>
            <w:u w:val="single"/>
          </w:rPr>
          <w:t>键交换驱动的界面继电器氧化还原使超高倍率锌电池具有高碘利用率</w:t>
        </w:r>
      </w:hyperlink>
    </w:p>
    <w:p>
      <w:pPr>
        <w:spacing w:before="0" w:after="80"/>
      </w:pPr>
      <w:r>
        <w:rPr>
          <w:i/>
          <w:sz w:val="20"/>
        </w:rPr>
        <w:t>EN: Bond Exchange‐Driven Interfacial Relay Redox Enables Ultrahigh‐Rate Zn Batteries With High Iodine Utilization</w:t>
      </w:r>
    </w:p>
    <w:p>
      <w:pPr>
        <w:spacing w:before="0" w:after="120"/>
      </w:pPr>
      <w:r>
        <w:rPr>
          <w:b/>
        </w:rPr>
        <w:t xml:space="preserve">Source: </w:t>
      </w:r>
      <w:r>
        <w:t>Wiley: Angewandte Chemie International Edition: Table of Contents</w:t>
      </w:r>
      <w:r>
        <w:t xml:space="preserve">    </w:t>
      </w:r>
      <w:r>
        <w:rPr>
          <w:b/>
        </w:rPr>
        <w:t xml:space="preserve">Pub date: </w:t>
      </w:r>
      <w:r>
        <w:t>2026-06-03 14:34:23+00:00</w:t>
      </w:r>
      <w:r>
        <w:t xml:space="preserve">    </w:t>
      </w:r>
      <w:r>
        <w:rPr>
          <w:b/>
        </w:rPr>
        <w:t xml:space="preserve">DOI: </w:t>
      </w:r>
      <w:hyperlink r:id="rId62">
        <w:r>
          <w:rPr>
            <w:color w:val="1155CC"/>
            <w:u w:val="single"/>
          </w:rPr>
          <w:t>10.1002/anie.7078697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锌水溶液||碘电池在多种应用场景中具有广阔的前景，但存在严重的“死碘”问题，导致碘利用率和面积容量有限，特别是在高倍率下。在这里，我们设计了一种由卤素键交换驱动的界面中继氧化还原策略来应对这一挑战。使用电化学产生的聚碘化物（例如，I</w:t>
      </w:r>
      <w:r>
        <w:rPr>
          <w:vertAlign w:val="subscript"/>
        </w:rPr>
        <w:t>3</w:t>
      </w:r>
      <w:r>
        <w:t>-</w:t>
      </w:r>
      <w:r>
        <w:t>）从集流体上的碘化锍作为氧化还原锚，我们的方法能够在电解质-电极界面处实现碘中继转换，并具有均匀的聚碘化物沉积/溶解。形成的疏水性有机阳离子-聚碘化物对抑制穿梭，而卤素键交换促进快速离子/电子传输以及I的进一步转化。</w:t>
      </w:r>
      <w:r>
        <w:rPr>
          <w:vertAlign w:val="subscript"/>
        </w:rPr>
        <w:t>3</w:t>
      </w:r>
      <w:r>
        <w:t>-</w:t>
      </w:r>
      <w:r>
        <w:t>对我</w:t>
      </w:r>
      <w:r>
        <w:rPr>
          <w:vertAlign w:val="subscript"/>
        </w:rPr>
        <w:t>5</w:t>
      </w:r>
      <w:r>
        <w:t>-</w:t>
      </w:r>
      <w:r>
        <w:t>，有效消除“死碘”。因此，锌 ||碘电池表现出卓越的倍率能力（高达 100 mA cm</w:t>
      </w:r>
      <w:r>
        <w:t xml:space="preserve"> </w:t>
      </w:r>
      <w:r>
        <w:t>−2</w:t>
      </w:r>
      <w:r>
        <w:t xml:space="preserve"> </w:t>
      </w:r>
      <w:r>
        <w:t>），碘利用率高（1–40 mA cm 时为 51%–80%</w:t>
      </w:r>
      <w:r>
        <w:t xml:space="preserve"> </w:t>
      </w:r>
      <w:r>
        <w:t>−2</w:t>
      </w:r>
      <w:r>
        <w:t xml:space="preserve"> </w:t>
      </w:r>
      <w:r>
        <w:t>）和长期循环能力（&gt; 1,200 个循环，7.04 mA h cm</w:t>
      </w:r>
      <w:r>
        <w:t xml:space="preserve"> </w:t>
      </w:r>
      <w:r>
        <w:t>−2</w:t>
      </w:r>
      <w:r>
        <w:t xml:space="preserve"> </w:t>
      </w:r>
      <w:r>
        <w:t>），远远超出了大多数最先进的系统。软包电池验证了其实用性。这项工作为设计具有高能量/功率密度和延长寿命的静态卤素电池建立了新的范例，提供</w:t>
      </w:r>
    </w:p>
    <w:p>
      <w:pPr>
        <w:spacing w:before="0" w:after="200" w:lineRule="auto" w:line="276"/>
      </w:pPr>
      <w:r>
        <w:rPr>
          <w:b/>
        </w:rPr>
        <w:t xml:space="preserve">Abstract (EN): </w:t>
      </w:r>
      <w:r>
        <w:t>Aqueous Zn || iodine batteries are promising for multiple application scenarios but suffer from severe “dead iodine” issues, leading to limited iodine utilization and areal capacity, especially at high rates. Here, we design an interfacial relay redox strategy driven by halogen‐bond exchange to address this challenge. Using electrochemically generated polyiodides (e.g., I</w:t>
      </w:r>
      <w:r>
        <w:rPr>
          <w:vertAlign w:val="subscript"/>
        </w:rPr>
        <w:t>3</w:t>
      </w:r>
      <w:r>
        <w:t>−</w:t>
      </w:r>
      <w:r>
        <w:t>) from sulfonium iodides on the current collector as redox anchors, our approach enables iodine relay conversion at the electrolyte–electrode interface with uniform polyiodide deposition/dissolution. The formed hydrophobic organic cation‐polyiodide pairs suppress shuttling, while halogen‐bond exchange promotes rapid ion/electron transport and further conversion from I</w:t>
      </w:r>
      <w:r>
        <w:rPr>
          <w:vertAlign w:val="subscript"/>
        </w:rPr>
        <w:t>3</w:t>
      </w:r>
      <w:r>
        <w:t>−</w:t>
      </w:r>
      <w:r>
        <w:t>to I</w:t>
      </w:r>
      <w:r>
        <w:rPr>
          <w:vertAlign w:val="subscript"/>
        </w:rPr>
        <w:t>5</w:t>
      </w:r>
      <w:r>
        <w:t>−</w:t>
      </w:r>
      <w:r>
        <w:t>, effectively eliminating “dead iodine.” Consequently, the Zn || iodine battery demonstrates exceptional rate capability (up to 100 mA cm</w:t>
      </w:r>
      <w:r>
        <w:t xml:space="preserve"> </w:t>
      </w:r>
      <w:r>
        <w:t>−2</w:t>
      </w:r>
      <w:r>
        <w:t xml:space="preserve"> </w:t>
      </w:r>
      <w:r>
        <w:t>), high iodine utilization (51%–80% at 1–40 mA cm</w:t>
      </w:r>
      <w:r>
        <w:t xml:space="preserve"> </w:t>
      </w:r>
      <w:r>
        <w:t>−2</w:t>
      </w:r>
      <w:r>
        <w:t xml:space="preserve"> </w:t>
      </w:r>
      <w:r>
        <w:t>), and long‐term cyclability (&amp;gt; 1,200 cycles at 7.04 mA h cm</w:t>
      </w:r>
      <w:r>
        <w:t xml:space="preserve"> </w:t>
      </w:r>
      <w:r>
        <w:t>−2</w:t>
      </w:r>
      <w:r>
        <w:t xml:space="preserve"> </w:t>
      </w:r>
      <w:r>
        <w:t>), far beyond most of the state‐of‐the‐art systems. A pouch cell validates its practicality. This work establishes a new paradigm for designing static halogen batteries with high energy/power density and extended lifespan, offering broader insights for energy storage systems.</w:t>
      </w:r>
    </w:p>
    <w:p>
      <w:pPr>
        <w:spacing w:before="120" w:after="120"/>
      </w:pPr>
      <w:r>
        <w:rPr>
          <w:sz w:val="18"/>
        </w:rPr>
        <w:t>——————————————————————————————————————————————————————————————————————</w:t>
      </w:r>
    </w:p>
    <w:p>
      <w:pPr>
        <w:spacing w:before="160" w:after="40" w:line="240" w:lineRule="auto"/>
      </w:pPr>
      <w:r>
        <w:rPr>
          <w:b/>
        </w:rPr>
        <w:t xml:space="preserve">[16] </w:t>
      </w:r>
      <w:hyperlink r:id="rId63">
        <w:r>
          <w:rPr>
            <w:color w:val="1155CC"/>
            <w:u w:val="single"/>
          </w:rPr>
          <w:t>修正：前体驱动的 Jahn-Teller 畸变是锰稳定富镍阴极表面不稳定性的隐藏根源</w:t>
        </w:r>
      </w:hyperlink>
    </w:p>
    <w:p>
      <w:pPr>
        <w:spacing w:before="0" w:after="80"/>
      </w:pPr>
      <w:r>
        <w:rPr>
          <w:i/>
          <w:sz w:val="20"/>
        </w:rPr>
        <w:t>EN: Correction: Precursor-driven Jahn–Teller distortion as a hidden origin of surface instability in Mn-stabilized Ni-rich cathodes</w:t>
      </w:r>
    </w:p>
    <w:p>
      <w:pPr>
        <w:spacing w:before="0" w:after="120"/>
      </w:pPr>
      <w:r>
        <w:rPr>
          <w:b/>
        </w:rPr>
        <w:t xml:space="preserve">Source: </w:t>
      </w:r>
      <w:r>
        <w:t>RSC - Energy Environ. Sci. latest articles</w:t>
      </w:r>
      <w:r>
        <w:t xml:space="preserve">    </w:t>
      </w:r>
      <w:r>
        <w:rPr>
          <w:b/>
        </w:rPr>
        <w:t xml:space="preserve">Pub date: </w:t>
      </w:r>
      <w:r>
        <w:t>2026-06-03 23:00:00+00:00</w:t>
      </w:r>
    </w:p>
    <w:p>
      <w:pPr>
        <w:spacing w:before="0" w:after="120"/>
      </w:pPr>
      <w:r>
        <w:rPr>
          <w:b/>
        </w:rPr>
        <w:t xml:space="preserve">Notes: </w:t>
      </w:r>
      <w:r>
        <w:t>abstract_source=rsc_html</w:t>
      </w:r>
    </w:p>
    <w:p>
      <w:pPr>
        <w:spacing w:before="0" w:after="80" w:lineRule="auto" w:line="276"/>
      </w:pPr>
      <w:r>
        <w:rPr>
          <w:b/>
        </w:rPr>
        <w:t xml:space="preserve">摘要（ZH）: </w:t>
      </w:r>
      <w:r>
        <w:t>JinHa Shim 等人，Energy Environ 对“前体驱动的 Jahn-Teller 畸变作为锰稳定富镍阴极表面不稳定性的隐藏根源”进行了修正。科学，2026，https://doi.org/10.1039/D6EE00713A。</w:t>
      </w:r>
    </w:p>
    <w:p>
      <w:pPr>
        <w:spacing w:before="0" w:after="200" w:lineRule="auto" w:line="276"/>
      </w:pPr>
      <w:r>
        <w:rPr>
          <w:b/>
        </w:rPr>
        <w:t xml:space="preserve">Abstract (EN): </w:t>
      </w:r>
      <w:r>
        <w:t>Correction for ‘Precursor-driven Jahn–Teller distortion as a hidden origin of surface instability in Mn-stabilized Ni-rich cathodes’ by JinHa Shim et al., Energy Environ. Sci., 2026, https://doi.org/10.1039/D6EE00713A.</w:t>
      </w:r>
    </w:p>
    <w:p>
      <w:pPr>
        <w:spacing w:before="120" w:after="120"/>
      </w:pPr>
      <w:r>
        <w:rPr>
          <w:sz w:val="18"/>
        </w:rPr>
        <w:t>——————————————————————————————————————————————————————————————————————</w:t>
      </w:r>
    </w:p>
    <w:p>
      <w:pPr>
        <w:spacing w:before="160" w:after="40" w:line="240" w:lineRule="auto"/>
      </w:pPr>
      <w:r>
        <w:rPr>
          <w:b/>
        </w:rPr>
        <w:t xml:space="preserve">[17] </w:t>
      </w:r>
      <w:hyperlink r:id="rId64">
        <w:r>
          <w:rPr>
            <w:color w:val="1155CC"/>
            <w:u w:val="single"/>
          </w:rPr>
          <w:t>通过合理设计高熵层状氧化物阴极协同相工程和选点替代，实现空气稳定和长寿命钠离子电池</w:t>
        </w:r>
      </w:hyperlink>
    </w:p>
    <w:p>
      <w:pPr>
        <w:spacing w:before="0" w:after="80"/>
      </w:pPr>
      <w:r>
        <w:rPr>
          <w:i/>
          <w:sz w:val="20"/>
        </w:rPr>
        <w:t>EN: Synergizing Phase Engineering and Site-selective Substitution Through Rational Design of High-Entropy Layered Oxide Cathode Enables Air-Stable and Long-life Sodium-ion Batteries</w:t>
      </w:r>
    </w:p>
    <w:p>
      <w:pPr>
        <w:spacing w:before="0" w:after="120"/>
      </w:pPr>
      <w:r>
        <w:rPr>
          <w:b/>
        </w:rPr>
        <w:t xml:space="preserve">Source: </w:t>
      </w:r>
      <w:r>
        <w:t>RSC - Energy Environ. Sci. latest articles</w:t>
      </w:r>
      <w:r>
        <w:t xml:space="preserve">    </w:t>
      </w:r>
      <w:r>
        <w:rPr>
          <w:b/>
        </w:rPr>
        <w:t xml:space="preserve">Pub date: </w:t>
      </w:r>
      <w:r>
        <w:t>2026-06-03 23:00:00+00:00</w:t>
      </w:r>
    </w:p>
    <w:p>
      <w:pPr>
        <w:spacing w:before="0" w:after="120"/>
      </w:pPr>
      <w:r>
        <w:rPr>
          <w:b/>
        </w:rPr>
        <w:t xml:space="preserve">Notes: </w:t>
      </w:r>
      <w:r>
        <w:t>abstract_source=rsc_html</w:t>
      </w:r>
    </w:p>
    <w:p>
      <w:pPr>
        <w:spacing w:before="0" w:after="80" w:lineRule="auto" w:line="276"/>
      </w:pPr>
      <w:r>
        <w:rPr>
          <w:b/>
        </w:rPr>
        <w:t xml:space="preserve">摘要（ZH）: </w:t>
      </w:r>
      <w:r>
        <w:t>P2-Na0.67Ni0.33Mn0.67O2 阴极面临商业化障碍，因为充电电压高于 4.0 V 时会发生不可逆的 P2-O2 相变，放电至 2.0 V 时会发生 Mn3+ 降解，此外还具有湿度敏感性，导致生产和存储成本高昂。为了应对这些挑战，我们通过合理设计Na0.80Mn0.60Mg0.07Ni0.23Cu0.07Zn0.03O2（P2/O3-Na8M）层状氧化物实现了相工程和位点选择性取代的协同作用。 Na位点上Zn的位点选择性取代充当支柱，通过比Na+-O-Na+更强的Zn2+-O-Zn2+吸引力来防止不可逆相变并阻止H2O插入，而TM位点中的Cu/Mg通过比Ni-O更强的Cu-O共价性抑制氧损失，减少Na+/H+交换，从而通过分别降低其整体阳离子电势来稳定Na-O键，从而进一步增强结构稳定性。减轻 Jahn-Teller 畸变并实现超宽电位操作。理论和实验研究表明，P2/O3相异质结构降低了Na+扩散势垒，使P2/O3-Na8M能够在0.1 C下提供150 mAh g-1，在5 C、1.8-4.4 V内进行300次循环后保留80.8%，同时在暴露于空气/水35天后保持结构和性能。全电池可实现281.2 Wh kg-1的高能量密度和1 C下600次循环后82.5%的保留率。</w:t>
      </w:r>
    </w:p>
    <w:p>
      <w:pPr>
        <w:spacing w:before="0" w:after="200" w:lineRule="auto" w:line="276"/>
      </w:pPr>
      <w:r>
        <w:rPr>
          <w:b/>
        </w:rPr>
        <w:t xml:space="preserve">Abstract (EN): </w:t>
      </w:r>
      <w:r>
        <w:t>P2-Na0.67Ni0.33Mn0.67O2 cathodes face commercialization barriers since irreversible P2-O2 phase transitions when charged above 4.0 V and the Mn3+ degradation if discharged to 2.0 V, as well as the moisture sensitivity, resulting in high cost for production and storage. To address these challenges, we realized the synergy of phase engineering and site-selective substitution through rational design of layered oxide of Na0.80Mn0.60Mg0.07Ni0.23Cu0.07Zn0.03O2 (P2/O3-Na8M). Site-selective substitution of Zn at Na-sites acts as a pillar, preventing irreversible phase transitions and resisting H2O insertion via stronger Zn2+-O-Zn2+ attraction compared to Na+-O-Na+, while Cu/Mg in TM sites further enhances structural stability by suppressing oxygen loss through stronger Cu-O covalency than Ni-O, reducing Na+/H+ exchange, thus stabilizing Na-O bonds by lowering its overall cationic potential respectively, in addition to mitigating the Jahn-Teller distortions and enabling ultra-wide potential operation. Theoretical and experimental investigations reveal that the P2/O3 phase heterostructure lowers Na+ diffusion barrier, enabling P2/O3-Na8M to deliver 150 mAh g-1 at 0.1 C with 80.8% retention after 300 cycles at 5 C within 1.8-4.4 V, while preserving structure and performance after 35 days air/water exposure. The full cell can achieve high energy density of 281.2 Wh kg-1 and 82.5% retention after 600 cycles at 1 C.</w:t>
      </w:r>
    </w:p>
    <w:p>
      <w:pPr>
        <w:spacing w:before="120" w:after="120"/>
      </w:pPr>
      <w:r>
        <w:rPr>
          <w:sz w:val="18"/>
        </w:rPr>
        <w:t>——————————————————————————————————————————————————————————————————————</w:t>
      </w:r>
    </w:p>
    <w:p>
      <w:pPr>
        <w:spacing w:before="160" w:after="40" w:line="240" w:lineRule="auto"/>
      </w:pPr>
      <w:r>
        <w:rPr>
          <w:b/>
        </w:rPr>
        <w:t xml:space="preserve">[18] </w:t>
      </w:r>
      <w:hyperlink r:id="rId65">
        <w:r>
          <w:rPr>
            <w:color w:val="1155CC"/>
            <w:u w:val="single"/>
          </w:rPr>
          <w:t>共插溶剂的分解是双离子电池中石墨阴极失效的被忽视的驱动因素</w:t>
        </w:r>
      </w:hyperlink>
    </w:p>
    <w:p>
      <w:pPr>
        <w:spacing w:before="0" w:after="80"/>
      </w:pPr>
      <w:r>
        <w:rPr>
          <w:i/>
          <w:sz w:val="20"/>
        </w:rPr>
        <w:t>EN: Decomposition of Co‐Intercalated Solvents as the Overlooked Driver of Graphite Cathode Failure in Dual‐Ion Batteries</w:t>
      </w:r>
    </w:p>
    <w:p>
      <w:pPr>
        <w:spacing w:before="0" w:after="120"/>
      </w:pPr>
      <w:r>
        <w:rPr>
          <w:b/>
        </w:rPr>
        <w:t xml:space="preserve">Source: </w:t>
      </w:r>
      <w:r>
        <w:t>Wiley: Advanced Energy Materials: Table of Contents</w:t>
      </w:r>
      <w:r>
        <w:t xml:space="preserve">    </w:t>
      </w:r>
      <w:r>
        <w:rPr>
          <w:b/>
        </w:rPr>
        <w:t xml:space="preserve">Pub date: </w:t>
      </w:r>
      <w:r>
        <w:t>2026-06-04 07:43:34+00:00</w:t>
      </w:r>
      <w:r>
        <w:t xml:space="preserve">    </w:t>
      </w:r>
      <w:r>
        <w:rPr>
          <w:b/>
        </w:rPr>
        <w:t xml:space="preserve">DOI: </w:t>
      </w:r>
      <w:hyperlink r:id="rId66">
        <w:r>
          <w:rPr>
            <w:color w:val="1155CC"/>
            <w:u w:val="single"/>
          </w:rPr>
          <w:t>10.1002/aenm.71132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墨阴极中的阴离子嵌入可实现高功率、高电压和低成本的双离子电池（DIB）。然而，循环过程中不可逆的石墨剥落会逐渐降低电接触性能，这种现象普遍存在的故障模型归因于阴离子嵌入（脱嵌）过程中的巨大体积变化。在这里，我们揭示了共插溶剂的不可逆分解构成了剥落和随后的电连接损失的关键但被忽视的驱动因素。电位依赖性</w:t>
      </w:r>
      <w:r>
        <w:t xml:space="preserve"> </w:t>
      </w:r>
      <w:r>
        <w:t>操作</w:t>
      </w:r>
      <w:r>
        <w:t xml:space="preserve"> </w:t>
      </w:r>
      <w:r>
        <w:t>跟踪揭示了共插溶剂（例如碳酸甲乙酯 (EMC)）在高于 4.9 V（相对于 Li/Li）时分解</w:t>
      </w:r>
      <w:r>
        <w:t xml:space="preserve"> </w:t>
      </w:r>
      <w:r>
        <w:t>+</w:t>
      </w:r>
      <w:r>
        <w:t xml:space="preserve"> </w:t>
      </w:r>
      <w:r>
        <w:t>在有限的画廊空间里。该过程产生气体产物，引起局部应力不均匀性，直接引发剥落。根据这一修改后的机制，我们重新审视了氟代碳酸亚乙酯（FEC）在提高石墨阴极可逆性方面的作用，并证明它通过抑制溶剂共嵌入来发挥作用，这与之前所持有的保护性界面形成的观点相反。因此，通过阐明失效途径，我们的工作将溶剂排除确定为 DIB 中高压石墨阴极的关键设计原则。</w:t>
      </w:r>
    </w:p>
    <w:p>
      <w:pPr>
        <w:spacing w:before="0" w:after="200" w:lineRule="auto" w:line="276"/>
      </w:pPr>
      <w:r>
        <w:rPr>
          <w:b/>
        </w:rPr>
        <w:t xml:space="preserve">Abstract (EN): </w:t>
      </w:r>
      <w:r>
        <w:t>Anion‐intercalation in graphite cathodes enables high‐power, high‐voltage, and low‐cost dual‐ion batteries (DIBs). However, irreversible graphite exfoliation during cycling progressively degrades electrical contacts, a phenomenon that prevailing failure models attribute to substantial volume variations during anion (de)intercalation. Here, we reveal that the irreversible decomposition of co‐intercalated solvents constitutes the critical, yet overlooked driver of exfoliation and the subsequent loss of electrical connectivity. Potential‐dependent</w:t>
      </w:r>
      <w:r>
        <w:t xml:space="preserve"> </w:t>
      </w:r>
      <w:r>
        <w:t>operando</w:t>
      </w:r>
      <w:r>
        <w:t xml:space="preserve"> </w:t>
      </w:r>
      <w:r>
        <w:t>tracking unveils that co‐intercalated solvents such as ethyl methyl carbonate (EMC) decompose above 4.9 V vs. Li/Li</w:t>
      </w:r>
      <w:r>
        <w:t xml:space="preserve"> </w:t>
      </w:r>
      <w:r>
        <w:t>+</w:t>
      </w:r>
      <w:r>
        <w:t xml:space="preserve"> </w:t>
      </w:r>
      <w:r>
        <w:t>in the confined gallery space. This process generates gaseous products that induce localized stress heterogeneity, directly triggering exfoliation. In light of this revised mechanism, we revisit the role of fluoroethylene carbonate (FEC) in improving graphite cathode reversibility, and demonstrate that it functions by inhibiting solvent co‐intercalation, contrary to the previously held belief of protective interphase formation. Thus, by clarifying the failure pathway, our work identifies solvent exclusion as a key design principle for high‐voltage graphite cathodes in DIBs.</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67">
        <w:r>
          <w:rPr>
            <w:color w:val="1155CC"/>
            <w:u w:val="single"/>
          </w:rPr>
          <w:t>铟介导的胶状中间层可实现稳定的高容量柔性钠金属电池</w:t>
        </w:r>
      </w:hyperlink>
    </w:p>
    <w:p>
      <w:pPr>
        <w:spacing w:before="0" w:after="80"/>
      </w:pPr>
      <w:r>
        <w:rPr>
          <w:i/>
          <w:sz w:val="20"/>
        </w:rPr>
        <w:t>EN: Indium‐Mediated Glue‐Like Interlayer Enables Stable High‐Capacity Flexible Sodium Metal Batteries</w:t>
      </w:r>
    </w:p>
    <w:p>
      <w:pPr>
        <w:spacing w:before="0" w:after="120"/>
      </w:pPr>
      <w:r>
        <w:rPr>
          <w:b/>
        </w:rPr>
        <w:t xml:space="preserve">Source: </w:t>
      </w:r>
      <w:r>
        <w:t>Wiley: Advanced Materials: Table of Contents</w:t>
      </w:r>
      <w:r>
        <w:t xml:space="preserve">    </w:t>
      </w:r>
      <w:r>
        <w:rPr>
          <w:b/>
        </w:rPr>
        <w:t xml:space="preserve">Pub date: </w:t>
      </w:r>
      <w:r>
        <w:t>2026-05-30 04:36:57+00:00</w:t>
      </w:r>
      <w:r>
        <w:t xml:space="preserve">    </w:t>
      </w:r>
      <w:r>
        <w:rPr>
          <w:b/>
        </w:rPr>
        <w:t xml:space="preserve">DOI: </w:t>
      </w:r>
      <w:hyperlink r:id="rId68">
        <w:r>
          <w:rPr>
            <w:color w:val="1155CC"/>
            <w:u w:val="single"/>
          </w:rPr>
          <w:t>10.1002/adma.73556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钠金属由于其高理论容量（1166 mAh g）被认为是一种非常有前途的钠电池负极材料</w:t>
      </w:r>
      <w:r>
        <w:t xml:space="preserve"> </w:t>
      </w:r>
      <w:r>
        <w:t>−1</w:t>
      </w:r>
      <w:r>
        <w:t xml:space="preserve"> </w:t>
      </w:r>
      <w:r>
        <w:t>）和低氧化还原电位（−2.71 V vs. SHE）。然而，其实际应用受到界面不稳定性和钠沉积不均匀引起的枝晶形成的严重阻碍，严重影响了其循环寿命。在这里，我们通过 CuInS 的原位电化学转化开发了一种坚固的三维胶状中间层</w:t>
      </w:r>
      <w:r>
        <w:rPr>
          <w:vertAlign w:val="subscript"/>
        </w:rPr>
        <w:t>2</w:t>
      </w:r>
      <w:r>
        <w:t>在柔性铜集流体上。该过程产生Na</w:t>
      </w:r>
      <w:r>
        <w:rPr>
          <w:vertAlign w:val="subscript"/>
        </w:rPr>
        <w:t>2</w:t>
      </w:r>
      <w:r>
        <w:t>硫/钠</w:t>
      </w:r>
      <w:r>
        <w:rPr>
          <w:vertAlign w:val="subscript"/>
        </w:rPr>
        <w:t>5</w:t>
      </w:r>
      <w:r>
        <w:t>硫化铟</w:t>
      </w:r>
      <w:r>
        <w:rPr>
          <w:vertAlign w:val="subscript"/>
        </w:rPr>
        <w:t>4</w:t>
      </w:r>
      <w:r>
        <w:t>/Cu复合中间层具有强大的相间连接，确保在整个长时间循环过程中紧密的界面连接和卓越的机械稳定性，从而有效减轻界面退化。通过该中间层，Na金属阳极实现了超过99.4%的高库仑效率、超过2400小时的出色的对称电池稳定性以及优异的高容量全电池循环（1000次循环后容量保持率为95.3%）。柔性软包电池在 200 次循环后仍能保持 95% 的容量，并能承受超过 10,000 次弯曲。</w:t>
      </w:r>
    </w:p>
    <w:p>
      <w:pPr>
        <w:spacing w:before="0" w:after="200" w:lineRule="auto" w:line="276"/>
      </w:pPr>
      <w:r>
        <w:rPr>
          <w:b/>
        </w:rPr>
        <w:t xml:space="preserve">Abstract (EN): </w:t>
      </w:r>
      <w:r>
        <w:t>Na metal is considered as a highly promising anode material for Na batteries, owing to its high theoretical capacity (1166 mAh g</w:t>
      </w:r>
      <w:r>
        <w:t xml:space="preserve"> </w:t>
      </w:r>
      <w:r>
        <w:t>−1</w:t>
      </w:r>
      <w:r>
        <w:t xml:space="preserve"> </w:t>
      </w:r>
      <w:r>
        <w:t>) and low redox potential (−2.71 V vs. SHE). However, its practical application is significantly hindered by interfacial instability and dendrite formation arising from uneven Na deposition, which severely compromise its cycling lifespan. Herein, we develop a robust three‐dimensional glue‐like interlayer via in situ electrochemical conversion of CuInS</w:t>
      </w:r>
      <w:r>
        <w:rPr>
          <w:vertAlign w:val="subscript"/>
        </w:rPr>
        <w:t>2</w:t>
      </w:r>
      <w:r>
        <w:t>on a flexible Cu current collector. This process yields a Na</w:t>
      </w:r>
      <w:r>
        <w:rPr>
          <w:vertAlign w:val="subscript"/>
        </w:rPr>
        <w:t>2</w:t>
      </w:r>
      <w:r>
        <w:t>S/Na</w:t>
      </w:r>
      <w:r>
        <w:rPr>
          <w:vertAlign w:val="subscript"/>
        </w:rPr>
        <w:t>5</w:t>
      </w:r>
      <w:r>
        <w:t>InS</w:t>
      </w:r>
      <w:r>
        <w:rPr>
          <w:vertAlign w:val="subscript"/>
        </w:rPr>
        <w:t>4</w:t>
      </w:r>
      <w:r>
        <w:t>/Cu composite interlayer of strong interphase connections, ensuring tight interfacial connections and exceptional mechanical stability throughout extended cycling, thereby effectively mitigating interfacial degradation. With this interlayer, the Na metal anode achieves a high Coulombic efficiency over 99.4%, outstanding symmetrical cell stability exceeding 2400 hours, and excellent high‐capacity full cell cycling (95.3% capacity retention after 1000 cycles). Flexible pouch cells retain 95% capacity over 200 cycles and endure more than 10,000 bending.</w:t>
      </w:r>
    </w:p>
    <w:p>
      <w:pPr>
        <w:spacing w:before="120" w:after="120"/>
      </w:pPr>
      <w:r>
        <w:rPr>
          <w:sz w:val="18"/>
        </w:rPr>
        <w:t>——————————————————————————————————————————————————————————————————————</w:t>
      </w:r>
    </w:p>
    <w:p>
      <w:pPr>
        <w:spacing w:before="160" w:after="40" w:line="240" w:lineRule="auto"/>
      </w:pPr>
      <w:r>
        <w:rPr>
          <w:b/>
        </w:rPr>
        <w:t xml:space="preserve">[2] </w:t>
      </w:r>
      <w:hyperlink r:id="rId69">
        <w:r>
          <w:rPr>
            <w:color w:val="1155CC"/>
            <w:u w:val="single"/>
          </w:rPr>
          <w:t>轨道杂交纳米种子中间相可实现一分钟可充电、能量密集的无阳极水性锌电池</w:t>
        </w:r>
      </w:hyperlink>
    </w:p>
    <w:p>
      <w:pPr>
        <w:spacing w:before="0" w:after="80"/>
      </w:pPr>
      <w:r>
        <w:rPr>
          <w:i/>
          <w:sz w:val="20"/>
        </w:rPr>
        <w:t>EN: Orbital‐Hybridizable Nanoseed Interphase Enables One‐Minute Rechargeable, Energy‐Dense Anode‐Free Aqueous Zinc Batteries</w:t>
      </w:r>
    </w:p>
    <w:p>
      <w:pPr>
        <w:spacing w:before="0" w:after="120"/>
      </w:pPr>
      <w:r>
        <w:rPr>
          <w:b/>
        </w:rPr>
        <w:t xml:space="preserve">Source: </w:t>
      </w:r>
      <w:r>
        <w:t>Wiley: Advanced Materials: Table of Contents</w:t>
      </w:r>
      <w:r>
        <w:t xml:space="preserve">    </w:t>
      </w:r>
      <w:r>
        <w:rPr>
          <w:b/>
        </w:rPr>
        <w:t xml:space="preserve">Pub date: </w:t>
      </w:r>
      <w:r>
        <w:t>2026-05-30 04:39:43+00:00</w:t>
      </w:r>
      <w:r>
        <w:t xml:space="preserve">    </w:t>
      </w:r>
      <w:r>
        <w:rPr>
          <w:b/>
        </w:rPr>
        <w:t xml:space="preserve">DOI: </w:t>
      </w:r>
      <w:hyperlink r:id="rId70">
        <w:r>
          <w:rPr>
            <w:color w:val="1155CC"/>
            <w:u w:val="single"/>
          </w:rPr>
          <w:t>10.1002/adma.73553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性锌（Zn）电池正在成为储能系统（ESS）和可穿戴电子产品的有希望的候选者，但其实际应用受到低能量密度和锌阳极-电解质界面电化学不稳定性的阻碍。在这里，我们报告了一种由氧化石墨烯纳米带（GONR）组成的轨道可杂交纳米种子（OHNS）界面，通过可扩展的槽模涂层工艺均匀沉积在铜集流体上，从而实现一分钟可充电、能量密集的无阳极水性锌电池。 GONR 中普遍存在的碳边缘（C 边缘）有利于与 Zn 的轨道杂化。杂原子（C 边缘和 Zn）之间的这种化学相互作用增强了 Zn 成核动力学并延迟了吸附 Zn 的表面扩散，从而促进了 Zn 的耐腐蚀、（002）取向生长。因此，即使在 120 mA cm 的高电流密度下，也能实现具有高库仑效率 (∼99.5%) 的可逆镀锌/剥离</w:t>
      </w:r>
      <w:r>
        <w:t xml:space="preserve"> </w:t>
      </w:r>
      <w:r>
        <w:t>−2</w:t>
      </w:r>
      <w:r>
        <w:t xml:space="preserve"> </w:t>
      </w:r>
      <w:r>
        <w:t>。此外，具有 OHNS 中间相的无阳极全电池可提供 140.6 Wh kg 的最大能量/功率密度</w:t>
      </w:r>
      <w:r>
        <w:t xml:space="preserve"> </w:t>
      </w:r>
      <w:r>
        <w:t>−1</w:t>
      </w:r>
      <w:r>
        <w:t xml:space="preserve"> </w:t>
      </w:r>
      <w:r>
        <w:t>/4138.1 W 千克</w:t>
      </w:r>
      <w:r>
        <w:t xml:space="preserve"> </w:t>
      </w:r>
      <w:r>
        <w:t>−1</w:t>
      </w:r>
      <w:r>
        <w:t xml:space="preserve"> </w:t>
      </w:r>
      <w:r>
        <w:t>。值得注意的是，在 106C 的快速充/放电电流密度（相当于 34 秒）下，无阳极软包电池在 800 次循环后表现出 82.2% 的稳定容量保持率。</w:t>
      </w:r>
    </w:p>
    <w:p>
      <w:pPr>
        <w:spacing w:before="0" w:after="200" w:lineRule="auto" w:line="276"/>
      </w:pPr>
      <w:r>
        <w:rPr>
          <w:b/>
        </w:rPr>
        <w:t xml:space="preserve">Abstract (EN): </w:t>
      </w:r>
      <w:r>
        <w:t>Aqueous zinc (Zn) batteries are emerging as promising candidates for energy storage systems (ESS) and wearable electronics, but their practical application is hindered by low energy density and electrochemical instability at the Zn anode–electrolyte interface. Here, we report an orbital‐hybridizable nanoseed (OHNS) interphase composed of graphene oxide nanoribbons (GONRs) uniformly deposited on Cu current collectors via a scalable slot‐die coating process, enabling one‐minute‐rechargeable, energy‐dense anode‐free aqueous Zn batteries. The carbon edges (C‐edges) prevalent in the GONR facilitate orbital hybridization with Zn. This chemical interplay between the heteroatoms (C‐edge and Zn) enhances Zn nucleation kinetics and retards surface diffusion of adsorbed Zn, thereby promoting corrosion‐resistant, (002)‐oriented growth of Zn. Consequently, reversible Zn plating/stripping with high Coulombic efficiency (∼99.5%) was achieved even at a high current density of 120 mA cm</w:t>
      </w:r>
      <w:r>
        <w:t xml:space="preserve"> </w:t>
      </w:r>
      <w:r>
        <w:t>−2</w:t>
      </w:r>
      <w:r>
        <w:t xml:space="preserve"> </w:t>
      </w:r>
      <w:r>
        <w:t>. Moreover, anode‐free full cells with the OHNS interphase delivered a maximum energy/power density of 140.6 Wh kg</w:t>
      </w:r>
      <w:r>
        <w:t xml:space="preserve"> </w:t>
      </w:r>
      <w:r>
        <w:t>−1</w:t>
      </w:r>
      <w:r>
        <w:t xml:space="preserve"> </w:t>
      </w:r>
      <w:r>
        <w:t>/4138.1 W kg</w:t>
      </w:r>
      <w:r>
        <w:t xml:space="preserve"> </w:t>
      </w:r>
      <w:r>
        <w:t>−1</w:t>
      </w:r>
      <w:r>
        <w:t xml:space="preserve"> </w:t>
      </w:r>
      <w:r>
        <w:t>. Notably, anode‐free pouch cells exhibited stable capacity retention of 82.2% after 800 cycles at a fast charge/discharge current density of 106C (equivalent to a time of 34 s).</w:t>
      </w:r>
    </w:p>
    <w:p>
      <w:pPr>
        <w:spacing w:before="120" w:after="120"/>
      </w:pPr>
      <w:r>
        <w:rPr>
          <w:sz w:val="18"/>
        </w:rPr>
        <w:t>——————————————————————————————————————————————————————————————————————</w:t>
      </w:r>
    </w:p>
    <w:p>
      <w:pPr>
        <w:spacing w:before="160" w:after="40" w:line="240" w:lineRule="auto"/>
      </w:pPr>
      <w:r>
        <w:rPr>
          <w:b/>
        </w:rPr>
        <w:t xml:space="preserve">[3] </w:t>
      </w:r>
      <w:hyperlink r:id="rId71">
        <w:r>
          <w:rPr>
            <w:color w:val="1155CC"/>
            <w:u w:val="single"/>
          </w:rPr>
          <w:t>无阳极钠金属电池的可逆性驱动的降解机制和靶向调制策略</w:t>
        </w:r>
      </w:hyperlink>
    </w:p>
    <w:p>
      <w:pPr>
        <w:spacing w:before="0" w:after="80"/>
      </w:pPr>
      <w:r>
        <w:rPr>
          <w:i/>
          <w:sz w:val="20"/>
        </w:rPr>
        <w:t>EN: Reversibility‐Driven Degradation Mechanisms and Targeted Modulation Strategies for Anode‐Free Sodium Metal Batteries</w:t>
      </w:r>
    </w:p>
    <w:p>
      <w:pPr>
        <w:spacing w:before="0" w:after="120"/>
      </w:pPr>
      <w:r>
        <w:rPr>
          <w:b/>
        </w:rPr>
        <w:t xml:space="preserve">Source: </w:t>
      </w:r>
      <w:r>
        <w:t>Wiley: Advanced Energy Materials: Table of Contents</w:t>
      </w:r>
      <w:r>
        <w:t xml:space="preserve">    </w:t>
      </w:r>
      <w:r>
        <w:rPr>
          <w:b/>
        </w:rPr>
        <w:t xml:space="preserve">Pub date: </w:t>
      </w:r>
      <w:r>
        <w:t>2026-05-30 07:35:22+00:00</w:t>
      </w:r>
      <w:r>
        <w:t xml:space="preserve">    </w:t>
      </w:r>
      <w:r>
        <w:rPr>
          <w:b/>
        </w:rPr>
        <w:t xml:space="preserve">DOI: </w:t>
      </w:r>
      <w:hyperlink r:id="rId72">
        <w:r>
          <w:rPr>
            <w:color w:val="1155CC"/>
            <w:u w:val="single"/>
          </w:rPr>
          <w:t>10.1002/aenm.71135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阳极钠金属电池（AFSMB）放弃了多余的金属钠阳极，从而为同时提高能量密度和简化制造提供了一条引人注目的途径。然而，它们的实际部署从根本上受到活性钠不可逆消耗的限制，这是固有不稳定的界面化学和有限钠库存的严格限制的结果。在这篇综述中，我们引入理论可逆性作为对主要钠损失途径进行分类的统一标准。通过将热力学原理与动力学分析相结合，我们通过跟踪Na的迁移和沉积行为，系统地解析了容量退化的复杂机制。</w:t>
      </w:r>
      <w:r>
        <w:t xml:space="preserve"> </w:t>
      </w:r>
      <w:r>
        <w:t>+</w:t>
      </w:r>
      <w:r>
        <w:t xml:space="preserve"> </w:t>
      </w:r>
      <w:r>
        <w:t>离子。此外，我们提出了缓解容量衰减的最先进策略的全面分类，这些策略基于均匀Na成核/生长和受控固体电解质界面（SEI）形成/演化的双重支柱。特别强调堆积应力，这是决定钠沉积物形态演化的一个关键但未被充分重视的因素。最后，我们描述了当前的基本瓶颈，并概述了未来研究的有希望的途径，以加速高性能 AFSMB 的发展。</w:t>
      </w:r>
    </w:p>
    <w:p>
      <w:pPr>
        <w:spacing w:before="0" w:after="200" w:lineRule="auto" w:line="276"/>
      </w:pPr>
      <w:r>
        <w:rPr>
          <w:b/>
        </w:rPr>
        <w:t xml:space="preserve">Abstract (EN): </w:t>
      </w:r>
      <w:r>
        <w:t>Anode‐free sodium metal batteries (AFSMBs) forgo the excess metallic sodium anode, thus offering a compelling route to simultaneously enhance energy density and simplify manufacturing. However, their practical deployment is fundamentally limited by the irreversible depletion of active sodium, a consequence of inherently unstable interfacial chemistry and the stringent constraint of finite sodium inventory. In this review, we introduce theoretical reversibility as a unifying criterion to categorize the dominant sodium loss pathways. By integrating thermodynamic principles with kinetic analysis, we systematically deconvolute the intricate mechanisms of capacity degradation by tracking the migration and deposition behavior of Na</w:t>
      </w:r>
      <w:r>
        <w:t xml:space="preserve"> </w:t>
      </w:r>
      <w:r>
        <w:t>+</w:t>
      </w:r>
      <w:r>
        <w:t xml:space="preserve"> </w:t>
      </w:r>
      <w:r>
        <w:t>ions. Furthermore, we present a comprehensive taxonomy of state‐of‐the‐art strategies for mitigating capacity fade, which are anchored in the dual pillars of uniform Na nucleation/growth and regulated solid electrolyte interphase (SEI) formation/evolution. Special emphasis is placed on stacking stress, a critical yet underappreciated factor that dictates the morphological evolution of sodium deposits. Finally, we delineate the current fundamental bottlenecks and outline promising avenues for future research to accelerate the development of high‐performance AFSMBs.</w:t>
      </w:r>
    </w:p>
    <w:p>
      <w:pPr>
        <w:spacing w:before="120" w:after="120"/>
      </w:pPr>
      <w:r>
        <w:rPr>
          <w:sz w:val="18"/>
        </w:rPr>
        <w:t>——————————————————————————————————————————————————————————————————————</w:t>
      </w:r>
    </w:p>
    <w:p>
      <w:pPr>
        <w:spacing w:before="160" w:after="40" w:line="240" w:lineRule="auto"/>
      </w:pPr>
      <w:r>
        <w:rPr>
          <w:b/>
        </w:rPr>
        <w:t xml:space="preserve">[4] </w:t>
      </w:r>
      <w:hyperlink r:id="rId73">
        <w:r>
          <w:rPr>
            <w:color w:val="1155CC"/>
            <w:u w:val="single"/>
          </w:rPr>
          <w:t>作为LIB中零应变和高容量阳极的高熵氧化物的逐步元素筛选</w:t>
        </w:r>
      </w:hyperlink>
    </w:p>
    <w:p>
      <w:pPr>
        <w:spacing w:before="0" w:after="80"/>
      </w:pPr>
      <w:r>
        <w:rPr>
          <w:i/>
          <w:sz w:val="20"/>
        </w:rPr>
        <w:t>EN: Stepwise Elemental Screening of High‐Entropy Oxides as Zero‐Strain and High‐Capacity Anode in LIBs</w:t>
      </w:r>
    </w:p>
    <w:p>
      <w:pPr>
        <w:spacing w:before="0" w:after="120"/>
      </w:pPr>
      <w:r>
        <w:rPr>
          <w:b/>
        </w:rPr>
        <w:t xml:space="preserve">Source: </w:t>
      </w:r>
      <w:r>
        <w:t>Wiley: Advanced Energy Materials: Table of Contents</w:t>
      </w:r>
      <w:r>
        <w:t xml:space="preserve">    </w:t>
      </w:r>
      <w:r>
        <w:rPr>
          <w:b/>
        </w:rPr>
        <w:t xml:space="preserve">Pub date: </w:t>
      </w:r>
      <w:r>
        <w:t>2026-05-30 11:31:43+00:00</w:t>
      </w:r>
      <w:r>
        <w:t xml:space="preserve">    </w:t>
      </w:r>
      <w:r>
        <w:rPr>
          <w:b/>
        </w:rPr>
        <w:t xml:space="preserve">DOI: </w:t>
      </w:r>
      <w:hyperlink r:id="rId74">
        <w:r>
          <w:rPr>
            <w:color w:val="1155CC"/>
            <w:u w:val="single"/>
          </w:rPr>
          <w:t>10.1002/aenm.71144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高熵氧化物（HEO）作为先进的锂离子电池负极材料而备受关注，因为它们具有多组分鸡尾酒效应，具有协同优化比容量、倍率性能和循环稳定性的潜力。然而，由于多组分系统的复杂性和缺乏理论框架，HEO 的探索成本高昂且耗时。本研究通过前期文献数据统计和材料计算，提出了以形成能和锂嵌入体积变化为核心评价指标的逐步元素筛选策略。一种新型零应变阳极材料（CoFeMnNiZnMgLi）</w:t>
      </w:r>
      <w:r>
        <w:rPr>
          <w:vertAlign w:val="subscript"/>
        </w:rPr>
        <w:t>3</w:t>
      </w:r>
      <w:r>
        <w:t>氧</w:t>
      </w:r>
      <w:r>
        <w:rPr>
          <w:vertAlign w:val="subscript"/>
        </w:rPr>
        <w:t>4</w:t>
      </w:r>
      <w:r>
        <w:t>是被预测和准备的。晶格、颗粒和电极尺度的电化学测试和表征证实了所提出的元素筛选的可行性。精心设计的 HEO 在 0.1 A/g 下实现了 890 mAh/g 的比容量，并且在 5 A/g 下循环 3000 次后几乎没有表现出容量衰减。同时，Li过程中晶胞的最大c轴应变和体积变化</w:t>
      </w:r>
      <w:r>
        <w:t xml:space="preserve"> </w:t>
      </w:r>
      <w:r>
        <w:t>+</w:t>
      </w:r>
      <w:r>
        <w:t xml:space="preserve"> </w:t>
      </w:r>
      <w:r>
        <w:t>插入//提取分别低至~0.13%和~0.38%。最重要的是，所提出的基于熵介导机制的高效方法为开发低应变和高容量的各种离子的主体材料带来了巨大的希望。</w:t>
      </w:r>
    </w:p>
    <w:p>
      <w:pPr>
        <w:spacing w:before="0" w:after="200" w:lineRule="auto" w:line="276"/>
      </w:pPr>
      <w:r>
        <w:rPr>
          <w:b/>
        </w:rPr>
        <w:t xml:space="preserve">Abstract (EN): </w:t>
      </w:r>
      <w:r>
        <w:t>High‐entropy oxides (HEOs) have attracted much attention as advanced anode materials for LIBs due to their potential for synergistic optimization of specific capacity, rate capability, and cycling stability, due to the multi‐component cocktail effect. However, due to the complexity of multi‐component systems and the lack of theoretical frameworks, the exploration of HEOs is costly and time‐consuming. This study proposes a stepwise element screening strategy centered on formation energy and lithium‐embedded volume change as core evaluation metrics, through data statistics of previous literature and materials calculations. A novel zero‐strain anode material (CoFeMnNiZnMgLi)</w:t>
      </w:r>
      <w:r>
        <w:rPr>
          <w:vertAlign w:val="subscript"/>
        </w:rPr>
        <w:t>3</w:t>
      </w:r>
      <w:r>
        <w:t>O</w:t>
      </w:r>
      <w:r>
        <w:rPr>
          <w:vertAlign w:val="subscript"/>
        </w:rPr>
        <w:t>4</w:t>
      </w:r>
      <w:r>
        <w:t>was predicted and prepared. Electrochemical tests and characterizations at lattice, particle, and electrode scales confirm the feasibility of the presented elemental screening. The well‐designed HEOs achieved a specific capacity of 890 mAh/g at 0.1 A/g and exhibited almost no capacity decay after 3000 cycles at 5 A/g. Meanwhile, its maximum c‐axis strain and volume change of the unit cell during Li</w:t>
      </w:r>
      <w:r>
        <w:t xml:space="preserve"> </w:t>
      </w:r>
      <w:r>
        <w:t>+</w:t>
      </w:r>
      <w:r>
        <w:t xml:space="preserve"> </w:t>
      </w:r>
      <w:r>
        <w:t>insertion//extraction are as low as ∼0.13% and ∼0.38%, respectively. Most importantly, the presented high‐efficiency approach based on an entropy‐mediated mechanism holds great promise for developing host materials for various ions with low‐strain and high‐capacity.</w:t>
      </w:r>
    </w:p>
    <w:p>
      <w:pPr>
        <w:spacing w:before="120" w:after="120"/>
      </w:pPr>
      <w:r>
        <w:rPr>
          <w:sz w:val="18"/>
        </w:rPr>
        <w:t>——————————————————————————————————————————————————————————————————————</w:t>
      </w:r>
    </w:p>
    <w:p>
      <w:pPr>
        <w:spacing w:before="160" w:after="40" w:line="240" w:lineRule="auto"/>
      </w:pPr>
      <w:r>
        <w:rPr>
          <w:b/>
        </w:rPr>
        <w:t xml:space="preserve">[5] </w:t>
      </w:r>
      <w:hyperlink r:id="rId40">
        <w:r>
          <w:rPr>
            <w:color w:val="1155CC"/>
            <w:u w:val="single"/>
          </w:rPr>
          <w:t>3D交联Fe-N4-GC协同增强多硫化物催化转化和抗锂枝晶性能，用于低N/P比的稳定锂硫电池</w:t>
        </w:r>
      </w:hyperlink>
    </w:p>
    <w:p>
      <w:pPr>
        <w:spacing w:before="0" w:after="80"/>
      </w:pPr>
      <w:r>
        <w:rPr>
          <w:i/>
          <w:sz w:val="20"/>
        </w:rPr>
        <w:t>EN: Synergistic Enhancement to Polysulfide Catalytic Conversion and Lithium Dendrite Resistant by 3D Cross‐Linked Fe‐N4‐GCs for Stable Lithium‐Sulfur Batteries of Low‐N/P‐Ratio</w:t>
      </w:r>
    </w:p>
    <w:p>
      <w:pPr>
        <w:spacing w:before="0" w:after="120"/>
      </w:pPr>
      <w:r>
        <w:rPr>
          <w:b/>
        </w:rPr>
        <w:t xml:space="preserve">Source: </w:t>
      </w:r>
      <w:r>
        <w:t>Wiley: Advanced Energy Materials: Table of Contents</w:t>
      </w:r>
      <w:r>
        <w:t xml:space="preserve">    </w:t>
      </w:r>
      <w:r>
        <w:rPr>
          <w:b/>
        </w:rPr>
        <w:t xml:space="preserve">Pub date: </w:t>
      </w:r>
      <w:r>
        <w:t>2026-05-30 11:31:47+00:00</w:t>
      </w:r>
      <w:r>
        <w:t xml:space="preserve">    </w:t>
      </w:r>
      <w:r>
        <w:rPr>
          <w:b/>
        </w:rPr>
        <w:t xml:space="preserve">DOI: </w:t>
      </w:r>
      <w:hyperlink r:id="rId41">
        <w:r>
          <w:rPr>
            <w:color w:val="1155CC"/>
            <w:u w:val="single"/>
          </w:rPr>
          <w:t>10.1002/aenm.71134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多硫化锂（LiPS）严重的穿梭效应和缓慢的反应动力学以及锂枝晶的生长仍然是锂硫电池（LSB）的关键问题。在此，原子分散的 Fe-N</w:t>
      </w:r>
      <w:r>
        <w:rPr>
          <w:vertAlign w:val="subscript"/>
        </w:rPr>
        <w:t>4</w:t>
      </w:r>
      <w:r>
        <w:t>锚定在 3D 交联 N 掺杂石墨烯类多孔碳纳米片（Fe-N</w:t>
      </w:r>
      <w:r>
        <w:rPr>
          <w:vertAlign w:val="subscript"/>
        </w:rPr>
        <w:t>4</w:t>
      </w:r>
      <w:r>
        <w:t>据报道，GCs）作为高效的 LiPSs 催化剂和高性能 LSB 的 Li 调节剂。作为硫主体，Fe-N</w:t>
      </w:r>
      <w:r>
        <w:rPr>
          <w:vertAlign w:val="subscript"/>
        </w:rPr>
        <w:t>4</w:t>
      </w:r>
      <w:r>
        <w:t>‐GCs提供丰富的吸附位点并有效催化LiPSs转化。作为隔膜涂层，它们形成均匀的Li</w:t>
      </w:r>
      <w:r>
        <w:t xml:space="preserve"> </w:t>
      </w:r>
      <w:r>
        <w:t>+</w:t>
      </w:r>
      <w:r>
        <w:t xml:space="preserve"> </w:t>
      </w:r>
      <w:r>
        <w:t>传输通道，促进快速离子扩散，并引导稳定的锂沉积/剥离以抑制枝晶生长。含 S/Fe-N</w:t>
      </w:r>
      <w:r>
        <w:rPr>
          <w:vertAlign w:val="subscript"/>
        </w:rPr>
        <w:t>4</w:t>
      </w:r>
      <w:r>
        <w:t>‐GCs 阴极（2.5 mg cm</w:t>
      </w:r>
      <w:r>
        <w:t xml:space="preserve"> </w:t>
      </w:r>
      <w:r>
        <w:t>−2</w:t>
      </w:r>
      <w:r>
        <w:t xml:space="preserve"> </w:t>
      </w:r>
      <w:r>
        <w:t>S) 和 Fe-N</w:t>
      </w:r>
      <w:r>
        <w:rPr>
          <w:vertAlign w:val="subscript"/>
        </w:rPr>
        <w:t>4</w:t>
      </w:r>
      <w:r>
        <w:t>‐GCs/PP 隔膜，LSB 提供 1045.6 mAh g 的高初始容量</w:t>
      </w:r>
      <w:r>
        <w:t xml:space="preserve"> </w:t>
      </w:r>
      <w:r>
        <w:t>−1</w:t>
      </w:r>
      <w:r>
        <w:t xml:space="preserve"> </w:t>
      </w:r>
      <w:r>
        <w:t>在 1.0 C 下，可稳定循环超过 1000 个循环，每个循环的衰减低至 0.023%。硫负载量高达 7.2 mg cm</w:t>
      </w:r>
      <w:r>
        <w:t xml:space="preserve"> </w:t>
      </w:r>
      <w:r>
        <w:t>−2</w:t>
      </w:r>
      <w:r>
        <w:t xml:space="preserve"> </w:t>
      </w:r>
      <w:r>
        <w:t>，面积容量为 6.6 mAh cm</w:t>
      </w:r>
      <w:r>
        <w:t xml:space="preserve"> </w:t>
      </w:r>
      <w:r>
        <w:t>−2</w:t>
      </w:r>
      <w:r>
        <w:t xml:space="preserve"> </w:t>
      </w:r>
      <w:r>
        <w:t>已实现。值得注意的是，使用 N/P 比为 1.3 的 Cu@Li 阳极（27 µm Li 层）的全电池保留了 1025.8 mAh g 的高容量</w:t>
      </w:r>
      <w:r>
        <w:t xml:space="preserve"> </w:t>
      </w:r>
      <w:r>
        <w:t>−1</w:t>
      </w:r>
      <w:r>
        <w:t xml:space="preserve"> </w:t>
      </w:r>
      <w:r>
        <w:t>在</w:t>
      </w:r>
    </w:p>
    <w:p>
      <w:pPr>
        <w:spacing w:before="0" w:after="200" w:lineRule="auto" w:line="276"/>
      </w:pPr>
      <w:r>
        <w:rPr>
          <w:b/>
        </w:rPr>
        <w:t xml:space="preserve">Abstract (EN): </w:t>
      </w:r>
      <w:r>
        <w:t>The severe shuttle effect and sluggish reaction kinetics of lithium polysulfides (LiPSs) as well as Li dendrite growth are still the key issues for lithium‐sulfur batteries (LSBs). Herein, atomically dispersed Fe‐N</w:t>
      </w:r>
      <w:r>
        <w:rPr>
          <w:vertAlign w:val="subscript"/>
        </w:rPr>
        <w:t>4</w:t>
      </w:r>
      <w:r>
        <w:t>moieties anchored on 3D cross‐linked N‐doped graphene‐like porous carbon nanosheets (Fe‐N</w:t>
      </w:r>
      <w:r>
        <w:rPr>
          <w:vertAlign w:val="subscript"/>
        </w:rPr>
        <w:t>4</w:t>
      </w:r>
      <w:r>
        <w:t>‐GCs) as efficient LiPSs catalyst and Li regulator for high‐performance LSBs is reported. Serving as sulfur host, Fe‐N</w:t>
      </w:r>
      <w:r>
        <w:rPr>
          <w:vertAlign w:val="subscript"/>
        </w:rPr>
        <w:t>4</w:t>
      </w:r>
      <w:r>
        <w:t>‐GCs provide abundant adsorption sites and effectively catalyze LiPSs conversion. As separator coating, they form uniform Li</w:t>
      </w:r>
      <w:r>
        <w:t xml:space="preserve"> </w:t>
      </w:r>
      <w:r>
        <w:t>+</w:t>
      </w:r>
      <w:r>
        <w:t xml:space="preserve"> </w:t>
      </w:r>
      <w:r>
        <w:t>transport channels, promote fast ion diffusion, and guide stable Li plating/stripping to suppress dendrite growth. With S/Fe‐N</w:t>
      </w:r>
      <w:r>
        <w:rPr>
          <w:vertAlign w:val="subscript"/>
        </w:rPr>
        <w:t>4</w:t>
      </w:r>
      <w:r>
        <w:t>‐GCs cathode (2.5 mg cm</w:t>
      </w:r>
      <w:r>
        <w:t xml:space="preserve"> </w:t>
      </w:r>
      <w:r>
        <w:t>−2</w:t>
      </w:r>
      <w:r>
        <w:t xml:space="preserve"> </w:t>
      </w:r>
      <w:r>
        <w:t>S) and Fe‐N</w:t>
      </w:r>
      <w:r>
        <w:rPr>
          <w:vertAlign w:val="subscript"/>
        </w:rPr>
        <w:t>4</w:t>
      </w:r>
      <w:r>
        <w:t>‐GCs/PP separator, LSB delivers a high initial capacity of 1045.6 mAh g</w:t>
      </w:r>
      <w:r>
        <w:t xml:space="preserve"> </w:t>
      </w:r>
      <w:r>
        <w:t>−1</w:t>
      </w:r>
      <w:r>
        <w:t xml:space="preserve"> </w:t>
      </w:r>
      <w:r>
        <w:t>at 1.0 C, along with stable cycling over 1000 cycles with a low decay of 0.023% per cycle. At a high S loading of 7.2 mg cm</w:t>
      </w:r>
      <w:r>
        <w:t xml:space="preserve"> </w:t>
      </w:r>
      <w:r>
        <w:t>−2</w:t>
      </w:r>
      <w:r>
        <w:t xml:space="preserve"> </w:t>
      </w:r>
      <w:r>
        <w:t>, an areal capacity of 6.6 mAh cm</w:t>
      </w:r>
      <w:r>
        <w:t xml:space="preserve"> </w:t>
      </w:r>
      <w:r>
        <w:t>−2</w:t>
      </w:r>
      <w:r>
        <w:t xml:space="preserve"> </w:t>
      </w:r>
      <w:r>
        <w:t>is achieved. Remarkably, a full cell using Cu@Li anode (27 µm Li layer) with a low N/P ratio of 1.3 retains a high capacity of 1025.8 mAh g</w:t>
      </w:r>
      <w:r>
        <w:t xml:space="preserve"> </w:t>
      </w:r>
      <w:r>
        <w:t>−1</w:t>
      </w:r>
      <w:r>
        <w:t xml:space="preserve"> </w:t>
      </w:r>
      <w:r>
        <w:t>at 1.0 C and stable cycling over 400 cycles with a low decay of 0.026% per cycle. This work offers an effective strategy toward high‐energy, long‐life LSBs.</w:t>
      </w:r>
    </w:p>
    <w:p>
      <w:pPr>
        <w:spacing w:before="120" w:after="120"/>
      </w:pPr>
      <w:r>
        <w:rPr>
          <w:sz w:val="18"/>
        </w:rPr>
        <w:t>——————————————————————————————————————————————————————————————————————</w:t>
      </w:r>
    </w:p>
    <w:p>
      <w:pPr>
        <w:spacing w:before="160" w:after="40" w:line="240" w:lineRule="auto"/>
      </w:pPr>
      <w:r>
        <w:rPr>
          <w:b/>
        </w:rPr>
        <w:t xml:space="preserve">[6] </w:t>
      </w:r>
      <w:hyperlink r:id="rId75">
        <w:r>
          <w:rPr>
            <w:color w:val="1155CC"/>
            <w:u w:val="single"/>
          </w:rPr>
          <w:t>大脑皮层启发的生物界面工程：用于低温储能的快速锌离子反应动力学</w:t>
        </w:r>
      </w:hyperlink>
    </w:p>
    <w:p>
      <w:pPr>
        <w:spacing w:before="0" w:after="80"/>
      </w:pPr>
      <w:r>
        <w:rPr>
          <w:i/>
          <w:sz w:val="20"/>
        </w:rPr>
        <w:t>EN: Cerebral Cortex Inspired Bio‐Interface Engineering: Fast Zn Ions Reaction Kinetics for Low‐Temperature Energy Storage</w:t>
      </w:r>
    </w:p>
    <w:p>
      <w:pPr>
        <w:spacing w:before="0" w:after="120"/>
      </w:pPr>
      <w:r>
        <w:rPr>
          <w:b/>
        </w:rPr>
        <w:t xml:space="preserve">Source: </w:t>
      </w:r>
      <w:r>
        <w:t>Wiley: Advanced Materials: Table of Contents</w:t>
      </w:r>
      <w:r>
        <w:t xml:space="preserve">    </w:t>
      </w:r>
      <w:r>
        <w:rPr>
          <w:b/>
        </w:rPr>
        <w:t xml:space="preserve">Pub date: </w:t>
      </w:r>
      <w:r>
        <w:t>2026-05-30 13:57:56+00:00</w:t>
      </w:r>
      <w:r>
        <w:t xml:space="preserve">    </w:t>
      </w:r>
      <w:r>
        <w:rPr>
          <w:b/>
        </w:rPr>
        <w:t xml:space="preserve">DOI: </w:t>
      </w:r>
      <w:hyperlink r:id="rId76">
        <w:r>
          <w:rPr>
            <w:color w:val="1155CC"/>
            <w:u w:val="single"/>
          </w:rPr>
          <w:t>10.1002/adma.73590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碳基水性锌离子电池（CAZB）在实际应用中需要在极低的温度下稳定运行，但它们受到缓慢的锌的阻碍</w:t>
      </w:r>
      <w:r>
        <w:rPr>
          <w:vertAlign w:val="subscript"/>
        </w:rPr>
        <w:t>2</w:t>
      </w:r>
      <w:r>
        <w:t>+</w:t>
      </w:r>
      <w:r>
        <w:t xml:space="preserve"> </w:t>
      </w:r>
      <w:r>
        <w:t>扩散层内的传输和亥姆霍兹层中的去溶剂化势垒。在这里，采用源自大脑皮层的大容量、高速和高效信号处理能力的仿生界面工程策略来构建具有沟回结构的分层碳球（HCSs-sg）。这种HCSs-sg可以有效地模仿大脑皮层中密集的神经元分布，并导致赝电容活性位点急剧增加。这种仿生结构产生定向微电场和离子浓度梯度，协同加速锌</w:t>
      </w:r>
      <w:r>
        <w:rPr>
          <w:vertAlign w:val="subscript"/>
        </w:rPr>
        <w:t>2</w:t>
      </w:r>
      <w:r>
        <w:t>+</w:t>
      </w:r>
      <w:r>
        <w:t xml:space="preserve"> </w:t>
      </w:r>
      <w:r>
        <w:t>通过扩散驱动的迁移和库仑力进行传输。同时，高曲率沟回表现出增强的 Zn</w:t>
      </w:r>
      <w:r>
        <w:rPr>
          <w:vertAlign w:val="subscript"/>
        </w:rPr>
        <w:t>2</w:t>
      </w:r>
      <w:r>
        <w:t>+</w:t>
      </w:r>
      <w:r>
        <w:t xml:space="preserve"> </w:t>
      </w:r>
      <w:r>
        <w:t>吸附能并减少去溶剂化势垒，从而促进在零下温度下的高效去溶剂化和快速电荷转移。结果，优化后的产品比容量为 70 mAh g</w:t>
      </w:r>
      <w:r>
        <w:t xml:space="preserve"> </w:t>
      </w:r>
      <w:r>
        <w:t>-</w:t>
      </w:r>
      <w:r>
        <w:rPr>
          <w:vertAlign w:val="subscript"/>
        </w:rPr>
        <w:t>1</w:t>
      </w:r>
      <w:r>
        <w:t>0.1 A g 时</w:t>
      </w:r>
      <w:r>
        <w:t xml:space="preserve"> </w:t>
      </w:r>
      <w:r>
        <w:t>-</w:t>
      </w:r>
      <w:r>
        <w:rPr>
          <w:vertAlign w:val="subscript"/>
        </w:rPr>
        <w:t>1</w:t>
      </w:r>
      <w:r>
        <w:t>在-25°C以下并保持稳定的库仑e</w:t>
      </w:r>
    </w:p>
    <w:p>
      <w:pPr>
        <w:spacing w:before="0" w:after="200" w:lineRule="auto" w:line="276"/>
      </w:pPr>
      <w:r>
        <w:rPr>
          <w:b/>
        </w:rPr>
        <w:t xml:space="preserve">Abstract (EN): </w:t>
      </w:r>
      <w:r>
        <w:t>Carbon‐based aqueous zinc‐ion batteries (CAZBs) require stable operation under extremely low temperatures for practical applications, but they are hindered by sluggish Zn</w:t>
      </w:r>
      <w:r>
        <w:rPr>
          <w:vertAlign w:val="subscript"/>
        </w:rPr>
        <w:t>2</w:t>
      </w:r>
      <w:r>
        <w:t>+</w:t>
      </w:r>
      <w:r>
        <w:t xml:space="preserve"> </w:t>
      </w:r>
      <w:r>
        <w:t>transport within the diffusion layer and desolvation barriers in the Helmholtz layer. Here, a bio‐inspired interface engineering strategy—derived from the high‐volume, high‐speed, and high‐efficiency signal processing capability of the cerebral cortex—is employed to construct hierarchical carbon spheres with sulcus–gyrus architectures (HCSs‐sg). Such HCSs‐sg can effectively imitate the dense neuron distribution in the cerebral cortex and lead to a sharp increase in pseudocapacitive active sites. This biomimetic configuration generates directional micro‐electric fields and ionic concentration gradients, which synergistically accelerate Zn</w:t>
      </w:r>
      <w:r>
        <w:rPr>
          <w:vertAlign w:val="subscript"/>
        </w:rPr>
        <w:t>2</w:t>
      </w:r>
      <w:r>
        <w:t>+</w:t>
      </w:r>
      <w:r>
        <w:t xml:space="preserve"> </w:t>
      </w:r>
      <w:r>
        <w:t>transport through diffusion‐driven migration and coulombic forces. Simultaneously, the high‐curvature sulcus–gyrus exhibits enhanced Zn</w:t>
      </w:r>
      <w:r>
        <w:rPr>
          <w:vertAlign w:val="subscript"/>
        </w:rPr>
        <w:t>2</w:t>
      </w:r>
      <w:r>
        <w:t>+</w:t>
      </w:r>
      <w:r>
        <w:t xml:space="preserve"> </w:t>
      </w:r>
      <w:r>
        <w:t>adsorption energy and reduced desolvation barriers, thereby facilitating efficient desolvation and rapid charge transfer at subzero temperatures. As a result, the optimized product delivers a specific capacity of 70 mAh g</w:t>
      </w:r>
      <w:r>
        <w:t xml:space="preserve"> </w:t>
      </w:r>
      <w:r>
        <w:t>−</w:t>
      </w:r>
      <w:r>
        <w:rPr>
          <w:vertAlign w:val="subscript"/>
        </w:rPr>
        <w:t>1</w:t>
      </w:r>
      <w:r>
        <w:t>at 0.1 A g</w:t>
      </w:r>
      <w:r>
        <w:t xml:space="preserve"> </w:t>
      </w:r>
      <w:r>
        <w:t>−</w:t>
      </w:r>
      <w:r>
        <w:rPr>
          <w:vertAlign w:val="subscript"/>
        </w:rPr>
        <w:t>1</w:t>
      </w:r>
      <w:r>
        <w:t>under −25°C and maintains a stable coulombic efficiency of nearly 100% over 10 000 cycles at 1 A g</w:t>
      </w:r>
      <w:r>
        <w:t xml:space="preserve"> </w:t>
      </w:r>
      <w:r>
        <w:t>−</w:t>
      </w:r>
      <w:r>
        <w:rPr>
          <w:vertAlign w:val="subscript"/>
        </w:rPr>
        <w:t>1</w:t>
      </w:r>
      <w:r>
        <w:t>. This biomimetic interface engineering approach can provide a potential design route for aqueous battery applications under extreme‐temperature conditions.</w:t>
      </w:r>
    </w:p>
    <w:p>
      <w:pPr>
        <w:spacing w:before="120" w:after="120"/>
      </w:pPr>
      <w:r>
        <w:rPr>
          <w:sz w:val="18"/>
        </w:rPr>
        <w:t>——————————————————————————————————————————————————————————————————————</w:t>
      </w:r>
    </w:p>
    <w:p>
      <w:pPr>
        <w:spacing w:before="160" w:after="40" w:line="240" w:lineRule="auto"/>
      </w:pPr>
      <w:r>
        <w:rPr>
          <w:b/>
        </w:rPr>
        <w:t xml:space="preserve">[7] </w:t>
      </w:r>
      <w:hyperlink r:id="rId77">
        <w:r>
          <w:rPr>
            <w:color w:val="1155CC"/>
            <w:u w:val="single"/>
          </w:rPr>
          <w:t>仿生两性离子水凝胶电解质可实现高度可逆的锌阳极</w:t>
        </w:r>
      </w:hyperlink>
    </w:p>
    <w:p>
      <w:pPr>
        <w:spacing w:before="0" w:after="80"/>
      </w:pPr>
      <w:r>
        <w:rPr>
          <w:i/>
          <w:sz w:val="20"/>
        </w:rPr>
        <w:t>EN: Biomimetic Zwitterionic Hydrogel Electrolyte Enables Highly Reversible Zn Anodes</w:t>
      </w:r>
    </w:p>
    <w:p>
      <w:pPr>
        <w:spacing w:before="0" w:after="120"/>
      </w:pPr>
      <w:r>
        <w:rPr>
          <w:b/>
        </w:rPr>
        <w:t xml:space="preserve">Source: </w:t>
      </w:r>
      <w:r>
        <w:t>Wiley: Advanced Energy Materials: Table of Contents</w:t>
      </w:r>
      <w:r>
        <w:t xml:space="preserve">    </w:t>
      </w:r>
      <w:r>
        <w:rPr>
          <w:b/>
        </w:rPr>
        <w:t xml:space="preserve">Pub date: </w:t>
      </w:r>
      <w:r>
        <w:t>2026-05-31 14:00:27+00:00</w:t>
      </w:r>
      <w:r>
        <w:t xml:space="preserve">    </w:t>
      </w:r>
      <w:r>
        <w:rPr>
          <w:b/>
        </w:rPr>
        <w:t xml:space="preserve">DOI: </w:t>
      </w:r>
      <w:hyperlink r:id="rId78">
        <w:r>
          <w:rPr>
            <w:color w:val="1155CC"/>
            <w:u w:val="single"/>
          </w:rPr>
          <w:t>10.1002/aenm.71152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锌基电池是可持续大规模储能的有希望的候选者。然而，它们的实际应用受到枝晶锌生长、寄生副反应和缓慢的界面锌的阻碍</w:t>
      </w:r>
      <w:r>
        <w:t xml:space="preserve"> </w:t>
      </w:r>
      <w:r>
        <w:t>2+</w:t>
      </w:r>
      <w:r>
        <w:t xml:space="preserve"> </w:t>
      </w:r>
      <w:r>
        <w:t>运输。受磷脂膜的启发，我们引入了一种仿生两性离子水凝胶电解质（PAMC），将2-甲基丙烯酰氧基乙基磷酰胆碱、聚丙烯酰胺和微量丙烯酸集成到一个机械坚固的网络中，该网络具有强电极粘附力和分层锌</w:t>
      </w:r>
      <w:r>
        <w:t xml:space="preserve"> </w:t>
      </w:r>
      <w:r>
        <w:t>2+</w:t>
      </w:r>
      <w:r>
        <w:t xml:space="preserve"> </w:t>
      </w:r>
      <w:r>
        <w:t>途径。两性离子部分调节初级 Zn</w:t>
      </w:r>
      <w:r>
        <w:t xml:space="preserve"> </w:t>
      </w:r>
      <w:r>
        <w:t>2+</w:t>
      </w:r>
      <w:r>
        <w:t xml:space="preserve"> </w:t>
      </w:r>
      <w:r>
        <w:t>通过部分取代水配体形成溶剂化结构，从而降低去溶剂化能垒并使 Zn 均质化</w:t>
      </w:r>
      <w:r>
        <w:t xml:space="preserve"> </w:t>
      </w:r>
      <w:r>
        <w:t>2+</w:t>
      </w:r>
      <w:r>
        <w:t xml:space="preserve"> </w:t>
      </w:r>
      <w:r>
        <w:t>电极界面处的通量。因此，PAMC 具有 44.94 mS cm 的高离子电导率</w:t>
      </w:r>
      <w:r>
        <w:t xml:space="preserve"> </w:t>
      </w:r>
      <w:r>
        <w:t>−1</w:t>
      </w:r>
      <w:r>
        <w:t xml:space="preserve"> </w:t>
      </w:r>
      <w:r>
        <w:t>和创纪录的锌</w:t>
      </w:r>
      <w:r>
        <w:t xml:space="preserve"> </w:t>
      </w:r>
      <w:r>
        <w:t>2+</w:t>
      </w:r>
      <w:r>
        <w:t xml:space="preserve"> </w:t>
      </w:r>
      <w:r>
        <w:t>迁移数为0.75，实现无枝晶锌沉积并抑制析氢。对称 Zn||Zn 电池表现出超过 2200 小时的稳定循环，而 Zn||Cu 电池则保持高度可逆的镀锌/剥离超过 2000 小时。此外，带有活性炭、NaV 的全电池</w:t>
      </w:r>
      <w:r>
        <w:rPr>
          <w:vertAlign w:val="subscript"/>
        </w:rPr>
        <w:t>3</w:t>
      </w:r>
      <w:r>
        <w:t>氧</w:t>
      </w:r>
      <w:r>
        <w:rPr>
          <w:vertAlign w:val="subscript"/>
        </w:rPr>
        <w:t>8</w:t>
      </w:r>
      <w:r>
        <w:t>和我</w:t>
      </w:r>
      <w:r>
        <w:rPr>
          <w:vertAlign w:val="subscript"/>
        </w:rPr>
        <w:t>2</w:t>
      </w:r>
      <w:r>
        <w:t>阴极表现出出色的循环性能</w:t>
      </w:r>
    </w:p>
    <w:p>
      <w:pPr>
        <w:spacing w:before="0" w:after="200" w:lineRule="auto" w:line="276"/>
      </w:pPr>
      <w:r>
        <w:rPr>
          <w:b/>
        </w:rPr>
        <w:t xml:space="preserve">Abstract (EN): </w:t>
      </w:r>
      <w:r>
        <w:t>Zn‐based batteries are promising candidates for sustainable, large‐scale energy storage. However, their practical deployment is hindered by dendritic Zn growth, parasitic side reactions and sluggish interfacial Zn</w:t>
      </w:r>
      <w:r>
        <w:t xml:space="preserve"> </w:t>
      </w:r>
      <w:r>
        <w:t>2+</w:t>
      </w:r>
      <w:r>
        <w:t xml:space="preserve"> </w:t>
      </w:r>
      <w:r>
        <w:t>transport. Inspired by phospholipid membranes, we introduce a biomimetic zwitterionic hydrogel electrolyte (PAMC) to integrate 2‐methacryloyloxyethyl phosphorylcholine, polyacrylamide and trace acrylic acid into a mechanically robust network featuring strong electrode adhesion and hierarchical Zn</w:t>
      </w:r>
      <w:r>
        <w:t xml:space="preserve"> </w:t>
      </w:r>
      <w:r>
        <w:t>2+</w:t>
      </w:r>
      <w:r>
        <w:t xml:space="preserve"> </w:t>
      </w:r>
      <w:r>
        <w:t>pathways. The zwitterionic moieties regulate the primary Zn</w:t>
      </w:r>
      <w:r>
        <w:t xml:space="preserve"> </w:t>
      </w:r>
      <w:r>
        <w:t>2+</w:t>
      </w:r>
      <w:r>
        <w:t xml:space="preserve"> </w:t>
      </w:r>
      <w:r>
        <w:t>solvation structure by partially replacing water ligands, thereby reducing the desolvation energy barriers and homogenize Zn</w:t>
      </w:r>
      <w:r>
        <w:t xml:space="preserve"> </w:t>
      </w:r>
      <w:r>
        <w:t>2+</w:t>
      </w:r>
      <w:r>
        <w:t xml:space="preserve"> </w:t>
      </w:r>
      <w:r>
        <w:t>flux at the electrode interface. Consequently, PAMC delivers a high ionic conductivity of 44.94 mS cm</w:t>
      </w:r>
      <w:r>
        <w:t xml:space="preserve"> </w:t>
      </w:r>
      <w:r>
        <w:t>−1</w:t>
      </w:r>
      <w:r>
        <w:t xml:space="preserve"> </w:t>
      </w:r>
      <w:r>
        <w:t>and a record Zn</w:t>
      </w:r>
      <w:r>
        <w:t xml:space="preserve"> </w:t>
      </w:r>
      <w:r>
        <w:t>2+</w:t>
      </w:r>
      <w:r>
        <w:t xml:space="preserve"> </w:t>
      </w:r>
      <w:r>
        <w:t>transference number of 0.75, enabling dendrite‐free Zn deposition and suppressed hydrogen evolution. Symmetric Zn||Zn cells exhibit stable cycling for over 2200 h, while Zn||Cu cells maintain highly reversible Zn plating/stripping for more than 2000 h. Furthermore, full cells with activated carbon, NaV</w:t>
      </w:r>
      <w:r>
        <w:rPr>
          <w:vertAlign w:val="subscript"/>
        </w:rPr>
        <w:t>3</w:t>
      </w:r>
      <w:r>
        <w:t>O</w:t>
      </w:r>
      <w:r>
        <w:rPr>
          <w:vertAlign w:val="subscript"/>
        </w:rPr>
        <w:t>8</w:t>
      </w:r>
      <w:r>
        <w:t>and I</w:t>
      </w:r>
      <w:r>
        <w:rPr>
          <w:vertAlign w:val="subscript"/>
        </w:rPr>
        <w:t>2</w:t>
      </w:r>
      <w:r>
        <w:t>cathodes demonstrate outstanding cycling stability and rate capability. When integrated with a perovskite solar cell, the Zn||I</w:t>
      </w:r>
      <w:r>
        <w:rPr>
          <w:vertAlign w:val="subscript"/>
        </w:rPr>
        <w:t>2</w:t>
      </w:r>
      <w:r>
        <w:t>battery achieves an overall conversion efficiency of 13.3%, representing the highest reported to date for this category. This biomimetic electrolyte design establishes a universal platform for highly reversible Zn anodes and sustainable energy‐storage systems.</w:t>
      </w:r>
    </w:p>
    <w:p>
      <w:pPr>
        <w:spacing w:before="120" w:after="120"/>
      </w:pPr>
      <w:r>
        <w:rPr>
          <w:sz w:val="18"/>
        </w:rPr>
        <w:t>——————————————————————————————————————————————————————————————————————</w:t>
      </w:r>
    </w:p>
    <w:p>
      <w:pPr>
        <w:spacing w:before="160" w:after="40" w:line="240" w:lineRule="auto"/>
      </w:pPr>
      <w:r>
        <w:rPr>
          <w:b/>
        </w:rPr>
        <w:t xml:space="preserve">[8] </w:t>
      </w:r>
      <w:hyperlink r:id="rId42">
        <w:r>
          <w:rPr>
            <w:color w:val="1155CC"/>
            <w:u w:val="single"/>
          </w:rPr>
          <w:t>通过阴离子添加剂弱相互作用调节高压锂金属电池的溶剂化结构和双电层</w:t>
        </w:r>
      </w:hyperlink>
    </w:p>
    <w:p>
      <w:pPr>
        <w:spacing w:before="0" w:after="80"/>
      </w:pPr>
      <w:r>
        <w:rPr>
          <w:i/>
          <w:sz w:val="20"/>
        </w:rPr>
        <w:t>EN: Modulating Solvation Structure and Electrical Double Layer via Anion‐Additive Weak Interactions for High‐Voltage Lithium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2026-05-31 16:17:08+00:00</w:t>
      </w:r>
      <w:r>
        <w:t xml:space="preserve">    </w:t>
      </w:r>
      <w:r>
        <w:rPr>
          <w:b/>
        </w:rPr>
        <w:t xml:space="preserve">DOI: </w:t>
      </w:r>
      <w:hyperlink r:id="rId43">
        <w:r>
          <w:rPr>
            <w:color w:val="1155CC"/>
            <w:u w:val="single"/>
          </w:rPr>
          <w:t>10.1002/anie.1383770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高压锂金属电池因其卓越的能量密度而受到关注。然而，电极-电解质界面（EEI）的不稳定性阻碍了它们的实际部署。在这里，我们报告了一种通过 DFOB 之间的弱相互作用协同调节溶剂化结构和双电层（EDL）来构建机械坚固且灵活的 EEI 的策略</w:t>
      </w:r>
      <w:r>
        <w:t xml:space="preserve"> </w:t>
      </w:r>
      <w:r>
        <w:t>-</w:t>
      </w:r>
      <w:r>
        <w:t>以及弱溶剂化电解质中的 2-噻吩甲腈 (2-TC) 添加剂。具体来说，强溶剂化 2-TC 和 DFOB 之间的离子偶极相互作用</w:t>
      </w:r>
      <w:r>
        <w:t xml:space="preserve"> </w:t>
      </w:r>
      <w:r>
        <w:t>-</w:t>
      </w:r>
      <w:r>
        <w:t>促进 DFOB</w:t>
      </w:r>
      <w:r>
        <w:t xml:space="preserve"> </w:t>
      </w:r>
      <w:r>
        <w:t>-</w:t>
      </w:r>
      <w:r>
        <w:t>‐丰富的接触离子对和聚集结构。同时，2-TC/DFOB的优先共吸附</w:t>
      </w:r>
      <w:r>
        <w:t xml:space="preserve"> </w:t>
      </w:r>
      <w:r>
        <w:t>-</w:t>
      </w:r>
      <w:r>
        <w:t>阴极表面与分子间弱相互作用协同作用，将 EDL 重新配置为 DFOB</w:t>
      </w:r>
      <w:r>
        <w:t xml:space="preserve"> </w:t>
      </w:r>
      <w:r>
        <w:t>-</w:t>
      </w:r>
      <w:r>
        <w:t>‐富集和缺乏溶剂的结构。溶剂化鞘和界面 EDL 的协同调节促进了 LiF/LiB 的形成</w:t>
      </w:r>
      <w:r>
        <w:t xml:space="preserve"> </w:t>
      </w:r>
      <w:r>
        <w:t>x</w:t>
      </w:r>
      <w:r>
        <w:t xml:space="preserve"> </w:t>
      </w:r>
      <w:r>
        <w:t>氧</w:t>
      </w:r>
      <w:r>
        <w:t xml:space="preserve"> </w:t>
      </w:r>
      <w:r>
        <w:t>y</w:t>
      </w:r>
      <w:r>
        <w:t xml:space="preserve"> </w:t>
      </w:r>
      <w:r>
        <w:t>‐丰富的EEI。此外，电场诱导的 2-TC 原位聚合产生了柔性的聚噻吩网络，赋予 EEI 优异的体积应变耐受性。这种电解液使 Li||NCM811 电池能够在较宽的温度范围（-20°C 至 6</w:t>
      </w:r>
    </w:p>
    <w:p>
      <w:pPr>
        <w:spacing w:before="0" w:after="200" w:lineRule="auto" w:line="276"/>
      </w:pPr>
      <w:r>
        <w:rPr>
          <w:b/>
        </w:rPr>
        <w:t xml:space="preserve">Abstract (EN): </w:t>
      </w:r>
      <w:r>
        <w:t>High‐voltage lithium metal batteries have attracted attention due to their exceptional energy density. However, their practical deployment is impeded by the instability of the electrode‐electrolyte interface (EEI). Here, we report a strategy to construct a mechanically robust yet flexible EEI by synergistically regulating the solvation structure and electrical double layer (EDL) via weak interactions between DFOB</w:t>
      </w:r>
      <w:r>
        <w:t xml:space="preserve"> </w:t>
      </w:r>
      <w:r>
        <w:t>−</w:t>
      </w:r>
      <w:r>
        <w:t>and the 2‐thiophenecarbonitrile (2‐TC) additive in weakly solvating electrolytes. Specifically, the ion‐dipole interactions between strongly solvating 2‐TC and DFOB</w:t>
      </w:r>
      <w:r>
        <w:t xml:space="preserve"> </w:t>
      </w:r>
      <w:r>
        <w:t>−</w:t>
      </w:r>
      <w:r>
        <w:t>facilitate DFOB</w:t>
      </w:r>
      <w:r>
        <w:t xml:space="preserve"> </w:t>
      </w:r>
      <w:r>
        <w:t>−</w:t>
      </w:r>
      <w:r>
        <w:t>‐rich contact ion pairs and aggregate structures. Concurrently, preferential co‐adsorption of 2‐TC/DFOB</w:t>
      </w:r>
      <w:r>
        <w:t xml:space="preserve"> </w:t>
      </w:r>
      <w:r>
        <w:t>−</w:t>
      </w:r>
      <w:r>
        <w:t>at the cathode surface synergizes with intermolecular weak interactions to reconfigure the EDL into a DFOB</w:t>
      </w:r>
      <w:r>
        <w:t xml:space="preserve"> </w:t>
      </w:r>
      <w:r>
        <w:t>−</w:t>
      </w:r>
      <w:r>
        <w:t>‐enriched and solvent‐deficient architecture. This synergistic modulation of the solvation sheath and interfacial EDL facilitates the formation of LiF/LiB</w:t>
      </w:r>
      <w:r>
        <w:t xml:space="preserve"> </w:t>
      </w:r>
      <w:r>
        <w:t>x</w:t>
      </w:r>
      <w:r>
        <w:t xml:space="preserve"> </w:t>
      </w:r>
      <w:r>
        <w:t>O</w:t>
      </w:r>
      <w:r>
        <w:t xml:space="preserve"> </w:t>
      </w:r>
      <w:r>
        <w:t>y</w:t>
      </w:r>
      <w:r>
        <w:t xml:space="preserve"> </w:t>
      </w:r>
      <w:r>
        <w:t>‐rich EEI. Furthermore, electric field‐induced in situ polymerization of 2‐TC generates a flexible polythiophene network, endowing the EEI with exceptional volume strain tolerance. This electrolyte enables Li||NCM811 battery to deliver stable cycling over a wide temperature range (−20°C to 60°C) and at a high voltage of 4.7 V. Furthermore, practical 4.8 Ah Li||NCM90 and 4.4 Ah Li||LiCoO</w:t>
      </w:r>
      <w:r>
        <w:rPr>
          <w:vertAlign w:val="subscript"/>
        </w:rPr>
        <w:t>2</w:t>
      </w:r>
      <w:r>
        <w:t>pouch cells with this electrolyte achieve energy densities of 472 Wh kg</w:t>
      </w:r>
      <w:r>
        <w:t xml:space="preserve"> </w:t>
      </w:r>
      <w:r>
        <w:t>−1</w:t>
      </w:r>
      <w:r>
        <w:t xml:space="preserve"> </w:t>
      </w:r>
      <w:r>
        <w:t>and 429 Wh kg</w:t>
      </w:r>
      <w:r>
        <w:t xml:space="preserve"> </w:t>
      </w:r>
      <w:r>
        <w:t>−1</w:t>
      </w:r>
      <w:r>
        <w:t xml:space="preserve"> </w:t>
      </w:r>
      <w:r>
        <w:t>, respectively, while maintaining stable cycling performance.</w:t>
      </w:r>
    </w:p>
    <w:p>
      <w:pPr>
        <w:spacing w:before="120" w:after="120"/>
      </w:pPr>
      <w:r>
        <w:rPr>
          <w:sz w:val="18"/>
        </w:rPr>
        <w:t>——————————————————————————————————————————————————————————————————————</w:t>
      </w:r>
    </w:p>
    <w:p>
      <w:pPr>
        <w:spacing w:before="160" w:after="40" w:line="240" w:lineRule="auto"/>
      </w:pPr>
      <w:r>
        <w:rPr>
          <w:b/>
        </w:rPr>
        <w:t xml:space="preserve">[9] </w:t>
      </w:r>
      <w:hyperlink r:id="rId44">
        <w:r>
          <w:rPr>
            <w:color w:val="1155CC"/>
            <w:u w:val="single"/>
          </w:rPr>
          <w:t>用于高压氟化物离子电池的固-固锌阳极和卤间碘阴极</w:t>
        </w:r>
      </w:hyperlink>
    </w:p>
    <w:p>
      <w:pPr>
        <w:spacing w:before="0" w:after="80"/>
      </w:pPr>
      <w:r>
        <w:rPr>
          <w:i/>
          <w:sz w:val="20"/>
        </w:rPr>
        <w:t>EN: Solid‐to‐Solid Zn Anode and Interhalogen Iodine Cathodes for High‐Voltage Fluoride‐Ion Batteries</w:t>
      </w:r>
    </w:p>
    <w:p>
      <w:pPr>
        <w:spacing w:before="0" w:after="120"/>
      </w:pPr>
      <w:r>
        <w:rPr>
          <w:b/>
        </w:rPr>
        <w:t xml:space="preserve">Source: </w:t>
      </w:r>
      <w:r>
        <w:t>Wiley: Angewandte Chemie International Edition: Table of Contents</w:t>
      </w:r>
      <w:r>
        <w:t xml:space="preserve">    </w:t>
      </w:r>
      <w:r>
        <w:rPr>
          <w:b/>
        </w:rPr>
        <w:t xml:space="preserve">Pub date: </w:t>
      </w:r>
      <w:r>
        <w:t>2026-05-31 16:23:55+00:00</w:t>
      </w:r>
      <w:r>
        <w:t xml:space="preserve">    </w:t>
      </w:r>
      <w:r>
        <w:rPr>
          <w:b/>
        </w:rPr>
        <w:t xml:space="preserve">DOI: </w:t>
      </w:r>
      <w:hyperlink r:id="rId45">
        <w:r>
          <w:rPr>
            <w:color w:val="1155CC"/>
            <w:u w:val="single"/>
          </w:rPr>
          <w:t>10.1002/anie.7702880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由于液体电解质中缺乏可逆、合适的电极化学物质，在室温下运行的氟化物离子电池 (FIB) 通常会出现输出电压较低 (&lt; 0.5 V) 的问题。在这里，我们报道了一种高压水基 FIB 系统，通过将锌/羟基氟化锌 (Zn↔ZnOHF) 阳极与碘阴极耦合，可提供约 1.3 V 的输出电压</w:t>
      </w:r>
      <w:r>
        <w:t xml:space="preserve"> </w:t>
      </w:r>
      <w:r>
        <w:t>-</w:t>
      </w:r>
      <w:r>
        <w:t>↔我</w:t>
      </w:r>
      <w:r>
        <w:rPr>
          <w:vertAlign w:val="subscript"/>
        </w:rPr>
        <w:t>2</w:t>
      </w:r>
      <w:r>
        <w:t>F</w:t>
      </w:r>
      <w:r>
        <w:t xml:space="preserve"> </w:t>
      </w:r>
      <w:r>
        <w:t>-</w:t>
      </w:r>
      <w:r>
        <w:t>NH 中卤素间的转化</w:t>
      </w:r>
      <w:r>
        <w:rPr>
          <w:vertAlign w:val="subscript"/>
        </w:rPr>
        <w:t>4</w:t>
      </w:r>
      <w:r>
        <w:t>F基甲醇/水混合电解质。在阳极，NH 之间发生强烈络合</w:t>
      </w:r>
      <w:r>
        <w:rPr>
          <w:vertAlign w:val="subscript"/>
        </w:rPr>
        <w:t>4</w:t>
      </w:r>
      <w:r>
        <w:t>+</w:t>
      </w:r>
      <w:r>
        <w:t xml:space="preserve"> </w:t>
      </w:r>
      <w:r>
        <w:t>和锌</w:t>
      </w:r>
      <w:r>
        <w:t xml:space="preserve"> </w:t>
      </w:r>
      <w:r>
        <w:t>2+</w:t>
      </w:r>
      <w:r>
        <w:t xml:space="preserve"> </w:t>
      </w:r>
      <w:r>
        <w:t>激活可逆的固-固 Zn↔ZnOHF 转化。同时，甲醇有效抑制HER并加速氟离子去溶剂化，从而实现快速动力学和高可逆性。因此，ZnOHF/Zn 阳极在 1 mA cm 电流下表现出超过 1100 小时的卓越耐用性</w:t>
      </w:r>
      <w:r>
        <w:t xml:space="preserve"> </w:t>
      </w:r>
      <w:r>
        <w:t>−2</w:t>
      </w:r>
      <w:r>
        <w:t xml:space="preserve"> </w:t>
      </w:r>
      <w:r>
        <w:t>和 2 mAh 厘米</w:t>
      </w:r>
      <w:r>
        <w:t xml:space="preserve"> </w:t>
      </w:r>
      <w:r>
        <w:t>−2</w:t>
      </w:r>
      <w:r>
        <w:t xml:space="preserve"> </w:t>
      </w:r>
      <w:r>
        <w:t>。在阴极，碘化四己基铵 (THAI) 诱导形成不溶性 THAI</w:t>
      </w:r>
      <w:r>
        <w:rPr>
          <w:vertAlign w:val="subscript"/>
        </w:rPr>
        <w:t>2</w:t>
      </w:r>
      <w:r>
        <w:t>I氟化期间的F</w:t>
      </w:r>
      <w:r>
        <w:rPr>
          <w:vertAlign w:val="subscript"/>
        </w:rPr>
        <w:t>2</w:t>
      </w:r>
      <w:r>
        <w:t>阴极，有效固定碘物种并抑制穿梭效应。所提出的氟离子穿梭 Zn/I</w:t>
      </w:r>
      <w:r>
        <w:rPr>
          <w:vertAlign w:val="subscript"/>
        </w:rPr>
        <w:t>2</w:t>
      </w:r>
    </w:p>
    <w:p>
      <w:pPr>
        <w:spacing w:before="0" w:after="200" w:lineRule="auto" w:line="276"/>
      </w:pPr>
      <w:r>
        <w:rPr>
          <w:b/>
        </w:rPr>
        <w:t xml:space="preserve">Abstract (EN): </w:t>
      </w:r>
      <w:r>
        <w:t>Fluoride ion batteries (FIBs) operated at room temperature typically suffer from low output voltages (&amp;lt; 0.5 V) due to the lack of reversible, suitable electrode chemistries in liquid electrolytes. Here, we report a high‐voltage aqueous FIB system delivering an output voltage of ∼1.3 V by coupling a zinc/zinc hydroxyfluoride (Zn↔ZnOHF) anode with an iodine cathode undergoing reversible I</w:t>
      </w:r>
      <w:r>
        <w:t xml:space="preserve"> </w:t>
      </w:r>
      <w:r>
        <w:t>−</w:t>
      </w:r>
      <w:r>
        <w:t>↔I</w:t>
      </w:r>
      <w:r>
        <w:rPr>
          <w:vertAlign w:val="subscript"/>
        </w:rPr>
        <w:t>2</w:t>
      </w:r>
      <w:r>
        <w:t>F</w:t>
      </w:r>
      <w:r>
        <w:t xml:space="preserve"> </w:t>
      </w:r>
      <w:r>
        <w:t>−</w:t>
      </w:r>
      <w:r>
        <w:t>interhalogen conversion in an NH</w:t>
      </w:r>
      <w:r>
        <w:rPr>
          <w:vertAlign w:val="subscript"/>
        </w:rPr>
        <w:t>4</w:t>
      </w:r>
      <w:r>
        <w:t>F‐based methanol/water hybrid electrolyte. At the anode, strong complexation between NH</w:t>
      </w:r>
      <w:r>
        <w:rPr>
          <w:vertAlign w:val="subscript"/>
        </w:rPr>
        <w:t>4</w:t>
      </w:r>
      <w:r>
        <w:t>+</w:t>
      </w:r>
      <w:r>
        <w:t xml:space="preserve"> </w:t>
      </w:r>
      <w:r>
        <w:t>and Zn</w:t>
      </w:r>
      <w:r>
        <w:t xml:space="preserve"> </w:t>
      </w:r>
      <w:r>
        <w:t>2+</w:t>
      </w:r>
      <w:r>
        <w:t xml:space="preserve"> </w:t>
      </w:r>
      <w:r>
        <w:t>activates a reversible solid‐to‐solid Zn↔ZnOHF conversion. Meanwhile, methanol effectively suppresses HER and accelerates fluoride‐ion desolvation, leading to fast kinetics and high reversibility. As a result, the ZnOHF/Zn anode exhibits remarkable durability for over 1100 h at 1 mA cm</w:t>
      </w:r>
      <w:r>
        <w:t xml:space="preserve"> </w:t>
      </w:r>
      <w:r>
        <w:t>−2</w:t>
      </w:r>
      <w:r>
        <w:t xml:space="preserve"> </w:t>
      </w:r>
      <w:r>
        <w:t>and 2 mAh cm</w:t>
      </w:r>
      <w:r>
        <w:t xml:space="preserve"> </w:t>
      </w:r>
      <w:r>
        <w:t>−2</w:t>
      </w:r>
      <w:r>
        <w:t xml:space="preserve"> </w:t>
      </w:r>
      <w:r>
        <w:t>. At the cathode, tetrahexylammonium iodide (THAI) induces the formation of insoluble THAI</w:t>
      </w:r>
      <w:r>
        <w:rPr>
          <w:vertAlign w:val="subscript"/>
        </w:rPr>
        <w:t>2</w:t>
      </w:r>
      <w:r>
        <w:t>F during the fluorination of I</w:t>
      </w:r>
      <w:r>
        <w:rPr>
          <w:vertAlign w:val="subscript"/>
        </w:rPr>
        <w:t>2</w:t>
      </w:r>
      <w:r>
        <w:t>cathode, effectively immobilizing iodine species and suppressing shuttle effects. The proposed fluoride‐ion‐shuttled Zn/I</w:t>
      </w:r>
      <w:r>
        <w:rPr>
          <w:vertAlign w:val="subscript"/>
        </w:rPr>
        <w:t>2</w:t>
      </w:r>
      <w:r>
        <w:t>cells deliver a high specific capacity of 168 mAh g</w:t>
      </w:r>
      <w:r>
        <w:t xml:space="preserve"> </w:t>
      </w:r>
      <w:r>
        <w:t>−1</w:t>
      </w:r>
      <w:r>
        <w:t xml:space="preserve"> </w:t>
      </w:r>
      <w:r>
        <w:t>at 2 A g</w:t>
      </w:r>
      <w:r>
        <w:t xml:space="preserve"> </w:t>
      </w:r>
      <w:r>
        <w:t>−1</w:t>
      </w:r>
      <w:r>
        <w:t xml:space="preserve"> </w:t>
      </w:r>
      <w:r>
        <w:t>and retain 81% capacity after 2500 cycles. This work establishes interhalogen chemistry and electrolyte‐regulated solid‐state fluorination as viable strategies for designing high‐voltage, long‐life FIBs.</w:t>
      </w:r>
    </w:p>
    <w:p>
      <w:pPr>
        <w:spacing w:before="120" w:after="120"/>
      </w:pPr>
      <w:r>
        <w:rPr>
          <w:sz w:val="18"/>
        </w:rPr>
        <w:t>——————————————————————————————————————————————————————————————————————</w:t>
      </w:r>
    </w:p>
    <w:p>
      <w:pPr>
        <w:spacing w:before="160" w:after="40" w:line="240" w:lineRule="auto"/>
      </w:pPr>
      <w:r>
        <w:rPr>
          <w:b/>
        </w:rPr>
        <w:t xml:space="preserve">[10] </w:t>
      </w:r>
      <w:hyperlink r:id="rId46">
        <w:r>
          <w:rPr>
            <w:color w:val="1155CC"/>
            <w:u w:val="single"/>
          </w:rPr>
          <w:t>有机氧化还原化学中独特的交叉共轭双活性中心设计实现的能量密度高的水系全聚合物电池</w:t>
        </w:r>
      </w:hyperlink>
    </w:p>
    <w:p>
      <w:pPr>
        <w:spacing w:before="0" w:after="80"/>
      </w:pPr>
      <w:r>
        <w:rPr>
          <w:i/>
          <w:sz w:val="20"/>
        </w:rPr>
        <w:t>EN: An Energy‐Dense Aqueous All‐Polymer Battery Enabled by Unique Cross‐Conjugated Dual‐Active‐Center Design in Organic Redox Chemistry</w:t>
      </w:r>
    </w:p>
    <w:p>
      <w:pPr>
        <w:spacing w:before="0" w:after="120"/>
      </w:pPr>
      <w:r>
        <w:rPr>
          <w:b/>
        </w:rPr>
        <w:t xml:space="preserve">Source: </w:t>
      </w:r>
      <w:r>
        <w:t>Wiley: Angewandte Chemie International Edition: Table of Contents</w:t>
      </w:r>
      <w:r>
        <w:t xml:space="preserve">    </w:t>
      </w:r>
      <w:r>
        <w:rPr>
          <w:b/>
        </w:rPr>
        <w:t xml:space="preserve">Pub date: </w:t>
      </w:r>
      <w:r>
        <w:t>2026-05-31 16:23:58+00:00</w:t>
      </w:r>
      <w:r>
        <w:t xml:space="preserve">    </w:t>
      </w:r>
      <w:r>
        <w:rPr>
          <w:b/>
        </w:rPr>
        <w:t xml:space="preserve">DOI: </w:t>
      </w:r>
      <w:hyperlink r:id="rId47">
        <w:r>
          <w:rPr>
            <w:color w:val="1155CC"/>
            <w:u w:val="single"/>
          </w:rPr>
          <w:t>10.1002/anie.1818044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全有机电池（AAOB）的出现引起了人们的广泛关注，但由于大容量、高电位正极材料的稀缺，其能量密度有限，阻碍了其进展。在此，我们开发了一种交叉共轭双活性中心设计策略来调节二维氧化还原聚合物（2DRP）的电子分布和前沿轨道，以获得能量密集的AAOB。理论研究表明，简单地在聚合物骨架中嵌入更多的吡嗪单元可以提高容量和潜力，但代价是活性降低，而引入醌单元可以形成交叉共轭的供体-受体（D-A）结构，从而改善所有上述指标。因此，我们合成了具有交替吡嗪-醌单元（PQ）的2DRP及其具有纯吡嗪单元的类似物（P1和P3）。所有预测的优于其类似物的优点都是通过 PQ 在酸性电解质中实现的，呈现快速 Grotthuss 型质子传输、更大的容量（251 mAh g</w:t>
      </w:r>
      <w:r>
        <w:t xml:space="preserve"> </w:t>
      </w:r>
      <w:r>
        <w:t>−1</w:t>
      </w:r>
      <w:r>
        <w:t xml:space="preserve"> </w:t>
      </w:r>
      <w:r>
        <w:t>）和更高的平均还原电位（0.46 V vs. SHE），超越了大多数报道的聚合物电极，以及超长的低温寿命（83.8%@12000 次循环，-20°C）。最后，将 PQ 与混合电解质中的 2DRP 负极 (PD) 配对，可得到平均输出电压为 1.31 V、最大比能量为 111.7 Wh kg 的 PD//PQ 全聚合物电池。</w:t>
      </w:r>
      <w:r>
        <w:t xml:space="preserve"> </w:t>
      </w:r>
      <w:r>
        <w:t>−1</w:t>
      </w:r>
      <w:r>
        <w:t xml:space="preserve"> </w:t>
      </w:r>
      <w:r>
        <w:t>，超过大多数 AAOB。</w:t>
      </w:r>
    </w:p>
    <w:p>
      <w:pPr>
        <w:spacing w:before="0" w:after="200" w:lineRule="auto" w:line="276"/>
      </w:pPr>
      <w:r>
        <w:rPr>
          <w:b/>
        </w:rPr>
        <w:t xml:space="preserve">Abstract (EN): </w:t>
      </w:r>
      <w:r>
        <w:t>The emergence of aqueous all‐organic batteries (AAOBs) has attracted surging attention, yet their progress is hindered by the limited energy density due to the scarcity of large‐capacity and high‐potential positive electrode materials. Herein, we develop a cross‐conjugated dual‐active‐center design strategy to modulate the electron distribution and frontier orbitals of 2D redox polymers (2DRPs) for attaining energy‐dense AAOBs. Theoretical studies reveal that simply embedding more pyrazine units in the polymer skeleton can elevate capacity and potential but at the expense of reduced activity, while introducing quinone units can form a cross‐conjugated donor–acceptor (D–A) structure that improves all above metrics. Accordingly, we synthesized 2DRP with alternating pyrazine‐quinone units (PQ) and its analogues with pure pyrazine units (P1 and P3). All predicted advantages over its analogues are realized by PQ in acidic electrolytes, presenting fast Grotthuss‐type proton transport, a larger capacity (251 mAh g</w:t>
      </w:r>
      <w:r>
        <w:t xml:space="preserve"> </w:t>
      </w:r>
      <w:r>
        <w:t>−1</w:t>
      </w:r>
      <w:r>
        <w:t xml:space="preserve"> </w:t>
      </w:r>
      <w:r>
        <w:t>) and a higher average reduction potential (0.46 V vs. SHE), surpassing most reported polymer electrodes, along with an ultralong low‐temperature lifespan (83.8%@12000 cycles, −20°C). Finally, pairing PQ with a 2DRP negative electrode (PD) in hybrid electrolytes affords a PD//PQ all‐polymer battery with an average output voltage of 1.31 V and a maximum specific energy of 111.7 Wh kg</w:t>
      </w:r>
      <w:r>
        <w:t xml:space="preserve"> </w:t>
      </w:r>
      <w:r>
        <w:t>−1</w:t>
      </w:r>
      <w:r>
        <w:t xml:space="preserve"> </w:t>
      </w:r>
      <w:r>
        <w:t>, exceeding most AAOBs.</w:t>
      </w:r>
    </w:p>
    <w:p>
      <w:pPr>
        <w:spacing w:before="120" w:after="120"/>
      </w:pPr>
      <w:r>
        <w:rPr>
          <w:sz w:val="18"/>
        </w:rPr>
        <w:t>——————————————————————————————————————————————————————————————————————</w:t>
      </w:r>
    </w:p>
    <w:p>
      <w:pPr>
        <w:spacing w:before="160" w:after="40" w:line="240" w:lineRule="auto"/>
      </w:pPr>
      <w:r>
        <w:rPr>
          <w:b/>
        </w:rPr>
        <w:t xml:space="preserve">[11] </w:t>
      </w:r>
      <w:hyperlink r:id="rId48">
        <w:r>
          <w:rPr>
            <w:color w:val="1155CC"/>
            <w:u w:val="single"/>
          </w:rPr>
          <w:t>用于高效水系锌电池的疏水性液体电解质界面</w:t>
        </w:r>
      </w:hyperlink>
    </w:p>
    <w:p>
      <w:pPr>
        <w:spacing w:before="0" w:after="80"/>
      </w:pPr>
      <w:r>
        <w:rPr>
          <w:i/>
          <w:sz w:val="20"/>
        </w:rPr>
        <w:t>EN: Hydrophobic liquid electrolyte interphases for efficient aqueous zinc batteries</w:t>
      </w:r>
    </w:p>
    <w:p>
      <w:pPr>
        <w:spacing w:before="0" w:after="120"/>
      </w:pPr>
      <w:r>
        <w:rPr>
          <w:b/>
        </w:rPr>
        <w:t xml:space="preserve">Source: </w:t>
      </w:r>
      <w:r>
        <w:t>Nature Nanotechnology</w:t>
      </w:r>
      <w:r>
        <w:t xml:space="preserve">    </w:t>
      </w:r>
      <w:r>
        <w:rPr>
          <w:b/>
        </w:rPr>
        <w:t xml:space="preserve">Pub date: </w:t>
      </w:r>
      <w:r>
        <w:t>2026-06-01 00:00:00+00:00</w:t>
      </w:r>
      <w:r>
        <w:t xml:space="preserve">    </w:t>
      </w:r>
      <w:r>
        <w:rPr>
          <w:b/>
        </w:rPr>
        <w:t xml:space="preserve">DOI: </w:t>
      </w:r>
      <w:hyperlink r:id="rId49">
        <w:r>
          <w:rPr>
            <w:color w:val="1155CC"/>
            <w:u w:val="single"/>
          </w:rPr>
          <w:t>10.1038/s41565-026-02187-0</w:t>
        </w:r>
      </w:hyperlink>
    </w:p>
    <w:p>
      <w:pPr>
        <w:spacing w:before="0" w:after="120"/>
      </w:pPr>
      <w:r>
        <w:rPr>
          <w:b/>
        </w:rPr>
        <w:t xml:space="preserve">Notes: </w:t>
      </w:r>
      <w:r>
        <w:t>abstract_source=nature_html</w:t>
      </w:r>
    </w:p>
    <w:p>
      <w:pPr>
        <w:spacing w:before="0" w:after="80" w:lineRule="auto" w:line="276"/>
      </w:pPr>
      <w:r>
        <w:rPr>
          <w:b/>
        </w:rPr>
        <w:t xml:space="preserve">摘要（ZH）: </w:t>
      </w:r>
      <w:r>
        <w:t>扩大电解质水溶液的电化学稳定性窗口是提高电池性能的可行策略。使用盐包水电解质水溶液，负极上形成的固体电解质界面可实现高达 3.0 V 的电化学稳定性窗口，但这通常会降低离子电导率并增加成本。在这里，为了规避这些问题，我们报告了在 3 摩尔三氟甲磺酸锌水溶液电解质溶液中使用疏水性和亲电极性醚基添加剂。这些添加剂的特点是锌离子溶剂化能力较弱，可低浓度（低于 2 mol%）溶于电解质水溶液中。它们可以吸附在正极和负极表面，抑制锌枝晶生长，形成液体电解质界面，将电化学稳定性窗口扩展至3.08 V，实现高体积离子电导率（25℃时约为54 mS cm−1）并确保电解质水溶液的不可燃性。这种纳米工程电解质方法使 Zn||NaV3O8 单层软包电池能够稳定运行 500 次（平均库仑效率为 99.95%），在 500 mA g−1 和 25 °C 下比放电容量保持率为 80%，计算出的初始比能量为 132 Wh kg−1（基于负极和正极活性材料的质量）。</w:t>
      </w:r>
    </w:p>
    <w:p>
      <w:pPr>
        <w:spacing w:before="0" w:after="200" w:lineRule="auto" w:line="276"/>
      </w:pPr>
      <w:r>
        <w:rPr>
          <w:b/>
        </w:rPr>
        <w:t xml:space="preserve">Abstract (EN): </w:t>
      </w:r>
      <w:r>
        <w:t>Expanding the electrochemical stability window of aqueous electrolyte solutions is a viable strategy to improve battery performance. Using water-in-salt aqueous electrolyte solutions, the solid electrolyte interphase formed on the negative electrode enables an electrochemical stability window up to 3.0 V, but this often reduces ionic conductivity and increases costs. Here, to circumvent these issues, we report the use of hydrophobic and electrode-philic ether-based additives in 3-molal aqueous zinc trifluoromethanesulfonate electrolyte solutions. These additives, characterized by a weak Zn-ion solvation capability, are soluble in the aqueous electrolyte solution at low concentrations (below 2 mol%). They can be adsorbed on both positive and negative electrode surfaces, inhibiting Zn dendrite growth, forming a liquid electrolyte interphase that extends the electrochemical stability window to 3.08 V, enabling high bulk ionic conductivity (about 54 mS cm−1 at 25 °C) and ensuring the non-flammability of the aqueous electrolyte solution. This nanoengineered electrolyte approach enables a Zn||NaV3O8 single-layer pouch cell to operate 500 stable cycles (average Coulombic efficiency of 99.95%) with a specific discharge capacity retention of 80% at 500 mA g−1 and 25 °C with a calculated initial specific energy of 132 Wh kg−1 (based on the mass of the negative and positive electrode active materials).</w:t>
      </w:r>
    </w:p>
    <w:p>
      <w:pPr>
        <w:spacing w:before="120" w:after="120"/>
      </w:pPr>
      <w:r>
        <w:rPr>
          <w:sz w:val="18"/>
        </w:rPr>
        <w:t>——————————————————————————————————————————————————————————————————————</w:t>
      </w:r>
    </w:p>
    <w:p>
      <w:pPr>
        <w:spacing w:before="160" w:after="40" w:line="240" w:lineRule="auto"/>
      </w:pPr>
      <w:r>
        <w:rPr>
          <w:b/>
        </w:rPr>
        <w:t xml:space="preserve">[12] </w:t>
      </w:r>
      <w:hyperlink r:id="rId79">
        <w:r>
          <w:rPr>
            <w:color w:val="1155CC"/>
            <w:u w:val="single"/>
          </w:rPr>
          <w:t>通过原位相分离实现解耦但协同的微域，实现超稳定的锌金属阳极</w:t>
        </w:r>
      </w:hyperlink>
    </w:p>
    <w:p>
      <w:pPr>
        <w:spacing w:before="0" w:after="80"/>
      </w:pPr>
      <w:r>
        <w:rPr>
          <w:i/>
          <w:sz w:val="20"/>
        </w:rPr>
        <w:t>EN: Decoupled yet Synergistic Microdomains via In Situ Phase Separation Enabling Ultra‐Stable Zinc Metal Anodes</w:t>
      </w:r>
    </w:p>
    <w:p>
      <w:pPr>
        <w:spacing w:before="0" w:after="120"/>
      </w:pPr>
      <w:r>
        <w:rPr>
          <w:b/>
        </w:rPr>
        <w:t xml:space="preserve">Source: </w:t>
      </w:r>
      <w:r>
        <w:t>Wiley: Advanced Energy Materials: Table of Contents</w:t>
      </w:r>
      <w:r>
        <w:t xml:space="preserve">    </w:t>
      </w:r>
      <w:r>
        <w:rPr>
          <w:b/>
        </w:rPr>
        <w:t xml:space="preserve">Pub date: </w:t>
      </w:r>
      <w:r>
        <w:t>2026-06-01 17:04:30+00:00</w:t>
      </w:r>
      <w:r>
        <w:t xml:space="preserve">    </w:t>
      </w:r>
      <w:r>
        <w:rPr>
          <w:b/>
        </w:rPr>
        <w:t xml:space="preserve">DOI: </w:t>
      </w:r>
      <w:hyperlink r:id="rId80">
        <w:r>
          <w:rPr>
            <w:color w:val="1155CC"/>
            <w:u w:val="single"/>
          </w:rPr>
          <w:t>10.1002/aenm.71136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虽然人造聚合物界面增强了锌金属阳极的氧化还原可逆性，但其长期功效受到电极-电解质界面持续不稳定性的阻碍。根本的妥协在于同时保持机械完整性和快速离子传输。为了解决这个问题，我们开发了一种原位相分离策略来制备功能性聚合物界面（PN），该界面由高度缠结的富含聚合物的韧相域（辛胺接枝的PVA骨架）和弹性Zn组成</w:t>
      </w:r>
      <w:r>
        <w:t xml:space="preserve"> </w:t>
      </w:r>
      <w:r>
        <w:t>2+</w:t>
      </w:r>
      <w:r>
        <w:t xml:space="preserve"> </w:t>
      </w:r>
      <w:r>
        <w:t>离子导电区域（纳米亲锌溶剂）。前者旨在赋予电极-电解质界面强大的机械性能，而后者则致力于保证优异的界面离子电导率。这些解耦但协同的微域有助于形成刚性-柔性集成界面，即使在高电流密度和深电镀/剥离条件下，也能实现长期无枝晶的锌沉积。因此，配置有 PN 的锌阳极见证了超过 2400 小时的高度可逆循环（与未受保护的锌阳极相比，寿命延长了约 32 倍），获得了 21.45 Ah cm 的最大累积容量</w:t>
      </w:r>
      <w:r>
        <w:t xml:space="preserve"> </w:t>
      </w:r>
      <w:r>
        <w:t>−2</w:t>
      </w:r>
      <w:r>
        <w:t xml:space="preserve"> </w:t>
      </w:r>
      <w:r>
        <w:t>10 mA cm 时</w:t>
      </w:r>
      <w:r>
        <w:t xml:space="preserve"> </w:t>
      </w:r>
      <w:r>
        <w:t>−2</w:t>
      </w:r>
      <w:r>
        <w:t xml:space="preserve"> </w:t>
      </w:r>
      <w:r>
        <w:t>。即使在高达~70%的超高放电深度（DOD）下，锌阳极也可以稳定循环超过400小时，展现出其卓越的循环耐久性。这项工作验证了界面相分离</w:t>
      </w:r>
    </w:p>
    <w:p>
      <w:pPr>
        <w:spacing w:before="0" w:after="200" w:lineRule="auto" w:line="276"/>
      </w:pPr>
      <w:r>
        <w:rPr>
          <w:b/>
        </w:rPr>
        <w:t xml:space="preserve">Abstract (EN): </w:t>
      </w:r>
      <w:r>
        <w:t>While artificial polymer interphases enhance the redox reversibility of Zn metal anodes, their long‐term efficacy is hindered by persistent instability at the electrode‐electrolyte interface. The fundamental compromise lies in concurrently maintaining mechanical integrity and rapid ion transport. To tackle this head‐on, we develop an in situ phase separation strategy to prepare a functional polymeric interphase (PN) composed of highly entangled polymer‐rich tough‐phase domains (octylamine‐grafted PVA skeleton) and elastic Zn</w:t>
      </w:r>
      <w:r>
        <w:t xml:space="preserve"> </w:t>
      </w:r>
      <w:r>
        <w:t>2+</w:t>
      </w:r>
      <w:r>
        <w:t xml:space="preserve"> </w:t>
      </w:r>
      <w:r>
        <w:t>ion‐conductive regions (nano‐confined zincophilic solvent). The former is designed to endow the electrode‐electrolyte interphase with robust mechanical properties, while the latter is dedicated to guaranteeing excellent interfacial ionic conductivity. These decoupled yet synergistic microdomains contribute to rigid‐flexible integrated interface that enables long‐term dendrite‐free Zn deposition, even under high current densities and deep plating/stripping conditions. As a result, Zn anode configured with PN witnesses over 2400 h of highly reversible cycling (∼32‐fold lifespan extension compared to unprotected Zn anode), attaining a maximum cumulative capacity of 21.45 Ah cm</w:t>
      </w:r>
      <w:r>
        <w:t xml:space="preserve"> </w:t>
      </w:r>
      <w:r>
        <w:t>−2</w:t>
      </w:r>
      <w:r>
        <w:t xml:space="preserve"> </w:t>
      </w:r>
      <w:r>
        <w:t>at 10 mA cm</w:t>
      </w:r>
      <w:r>
        <w:t xml:space="preserve"> </w:t>
      </w:r>
      <w:r>
        <w:t>−2</w:t>
      </w:r>
      <w:r>
        <w:t xml:space="preserve"> </w:t>
      </w:r>
      <w:r>
        <w:t>. Even at an ultra‐high depth of discharge (DOD) up to ∼70%, Zn anode can be stably cycled over 400 h, demonstrating its remarkable cycling durability. This work validates interfacial phase separation as a powerful paradigm for advancing anodic Zn plating/stripping chemistry.</w:t>
      </w:r>
    </w:p>
    <w:p>
      <w:pPr>
        <w:spacing w:before="120" w:after="120"/>
      </w:pPr>
      <w:r>
        <w:rPr>
          <w:sz w:val="18"/>
        </w:rPr>
        <w:t>——————————————————————————————————————————————————————————————————————</w:t>
      </w:r>
    </w:p>
    <w:p>
      <w:pPr>
        <w:spacing w:before="160" w:after="40" w:line="240" w:lineRule="auto"/>
      </w:pPr>
      <w:r>
        <w:rPr>
          <w:b/>
        </w:rPr>
        <w:t xml:space="preserve">[13] </w:t>
      </w:r>
      <w:hyperlink r:id="rId52">
        <w:r>
          <w:rPr>
            <w:color w:val="1155CC"/>
            <w:u w:val="single"/>
          </w:rPr>
          <w:t>通过无量纲因子重新审视锌特异性成核以量化水系电池的界面电化学</w:t>
        </w:r>
      </w:hyperlink>
    </w:p>
    <w:p>
      <w:pPr>
        <w:spacing w:before="0" w:after="80"/>
      </w:pPr>
      <w:r>
        <w:rPr>
          <w:i/>
          <w:sz w:val="20"/>
        </w:rPr>
        <w:t>EN: Revisiting Zn-specific nucleation via a dimensionless factor to quantify interfacial electrochemistry of aqueous batteries</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锌基水系电池引起了广泛的研究关注，而锌-水界面电化学相互作用的成核理论的缺乏限制了抑制热力学自发析氢反应和枝晶形成的努力，从而阻碍了实际发展。阐明水介质中的锌电沉积需要锌特异性成核理论和调节界面电化学的描述符。传统的锂基球形成核模型忽略了锌的晶体学和控制成核的界面阻力，从而专注于极化变化。在这项工作中，我们重新阐述了Li针对Zn的六方密堆积结构导出的经典球形成核理论，并建立了无量纲描述符（Wf）来定量合理化界面电化学。 Wf 将偏振驱动力和界面阻力综合为稳定性指标。正如文献所证明的，较高的 Wf 值有利于均匀的锌沉积。因此，我们开发了一种高 Wf 电解质来抑制枝晶和副反应，在 Zn||NaV3O8 电池中实现了 100% 放电深度超过 700 小时以及 10 A g−1 的 7660 次循环。这项工作为锌基水系电池的合理设计提供了基本的成核理论和普遍适用的定量指标。</w:t>
      </w:r>
    </w:p>
    <w:p>
      <w:pPr>
        <w:spacing w:before="0" w:after="200" w:lineRule="auto" w:line="276"/>
      </w:pPr>
      <w:r>
        <w:rPr>
          <w:b/>
        </w:rPr>
        <w:t xml:space="preserve">Abstract (EN): </w:t>
      </w:r>
      <w:r>
        <w:t>Zn-based aqueous batteries have attracted widespread research attention, while the lack of nucleation theory for electrochemical interactions at the Zn-water interface constrains efforts to suppress the thermodynamically spontaneous hydrogen evolution reaction and dendrite formation, thereby stalling practical development. Elucidating Zn electrodeposition in aqueous media requires Zn-specific nucleation theory and a descriptor to regulate interfacial electrochemistry. Conventional Li-based spherical nucleation models disregard Zn’s crystallography and the interfacial resistance that governs nucleation, thereby focusing on polarization variations. In this work, we reformulate the classical spherical nucleation theory derived by Li for the hexagonal close-packed structure of Zn and establish a dimensionless descriptor (Wf) to quantitatively rationalize interfacial electrochemistry. Wf synthesizes the polarization driving force and interfacial resistance into a stability metric. Higher Wf values facilitate uniform Zn deposition, as evidenced by the literature. Accordingly, we develop a high-Wf electrolyte to inhibit dendrites and side reactions, achieving over 700 h at 100% depth of discharge and 7660 cycles at 10 A g−1 in a Zn||NaV3O8 cell. This work provides a fundamental nucleation theory and a generally applicable quantitative metric for the rational design of Zn-based aqueous batteries.</w:t>
      </w:r>
    </w:p>
    <w:p>
      <w:pPr>
        <w:spacing w:before="120" w:after="120"/>
      </w:pPr>
      <w:r>
        <w:rPr>
          <w:sz w:val="18"/>
        </w:rPr>
        <w:t>——————————————————————————————————————————————————————————————————————</w:t>
      </w:r>
    </w:p>
    <w:p>
      <w:pPr>
        <w:spacing w:before="160" w:after="40" w:line="240" w:lineRule="auto"/>
      </w:pPr>
      <w:r>
        <w:rPr>
          <w:b/>
        </w:rPr>
        <w:t xml:space="preserve">[14] </w:t>
      </w:r>
      <w:hyperlink r:id="rId81">
        <w:r>
          <w:rPr>
            <w:color w:val="1155CC"/>
            <w:u w:val="single"/>
          </w:rPr>
          <w:t>超薄锂金属负极：液态和固态电池的定量设计原理和可制造性</w:t>
        </w:r>
      </w:hyperlink>
    </w:p>
    <w:p>
      <w:pPr>
        <w:spacing w:before="0" w:after="80"/>
      </w:pPr>
      <w:r>
        <w:rPr>
          <w:i/>
          <w:sz w:val="20"/>
        </w:rPr>
        <w:t>EN: Ultrathin Li Metal Anodes: Quantitative Design Principles and Manufacturability Across Liquid and Solid‐State Batteries</w:t>
      </w:r>
    </w:p>
    <w:p>
      <w:pPr>
        <w:spacing w:before="0" w:after="120"/>
      </w:pPr>
      <w:r>
        <w:rPr>
          <w:b/>
        </w:rPr>
        <w:t xml:space="preserve">Source: </w:t>
      </w:r>
      <w:r>
        <w:t>Wiley: Advanced Materials: Table of Contents</w:t>
      </w:r>
      <w:r>
        <w:t xml:space="preserve">    </w:t>
      </w:r>
      <w:r>
        <w:rPr>
          <w:b/>
        </w:rPr>
        <w:t xml:space="preserve">Pub date: </w:t>
      </w:r>
      <w:r>
        <w:t>2026-06-02 05:50:05+00:00</w:t>
      </w:r>
      <w:r>
        <w:t xml:space="preserve">    </w:t>
      </w:r>
      <w:r>
        <w:rPr>
          <w:b/>
        </w:rPr>
        <w:t xml:space="preserve">DOI: </w:t>
      </w:r>
      <w:hyperlink r:id="rId82">
        <w:r>
          <w:rPr>
            <w:color w:val="1155CC"/>
            <w:u w:val="single"/>
          </w:rPr>
          <w:t>10.1002/adma.73568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其高比容量和低电化学势，锂金属负极在推进高能量密度和商业上可行的锂电池方面显示出巨大的潜力。然而，由于锂金属在机械轧制过程中具有机械粘性和脆性，减薄锂金属面临着严峻的挑战，严重限制了其实际应用。因此，目前大多数锂金属电池都依赖于过厚的锂箔，导致大量资源浪费并破坏了对高能量密度的追求。本综述重点介绍了超薄锂金属（≤15 µm）的定量设计原理，并阐明了其在实现锂金属电池真正潜力方面的关键作用。总结了超薄锂金属制造的新兴策略，并对液态和固态电池部署中的最新进展和持续挑战进行了批判性评估。还提出了对超薄锂金属未来方向的展望。超薄锂金属阳极有望实现能量密度的革命性改进，为先进储能系统带来新的机遇。</w:t>
      </w:r>
    </w:p>
    <w:p>
      <w:pPr>
        <w:spacing w:before="0" w:after="200" w:lineRule="auto" w:line="276"/>
      </w:pPr>
      <w:r>
        <w:rPr>
          <w:b/>
        </w:rPr>
        <w:t xml:space="preserve">Abstract (EN): </w:t>
      </w:r>
      <w:r>
        <w:t>Li metal anode shows significant potential for advancing high‐energy‐density and commercially viable lithium batteries due to its high specific capacity and low electrochemical potential. However, thinning Li metal encounters serious challenges owing to its mechanical stickiness and fragility during the mechanical rolling process, which severely restricts its practical utilization. Consequently, most current Li metal batteries rely on excessively thick Li foils, leading to substantial resource waste and undermining the pursuit of high energy density. This review highlights the quantitative design principles of ultrathin Li metal (≤15 µm) and elucidates its critical roles in realizing the true potential of Li metal batteries. Emerging strategies for the fabrication of ultrathin Li metal, followed by a critical evaluation of recent advances and persistent challenges in their deployment for both liquid and solid‐state batteries, are summarized. A perspective on future directions for ultrathin Li metal is also presented. Ultrathin Li metal anodes are poised to deliver transformative improvements in energy density, unlocking new opportunities for advanced energy storage systems.</w:t>
      </w:r>
    </w:p>
    <w:p>
      <w:pPr>
        <w:spacing w:before="120" w:after="120"/>
      </w:pPr>
      <w:r>
        <w:rPr>
          <w:sz w:val="18"/>
        </w:rPr>
        <w:t>——————————————————————————————————————————————————————————————————————</w:t>
      </w:r>
    </w:p>
    <w:p>
      <w:pPr>
        <w:spacing w:before="160" w:after="40" w:line="240" w:lineRule="auto"/>
      </w:pPr>
      <w:r>
        <w:rPr>
          <w:b/>
        </w:rPr>
        <w:t xml:space="preserve">[15] </w:t>
      </w:r>
      <w:hyperlink r:id="rId55">
        <w:r>
          <w:rPr>
            <w:color w:val="1155CC"/>
            <w:u w:val="single"/>
          </w:rPr>
          <w:t>全MXene协同设计可在水性Zn-I2电池中实现快速碘氧化还原和超稳定锌阳极</w:t>
        </w:r>
      </w:hyperlink>
    </w:p>
    <w:p>
      <w:pPr>
        <w:spacing w:before="0" w:after="80"/>
      </w:pPr>
      <w:r>
        <w:rPr>
          <w:i/>
          <w:sz w:val="20"/>
        </w:rPr>
        <w:t>EN: All‐MXene Co‐Design Enables Fast Iodine Redox and Ultrastable Zinc Anode in Aqueous Zn–I2 Batteries</w:t>
      </w:r>
    </w:p>
    <w:p>
      <w:pPr>
        <w:spacing w:before="0" w:after="120"/>
      </w:pPr>
      <w:r>
        <w:rPr>
          <w:b/>
        </w:rPr>
        <w:t xml:space="preserve">Source: </w:t>
      </w:r>
      <w:r>
        <w:t>Wiley: Advanced Energy Materials: Table of Contents</w:t>
      </w:r>
      <w:r>
        <w:t xml:space="preserve">    </w:t>
      </w:r>
      <w:r>
        <w:rPr>
          <w:b/>
        </w:rPr>
        <w:t xml:space="preserve">Pub date: </w:t>
      </w:r>
      <w:r>
        <w:t>2026-06-02 07:12:00+00:00</w:t>
      </w:r>
      <w:r>
        <w:t xml:space="preserve">    </w:t>
      </w:r>
      <w:r>
        <w:rPr>
          <w:b/>
        </w:rPr>
        <w:t xml:space="preserve">DOI: </w:t>
      </w:r>
      <w:hyperlink r:id="rId56">
        <w:r>
          <w:rPr>
            <w:color w:val="1155CC"/>
            <w:u w:val="single"/>
          </w:rPr>
          <w:t>10.1002/aenm.71127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锌碘水溶液 (Zn-I</w:t>
      </w:r>
      <w:r>
        <w:rPr>
          <w:vertAlign w:val="subscript"/>
        </w:rPr>
        <w:t>2</w:t>
      </w:r>
      <w:r>
        <w:t>）电池将本质安全性与低成本和有吸引力的能量密度结合在一起，但进展受到阴极多碘化物穿梭和阳极不稳定锌沉积的限制，这些因素共同导致自放电和较差的循环寿命。在此，提出了一种全 MXene 协同策略，即使用富氟 MXene（即 Nb</w:t>
      </w:r>
      <w:r>
        <w:rPr>
          <w:vertAlign w:val="subscript"/>
        </w:rPr>
        <w:t>2</w:t>
      </w:r>
      <w:r>
        <w:t>C-F 和 V</w:t>
      </w:r>
      <w:r>
        <w:rPr>
          <w:vertAlign w:val="subscript"/>
        </w:rPr>
        <w:t>2</w:t>
      </w:r>
      <w:r>
        <w:t>C-F)通过HF气相蚀刻合成。铌</w:t>
      </w:r>
      <w:r>
        <w:rPr>
          <w:vertAlign w:val="subscript"/>
        </w:rPr>
        <w:t>2</w:t>
      </w:r>
      <w:r>
        <w:t>C-F 以其扩展的通道作为碘主体，氟化物纳米域固定聚碘化物并催化 I</w:t>
      </w:r>
      <w:r>
        <w:t xml:space="preserve"> </w:t>
      </w:r>
      <w:r>
        <w:t>-</w:t>
      </w:r>
      <w:r>
        <w:t>/我</w:t>
      </w:r>
      <w:r>
        <w:rPr>
          <w:vertAlign w:val="subscript"/>
        </w:rPr>
        <w:t>2</w:t>
      </w:r>
      <w:r>
        <w:t>转换，抑制穿梭效应并加速动力学。与此同时，V</w:t>
      </w:r>
      <w:r>
        <w:rPr>
          <w:vertAlign w:val="subscript"/>
        </w:rPr>
        <w:t>2</w:t>
      </w:r>
      <w:r>
        <w:t>C-F 形成富含氟化物的底物，使 Zn 均质化</w:t>
      </w:r>
      <w:r>
        <w:t xml:space="preserve"> </w:t>
      </w:r>
      <w:r>
        <w:t>2+</w:t>
      </w:r>
      <w:r>
        <w:t xml:space="preserve"> </w:t>
      </w:r>
      <w:r>
        <w:t>通量和成核并促进原位无机杂化 SEI 与 ZnF 交织</w:t>
      </w:r>
      <w:r>
        <w:rPr>
          <w:vertAlign w:val="subscript"/>
        </w:rPr>
        <w:t>2</w:t>
      </w:r>
      <w:r>
        <w:t>网络和 ZnS/‐SO</w:t>
      </w:r>
      <w:r>
        <w:rPr>
          <w:vertAlign w:val="subscript"/>
        </w:rPr>
        <w:t>3</w:t>
      </w:r>
      <w:r>
        <w:t>成分，从而实现均匀稳定的锌沉积。锌-I</w:t>
      </w:r>
      <w:r>
        <w:rPr>
          <w:vertAlign w:val="subscript"/>
        </w:rPr>
        <w:t>2</w:t>
      </w:r>
      <w:r>
        <w:t>全电池，利用 Nb 的协调</w:t>
      </w:r>
      <w:r>
        <w:rPr>
          <w:vertAlign w:val="subscript"/>
        </w:rPr>
        <w:t>2</w:t>
      </w:r>
      <w:r>
        <w:t>C-F@I</w:t>
      </w:r>
      <w:r>
        <w:rPr>
          <w:vertAlign w:val="subscript"/>
        </w:rPr>
        <w:t>2</w:t>
      </w:r>
      <w:r>
        <w:t>阴极和V</w:t>
      </w:r>
      <w:r>
        <w:rPr>
          <w:vertAlign w:val="subscript"/>
        </w:rPr>
        <w:t>2</w:t>
      </w:r>
    </w:p>
    <w:p>
      <w:pPr>
        <w:spacing w:before="0" w:after="200" w:lineRule="auto" w:line="276"/>
      </w:pPr>
      <w:r>
        <w:rPr>
          <w:b/>
        </w:rPr>
        <w:t xml:space="preserve">Abstract (EN): </w:t>
      </w:r>
      <w:r>
        <w:t>Aqueous zinc–iodine (Zn–I</w:t>
      </w:r>
      <w:r>
        <w:rPr>
          <w:vertAlign w:val="subscript"/>
        </w:rPr>
        <w:t>2</w:t>
      </w:r>
      <w:r>
        <w:t>) batteries combine intrinsic safety with low cost and attractive energy density, but progress is limited by polyiodide shuttling at the cathode and unstable zinc deposition at the anode, which together drive self‐discharge and poor cycle life. Herein, an all‐MXene synergistic strategy is proposed that co‐engineers both electrodes using fluorine‐rich MXenes (i.e., Nb</w:t>
      </w:r>
      <w:r>
        <w:rPr>
          <w:vertAlign w:val="subscript"/>
        </w:rPr>
        <w:t>2</w:t>
      </w:r>
      <w:r>
        <w:t>C‐F and V</w:t>
      </w:r>
      <w:r>
        <w:rPr>
          <w:vertAlign w:val="subscript"/>
        </w:rPr>
        <w:t>2</w:t>
      </w:r>
      <w:r>
        <w:t>C‐F) synthesized via HF vapor etching. The Nb</w:t>
      </w:r>
      <w:r>
        <w:rPr>
          <w:vertAlign w:val="subscript"/>
        </w:rPr>
        <w:t>2</w:t>
      </w:r>
      <w:r>
        <w:t>C‐F serves as the iodine host with its expanded galleries, and fluoride nanodomains immobilize polyiodides and catalyze the I</w:t>
      </w:r>
      <w:r>
        <w:t xml:space="preserve"> </w:t>
      </w:r>
      <w:r>
        <w:t>−</w:t>
      </w:r>
      <w:r>
        <w:t>/I</w:t>
      </w:r>
      <w:r>
        <w:rPr>
          <w:vertAlign w:val="subscript"/>
        </w:rPr>
        <w:t>2</w:t>
      </w:r>
      <w:r>
        <w:t>conversion, suppressing the shuttle effect and accelerating kinetics. Meanwhile, the V</w:t>
      </w:r>
      <w:r>
        <w:rPr>
          <w:vertAlign w:val="subscript"/>
        </w:rPr>
        <w:t>2</w:t>
      </w:r>
      <w:r>
        <w:t>C‐F forms a fluoride‐rich substrate that homogenizes Zn</w:t>
      </w:r>
      <w:r>
        <w:t xml:space="preserve"> </w:t>
      </w:r>
      <w:r>
        <w:t>2+</w:t>
      </w:r>
      <w:r>
        <w:t xml:space="preserve"> </w:t>
      </w:r>
      <w:r>
        <w:t>flux and nucleation and promotes an in situ inorganic hybrid SEI interwoven with ZnF</w:t>
      </w:r>
      <w:r>
        <w:rPr>
          <w:vertAlign w:val="subscript"/>
        </w:rPr>
        <w:t>2</w:t>
      </w:r>
      <w:r>
        <w:t>network and ZnS/‐SO</w:t>
      </w:r>
      <w:r>
        <w:rPr>
          <w:vertAlign w:val="subscript"/>
        </w:rPr>
        <w:t>3</w:t>
      </w:r>
      <w:r>
        <w:t>components, thereby enabling uniform and stable zinc deposition. The Zn–I</w:t>
      </w:r>
      <w:r>
        <w:rPr>
          <w:vertAlign w:val="subscript"/>
        </w:rPr>
        <w:t>2</w:t>
      </w:r>
      <w:r>
        <w:t>full cell, leveraging the coordination of Nb</w:t>
      </w:r>
      <w:r>
        <w:rPr>
          <w:vertAlign w:val="subscript"/>
        </w:rPr>
        <w:t>2</w:t>
      </w:r>
      <w:r>
        <w:t>C‐F@I</w:t>
      </w:r>
      <w:r>
        <w:rPr>
          <w:vertAlign w:val="subscript"/>
        </w:rPr>
        <w:t>2</w:t>
      </w:r>
      <w:r>
        <w:t>cathode and V</w:t>
      </w:r>
      <w:r>
        <w:rPr>
          <w:vertAlign w:val="subscript"/>
        </w:rPr>
        <w:t>2</w:t>
      </w:r>
      <w:r>
        <w:t>C‐F@Zn anode, delivers a high capacity of 220.7 mAh g</w:t>
      </w:r>
      <w:r>
        <w:t xml:space="preserve"> </w:t>
      </w:r>
      <w:r>
        <w:t>−1</w:t>
      </w:r>
      <w:r>
        <w:t xml:space="preserve"> </w:t>
      </w:r>
      <w:r>
        <w:t>at 0.2 A g</w:t>
      </w:r>
      <w:r>
        <w:t xml:space="preserve"> </w:t>
      </w:r>
      <w:r>
        <w:t>−1</w:t>
      </w:r>
      <w:r>
        <w:t xml:space="preserve"> </w:t>
      </w:r>
      <w:r>
        <w:t>, maintains 105.8 mAh g</w:t>
      </w:r>
      <w:r>
        <w:t xml:space="preserve"> </w:t>
      </w:r>
      <w:r>
        <w:t>−1</w:t>
      </w:r>
      <w:r>
        <w:t xml:space="preserve"> </w:t>
      </w:r>
      <w:r>
        <w:t>at 5 A g</w:t>
      </w:r>
      <w:r>
        <w:t xml:space="preserve"> </w:t>
      </w:r>
      <w:r>
        <w:t>−1</w:t>
      </w:r>
      <w:r>
        <w:t xml:space="preserve"> </w:t>
      </w:r>
      <w:r>
        <w:t>, alongside an exceptional cycling stability of 72.8% capacity retention over 60 000 cycles, with a Coulombic efficiency approaching 100%. This work establishes an All‐MXene synergistic strategy in which co‐design of the iodine host and zinc interface enables durable, high‐rate aqueous Zn‐I</w:t>
      </w:r>
      <w:r>
        <w:rPr>
          <w:vertAlign w:val="subscript"/>
        </w:rPr>
        <w:t>2</w:t>
      </w:r>
      <w:r>
        <w:t>batteries.</w:t>
      </w:r>
    </w:p>
    <w:p>
      <w:pPr>
        <w:spacing w:before="120" w:after="120"/>
      </w:pPr>
      <w:r>
        <w:rPr>
          <w:sz w:val="18"/>
        </w:rPr>
        <w:t>——————————————————————————————————————————————————————————————————————</w:t>
      </w:r>
    </w:p>
    <w:p>
      <w:pPr>
        <w:spacing w:before="160" w:after="40" w:line="240" w:lineRule="auto"/>
      </w:pPr>
      <w:r>
        <w:rPr>
          <w:b/>
        </w:rPr>
        <w:t xml:space="preserve">[16] </w:t>
      </w:r>
      <w:hyperlink r:id="rId83">
        <w:r>
          <w:rPr>
            <w:color w:val="1155CC"/>
            <w:u w:val="single"/>
          </w:rPr>
          <w:t>亲锂氟化 Bi2O2CO3 热熔合产生异质 SEI 和无枝晶锂镀层，用于首个 Ah 级氟化物转换软包电池</w:t>
        </w:r>
      </w:hyperlink>
    </w:p>
    <w:p>
      <w:pPr>
        <w:spacing w:before="0" w:after="80"/>
      </w:pPr>
      <w:r>
        <w:rPr>
          <w:i/>
          <w:sz w:val="20"/>
        </w:rPr>
        <w:t>EN: Thermal Fusion of Lithium‐Philic Fluorinated Bi2O2CO3 to Derive Heterogeneous SEI and Dendrite‐Free Li Plating for the First Ah‐Level Fluoride Conversion Pouch Cells</w:t>
      </w:r>
    </w:p>
    <w:p>
      <w:pPr>
        <w:spacing w:before="0" w:after="120"/>
      </w:pPr>
      <w:r>
        <w:rPr>
          <w:b/>
        </w:rPr>
        <w:t xml:space="preserve">Source: </w:t>
      </w:r>
      <w:r>
        <w:t>Wiley: Advanced Energy Materials: Table of Contents</w:t>
      </w:r>
      <w:r>
        <w:t xml:space="preserve">    </w:t>
      </w:r>
      <w:r>
        <w:rPr>
          <w:b/>
        </w:rPr>
        <w:t xml:space="preserve">Pub date: </w:t>
      </w:r>
      <w:r>
        <w:t>2026-06-02 07:15:01+00:00</w:t>
      </w:r>
      <w:r>
        <w:t xml:space="preserve">    </w:t>
      </w:r>
      <w:r>
        <w:rPr>
          <w:b/>
        </w:rPr>
        <w:t xml:space="preserve">DOI: </w:t>
      </w:r>
      <w:hyperlink r:id="rId84">
        <w:r>
          <w:rPr>
            <w:color w:val="1155CC"/>
            <w:u w:val="single"/>
          </w:rPr>
          <w:t>10.1002/aenm.71139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人工固体电解质界面（ASEI）被认为是一种简单而高效的方法，可以增强阳极电解质界面的电化学和机械稳定性。在这项研究中，我们提出了含氟Bi的热熔融</w:t>
      </w:r>
      <w:r>
        <w:rPr>
          <w:vertAlign w:val="subscript"/>
        </w:rPr>
        <w:t>2</w:t>
      </w:r>
      <w:r>
        <w:t>氧</w:t>
      </w:r>
      <w:r>
        <w:rPr>
          <w:vertAlign w:val="subscript"/>
        </w:rPr>
        <w:t>2</w:t>
      </w:r>
      <w:r>
        <w:t>一氧化碳</w:t>
      </w:r>
      <w:r>
        <w:rPr>
          <w:vertAlign w:val="subscript"/>
        </w:rPr>
        <w:t>3</w:t>
      </w:r>
      <w:r>
        <w:t>（F-BOC）与锂金属构建亲锂ASEI，作为界面整流器来调节锂离子沉积和剥离。氟的引入促进了F-BOC的Li吸附能力，并形成了各向同性且致密的结构，从而阻碍了TFSI</w:t>
      </w:r>
      <w:r>
        <w:t xml:space="preserve"> </w:t>
      </w:r>
      <w:r>
        <w:t>-</w:t>
      </w:r>
      <w:r>
        <w:t>ASEI 层外的阴离子。在持续的电化学操作下，异质LiF-Li</w:t>
      </w:r>
      <w:r>
        <w:rPr>
          <w:vertAlign w:val="subscript"/>
        </w:rPr>
        <w:t>2</w:t>
      </w:r>
      <w:r>
        <w:t>一氧化碳</w:t>
      </w:r>
      <w:r>
        <w:rPr>
          <w:vertAlign w:val="subscript"/>
        </w:rPr>
        <w:t>3</w:t>
      </w:r>
      <w:r>
        <w:t>导电纳米域区域由 F-BOC 生成，促进锂离子在 LiF-Li 上的传输</w:t>
      </w:r>
      <w:r>
        <w:rPr>
          <w:vertAlign w:val="subscript"/>
        </w:rPr>
        <w:t>2</w:t>
      </w:r>
      <w:r>
        <w:t>一氧化碳</w:t>
      </w:r>
      <w:r>
        <w:rPr>
          <w:vertAlign w:val="subscript"/>
        </w:rPr>
        <w:t>3</w:t>
      </w:r>
      <w:r>
        <w:t>界面，有效抑制锂枝晶生长和电极膨胀。 F-BOC修饰的LiNi</w:t>
      </w:r>
      <w:r>
        <w:t xml:space="preserve"> </w:t>
      </w:r>
      <w:r>
        <w:t>0.8</w:t>
      </w:r>
      <w:r>
        <w:t xml:space="preserve"> </w:t>
      </w:r>
      <w:r>
        <w:t>钴</w:t>
      </w:r>
      <w:r>
        <w:t xml:space="preserve"> </w:t>
      </w:r>
      <w:r>
        <w:t>0.1</w:t>
      </w:r>
      <w:r>
        <w:t xml:space="preserve"> </w:t>
      </w:r>
      <w:r>
        <w:t>锰</w:t>
      </w:r>
      <w:r>
        <w:t xml:space="preserve"> </w:t>
      </w:r>
      <w:r>
        <w:t>0.1</w:t>
      </w:r>
      <w:r>
        <w:t xml:space="preserve"> </w:t>
      </w:r>
      <w:r>
        <w:t>氧</w:t>
      </w:r>
      <w:r>
        <w:rPr>
          <w:vertAlign w:val="subscript"/>
        </w:rPr>
        <w:t>2</w:t>
      </w:r>
      <w:r>
        <w:t>全电池表现出优异的循环稳定性，在 1 C 和容量条件下经过 600 次循环后容量保持率高达 85.88%</w:t>
      </w:r>
    </w:p>
    <w:p>
      <w:pPr>
        <w:spacing w:before="0" w:after="200" w:lineRule="auto" w:line="276"/>
      </w:pPr>
      <w:r>
        <w:rPr>
          <w:b/>
        </w:rPr>
        <w:t xml:space="preserve">Abstract (EN): </w:t>
      </w:r>
      <w:r>
        <w:t>The artificial solid electrolyte interface (ASEI) is regarded as a simple yet highly effective approach to enhance both the electrochemical and mechanical stability of the anode‐electrolyte interface. In this study, we propose the thermal fusion of fluorine‐incorporated Bi</w:t>
      </w:r>
      <w:r>
        <w:rPr>
          <w:vertAlign w:val="subscript"/>
        </w:rPr>
        <w:t>2</w:t>
      </w:r>
      <w:r>
        <w:t>O</w:t>
      </w:r>
      <w:r>
        <w:rPr>
          <w:vertAlign w:val="subscript"/>
        </w:rPr>
        <w:t>2</w:t>
      </w:r>
      <w:r>
        <w:t>CO</w:t>
      </w:r>
      <w:r>
        <w:rPr>
          <w:vertAlign w:val="subscript"/>
        </w:rPr>
        <w:t>3</w:t>
      </w:r>
      <w:r>
        <w:t>(F‐BOC) with lithium metal to construct a lithium‐philic ASEI functioning as an interface rectifier to regulate lithium‐ion deposition and stripping. The introduction of fluorine promotes the Li adsorption capability of F‐BOC, and the formation of an isotropic and compact structure that blocks TFSI</w:t>
      </w:r>
      <w:r>
        <w:t xml:space="preserve"> </w:t>
      </w:r>
      <w:r>
        <w:t>−</w:t>
      </w:r>
      <w:r>
        <w:t>anions outside the ASEI layer. Under sustained electrochemical operation, a heterogeneous LiF‐Li</w:t>
      </w:r>
      <w:r>
        <w:rPr>
          <w:vertAlign w:val="subscript"/>
        </w:rPr>
        <w:t>2</w:t>
      </w:r>
      <w:r>
        <w:t>CO</w:t>
      </w:r>
      <w:r>
        <w:rPr>
          <w:vertAlign w:val="subscript"/>
        </w:rPr>
        <w:t>3</w:t>
      </w:r>
      <w:r>
        <w:t>conductive nanodomain region is generated from F‐BOC, facilitating the lithium‐ion transport across the LiF‐Li</w:t>
      </w:r>
      <w:r>
        <w:rPr>
          <w:vertAlign w:val="subscript"/>
        </w:rPr>
        <w:t>2</w:t>
      </w:r>
      <w:r>
        <w:t>CO</w:t>
      </w:r>
      <w:r>
        <w:rPr>
          <w:vertAlign w:val="subscript"/>
        </w:rPr>
        <w:t>3</w:t>
      </w:r>
      <w:r>
        <w:t>interface, which effectively suppresses lithium dendrite growth and electrode expansion. The F‐BOC‐modified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full cells demonstrate excellent cycling stability, with a high capacity retention of 85.88% over 600 cycles at 1 C and a capacity retention of 90.3% over 120 cycles under high active material loading 20 mg cm</w:t>
      </w:r>
      <w:r>
        <w:t xml:space="preserve"> </w:t>
      </w:r>
      <w:r>
        <w:t>−2</w:t>
      </w:r>
      <w:r>
        <w:t xml:space="preserve"> </w:t>
      </w:r>
      <w:r>
        <w:t>. Moreover, the modified thin lithium anodes (60 µm in thickness) achieve stable cycling in 15‐layer pouch cells based on high‐capacity FeF</w:t>
      </w:r>
      <w:r>
        <w:rPr>
          <w:vertAlign w:val="subscript"/>
        </w:rPr>
        <w:t>3</w:t>
      </w:r>
      <w:r>
        <w:t>, delivering a capacity of nearly 1 Ah, which is the highest level for fluoride conversion reaction batteries.</w:t>
      </w:r>
    </w:p>
    <w:p>
      <w:pPr>
        <w:spacing w:before="120" w:after="120"/>
      </w:pPr>
      <w:r>
        <w:rPr>
          <w:sz w:val="18"/>
        </w:rPr>
        <w:t>——————————————————————————————————————————————————————————————————————</w:t>
      </w:r>
    </w:p>
    <w:p>
      <w:pPr>
        <w:spacing w:before="160" w:after="40" w:line="240" w:lineRule="auto"/>
      </w:pPr>
      <w:r>
        <w:rPr>
          <w:b/>
        </w:rPr>
        <w:t xml:space="preserve">[17] </w:t>
      </w:r>
      <w:hyperlink r:id="rId57">
        <w:r>
          <w:rPr>
            <w:color w:val="1155CC"/>
            <w:u w:val="single"/>
          </w:rPr>
          <w:t>解锁镁电池中的 Mg2+ 传输：芳香结构和系统协同设计</w:t>
        </w:r>
      </w:hyperlink>
    </w:p>
    <w:p>
      <w:pPr>
        <w:spacing w:before="0" w:after="80"/>
      </w:pPr>
      <w:r>
        <w:rPr>
          <w:i/>
          <w:sz w:val="20"/>
        </w:rPr>
        <w:t>EN: Unlocking Mg2+ Transport in Magnesium Batteries: Aromatic Architectures and Systemic Co‐Design</w:t>
      </w:r>
    </w:p>
    <w:p>
      <w:pPr>
        <w:spacing w:before="0" w:after="120"/>
      </w:pPr>
      <w:r>
        <w:rPr>
          <w:b/>
        </w:rPr>
        <w:t xml:space="preserve">Source: </w:t>
      </w:r>
      <w:r>
        <w:t>Wiley: Advanced Energy Materials: Table of Contents</w:t>
      </w:r>
      <w:r>
        <w:t xml:space="preserve">    </w:t>
      </w:r>
      <w:r>
        <w:rPr>
          <w:b/>
        </w:rPr>
        <w:t xml:space="preserve">Pub date: </w:t>
      </w:r>
      <w:r>
        <w:t>2026-06-03 05:30:46+00:00</w:t>
      </w:r>
      <w:r>
        <w:t xml:space="preserve">    </w:t>
      </w:r>
      <w:r>
        <w:rPr>
          <w:b/>
        </w:rPr>
        <w:t xml:space="preserve">DOI: </w:t>
      </w:r>
      <w:hyperlink r:id="rId58">
        <w:r>
          <w:rPr>
            <w:color w:val="1155CC"/>
            <w:u w:val="single"/>
          </w:rPr>
          <w:t>10.1002/aenm.71163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镁电池作为后锂储能系统引起了人们的兴趣，因为镁金属具有高体积容量、在许多条件下无枝晶沉积以及有利的元素丰度。然而，它们的实际发展仍然受到镁含量低迷的限制。</w:t>
      </w:r>
      <w:r>
        <w:t xml:space="preserve"> </w:t>
      </w:r>
      <w:r>
        <w:t>2+</w:t>
      </w:r>
      <w:r>
        <w:t xml:space="preserve"> </w:t>
      </w:r>
      <w:r>
        <w:t>跨长度尺度的传输，包括界面离子去溶剂化和固态扩散。在此背景下，芳香族化合物已成为镁电池设计的平台，不仅因为它们提供氧化还原活性基序，还因为它们的低电负性框架、离域π电子系统和分子可编程性可以减轻局部静电捕获并调节镁</w:t>
      </w:r>
      <w:r>
        <w:t xml:space="preserve"> </w:t>
      </w:r>
      <w:r>
        <w:t>2+</w:t>
      </w:r>
      <w:r>
        <w:t xml:space="preserve"> </w:t>
      </w:r>
      <w:r>
        <w:t>迁移途径。本综述从三个相互关联的角度讨论了芳香族化学如何解决镁电池的关键瓶颈：阴极设计、阳极相间工程和电解质兼容性。特别强调基于苝二酰亚胺（PDI）的系统，它提供了一个罕见的模型平台，其中分子结构、共轭模式、空间畸变、离子可接近的几何结构和存储机制都可以被有意地调整。我们进一步讨论了用于镁金属保护的芳香族人工界面相，包括富勒烯衍生的网络作为机械说明性示例，并分析了电解质化学如何控制存储物种、界面相容性和活性材料状态</w:t>
      </w:r>
    </w:p>
    <w:p>
      <w:pPr>
        <w:spacing w:before="0" w:after="200" w:lineRule="auto" w:line="276"/>
      </w:pPr>
      <w:r>
        <w:rPr>
          <w:b/>
        </w:rPr>
        <w:t xml:space="preserve">Abstract (EN): </w:t>
      </w:r>
      <w:r>
        <w:t>Magnesium batteries have attracted interest as post‐lithium energy‐storage systems because Mg metal offers high volumetric capacity, dendrite‐free deposition under many conditions, and favorable elemental abundance. However, their practical development remains limited by sluggish Mg</w:t>
      </w:r>
      <w:r>
        <w:t xml:space="preserve"> </w:t>
      </w:r>
      <w:r>
        <w:t>2+</w:t>
      </w:r>
      <w:r>
        <w:t xml:space="preserve"> </w:t>
      </w:r>
      <w:r>
        <w:t>transport across length scales, including interfacial ion desolvation and solid‐state diffusion. Against this backdrop, aromatic compounds have emerged as a platform for magnesium‐battery design, not simply because they provide redox‐active motifs, but because their low‐electronegativity frameworks, delocalized π‐electron systems, and molecular programmability can mitigate localized electrostatic trapping and regulate Mg</w:t>
      </w:r>
      <w:r>
        <w:t xml:space="preserve"> </w:t>
      </w:r>
      <w:r>
        <w:t>2+</w:t>
      </w:r>
      <w:r>
        <w:t xml:space="preserve"> </w:t>
      </w:r>
      <w:r>
        <w:t>migration pathways. This review discusses how aromatic chemistry can address the key bottlenecks of magnesium batteries from three interconnected perspectives: cathode design, anode interphase engineering, and electrolyte compatibility. Particular emphasis is placed on perylene diimide (PDI)‐based systems, which provide a rare model platform in which molecular structure, conjugation mode, steric distortion, ion‐accessible geometry, and storage mechanism can all be deliberately tuned. We further discuss aromatic artificial interphases for Mg‐metal protection, including fullerene‐derived networks as mechanistically illustrative examples, and analyze how electrolyte chemistry governs storage species, interfacial compatibility, and active‐material stability. Rather than treating cathodes, anodes, and electrolytes as isolated components, this review emphasizes mechanism‐oriented co‐design and critically assesses the limitations of aromatic materials for magnesium batteries.</w:t>
      </w:r>
    </w:p>
    <w:p>
      <w:pPr>
        <w:spacing w:before="120" w:after="120"/>
      </w:pPr>
      <w:r>
        <w:rPr>
          <w:sz w:val="18"/>
        </w:rPr>
        <w:t>——————————————————————————————————————————————————————————————————————</w:t>
      </w:r>
    </w:p>
    <w:p>
      <w:pPr>
        <w:spacing w:before="160" w:after="40" w:line="240" w:lineRule="auto"/>
      </w:pPr>
      <w:r>
        <w:rPr>
          <w:b/>
        </w:rPr>
        <w:t xml:space="preserve">[18] </w:t>
      </w:r>
      <w:hyperlink r:id="rId85">
        <w:r>
          <w:rPr>
            <w:color w:val="1155CC"/>
            <w:u w:val="single"/>
          </w:rPr>
          <w:t>通过触发开空心 MoS2 纳米球中的电子自旋极化加速电荷转移动力学，用于超快锂存储</w:t>
        </w:r>
      </w:hyperlink>
    </w:p>
    <w:p>
      <w:pPr>
        <w:spacing w:before="0" w:after="80"/>
      </w:pPr>
      <w:r>
        <w:rPr>
          <w:i/>
          <w:sz w:val="20"/>
        </w:rPr>
        <w:t>EN: Accelerating Charge‐Transfer Kinetics via Triggering Electron Spin Polarization in Open‐Hollow MoS2 Nanospheres for Ultrafast Lithium Storage</w:t>
      </w:r>
    </w:p>
    <w:p>
      <w:pPr>
        <w:spacing w:before="0" w:after="120"/>
      </w:pPr>
      <w:r>
        <w:rPr>
          <w:b/>
        </w:rPr>
        <w:t xml:space="preserve">Source: </w:t>
      </w:r>
      <w:r>
        <w:t>Wiley: Advanced Materials: Table of Contents</w:t>
      </w:r>
      <w:r>
        <w:t xml:space="preserve">    </w:t>
      </w:r>
      <w:r>
        <w:rPr>
          <w:b/>
        </w:rPr>
        <w:t xml:space="preserve">Pub date: </w:t>
      </w:r>
      <w:r>
        <w:t>2026-06-03 07:08:11+00:00</w:t>
      </w:r>
      <w:r>
        <w:t xml:space="preserve">    </w:t>
      </w:r>
      <w:r>
        <w:rPr>
          <w:b/>
        </w:rPr>
        <w:t xml:space="preserve">DOI: </w:t>
      </w:r>
      <w:hyperlink r:id="rId86">
        <w:r>
          <w:rPr>
            <w:color w:val="1155CC"/>
            <w:u w:val="single"/>
          </w:rPr>
          <w:t>10.1002/adma.73551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超快充电MoS的发展</w:t>
      </w:r>
      <w:r>
        <w:rPr>
          <w:vertAlign w:val="subscript"/>
        </w:rPr>
        <w:t>2</w:t>
      </w:r>
      <w:r>
        <w:t>阳极从根本上受到缓慢的电荷转移动力学的限制。这项研究通过在开空心 MoS2 中掺杂原子级 Co 来触发电子自旋极化，从而解决了这一限制</w:t>
      </w:r>
      <w:r>
        <w:rPr>
          <w:vertAlign w:val="subscript"/>
        </w:rPr>
        <w:t>2</w:t>
      </w:r>
      <w:r>
        <w:t>纳米球。在结构上，开放式中空设计最大限度地减少了离子扩散距离并适应MoS2的体积变化</w:t>
      </w:r>
      <w:r>
        <w:rPr>
          <w:vertAlign w:val="subscript"/>
        </w:rPr>
        <w:t>2</w:t>
      </w:r>
      <w:r>
        <w:t>，为快速离子通量提供坚实的基础。从电子角度来看，Co 的掺入增强了 S 3p–Mo 4d–Co 3d 轨道杂化，引发显着的电子自旋极化，从而减少插入和转换反应的动力学障碍。转化后阶段，原位生成金属钴纳米颗粒（Co</w:t>
      </w:r>
      <w:r>
        <w:rPr>
          <w:vertAlign w:val="subscript"/>
        </w:rPr>
        <w:t>0</w:t>
      </w:r>
      <w:r>
        <w:t>）充当自旋极化电子转移的动态介体。具体来说，将自旋极化电子注入 Co° 会产生自旋极化表面电容，从而增强 Co 处的电荷存储</w:t>
      </w:r>
      <w:r>
        <w:rPr>
          <w:vertAlign w:val="subscript"/>
        </w:rPr>
        <w:t>0</w:t>
      </w:r>
      <w:r>
        <w:t>/李</w:t>
      </w:r>
      <w:r>
        <w:rPr>
          <w:vertAlign w:val="subscript"/>
        </w:rPr>
        <w:t>2</w:t>
      </w:r>
      <w:r>
        <w:t>S接口。相反，这些电子的释放促进了 Co</w:t>
      </w:r>
      <w:r>
        <w:rPr>
          <w:vertAlign w:val="subscript"/>
        </w:rPr>
        <w:t>0</w:t>
      </w:r>
      <w:r>
        <w:t>‐催化构建固体电解质界面，优先考虑导电LiF物质，同时抑制Li</w:t>
      </w:r>
      <w:r>
        <w:rPr>
          <w:vertAlign w:val="subscript"/>
        </w:rPr>
        <w:t>2</w:t>
      </w:r>
      <w:r>
        <w:t>一氧化碳</w:t>
      </w:r>
      <w:r>
        <w:rPr>
          <w:vertAlign w:val="subscript"/>
        </w:rPr>
        <w:t>3</w:t>
      </w:r>
      <w:r>
        <w:t>，促进电极-电解质界面上的离子传输。后果</w:t>
      </w:r>
    </w:p>
    <w:p>
      <w:pPr>
        <w:spacing w:before="0" w:after="200" w:lineRule="auto" w:line="276"/>
      </w:pPr>
      <w:r>
        <w:rPr>
          <w:b/>
        </w:rPr>
        <w:t xml:space="preserve">Abstract (EN): </w:t>
      </w:r>
      <w:r>
        <w:t>The development of ultrafast‐charging MoS</w:t>
      </w:r>
      <w:r>
        <w:rPr>
          <w:vertAlign w:val="subscript"/>
        </w:rPr>
        <w:t>2</w:t>
      </w:r>
      <w:r>
        <w:t>anodes is fundamentally constrained by sluggish charge‐transfer kinetics. This study addresses this limitation by triggering electron spin polarization through atomic‐scale Co doping within open‐hollow MoS</w:t>
      </w:r>
      <w:r>
        <w:rPr>
          <w:vertAlign w:val="subscript"/>
        </w:rPr>
        <w:t>2</w:t>
      </w:r>
      <w:r>
        <w:t>nanospheres. Structurally, the open‐hollow design minimizes ion diffusion distances and accommodates volume changes of MoS</w:t>
      </w:r>
      <w:r>
        <w:rPr>
          <w:vertAlign w:val="subscript"/>
        </w:rPr>
        <w:t>2</w:t>
      </w:r>
      <w:r>
        <w:t>, providing a robust foundation for rapid ion flux. Electronically, Co incorporation enhances S 3p–Mo 4d–Co 3d orbital hybridization, triggering a marked electron spin polarization that reduces kinetic barriers for insertion and conversion reactions. Post‐conversion stage, in situ generated metallic Co nanoparticles (Co</w:t>
      </w:r>
      <w:r>
        <w:rPr>
          <w:vertAlign w:val="subscript"/>
        </w:rPr>
        <w:t>0</w:t>
      </w:r>
      <w:r>
        <w:t>) act as dynamic mediators for spin‐polarized electron transfer. Specifically, the injection of spin‐polarized electrons into Co° creates a spin‐polarized surface capacitance, boosting charge storage at the Co</w:t>
      </w:r>
      <w:r>
        <w:rPr>
          <w:vertAlign w:val="subscript"/>
        </w:rPr>
        <w:t>0</w:t>
      </w:r>
      <w:r>
        <w:t>/Li</w:t>
      </w:r>
      <w:r>
        <w:rPr>
          <w:vertAlign w:val="subscript"/>
        </w:rPr>
        <w:t>2</w:t>
      </w:r>
      <w:r>
        <w:t>S interfaces. Conversely, the release of these electrons promotes a Co</w:t>
      </w:r>
      <w:r>
        <w:rPr>
          <w:vertAlign w:val="subscript"/>
        </w:rPr>
        <w:t>0</w:t>
      </w:r>
      <w:r>
        <w:t>‐catalyzed construction of solid electrolyte interphase, prioritizing conductive LiF species while suppressing Li</w:t>
      </w:r>
      <w:r>
        <w:rPr>
          <w:vertAlign w:val="subscript"/>
        </w:rPr>
        <w:t>2</w:t>
      </w:r>
      <w:r>
        <w:t>CO</w:t>
      </w:r>
      <w:r>
        <w:rPr>
          <w:vertAlign w:val="subscript"/>
        </w:rPr>
        <w:t>3</w:t>
      </w:r>
      <w:r>
        <w:t>, facilitating ion transport at the electrode‐electrolyte interfaces. Consequently, the MoS</w:t>
      </w:r>
      <w:r>
        <w:rPr>
          <w:vertAlign w:val="subscript"/>
        </w:rPr>
        <w:t>2</w:t>
      </w:r>
      <w:r>
        <w:t>‐based anode exhibits an impressive ultrafast‐charging capability of 30 C (1044.1 mAh g</w:t>
      </w:r>
      <w:r>
        <w:t xml:space="preserve"> </w:t>
      </w:r>
      <w:r>
        <w:t>−1</w:t>
      </w:r>
      <w:r>
        <w:t xml:space="preserve"> </w:t>
      </w:r>
      <w:r>
        <w:t>) and maintains stability over 10 000 cycles at 15 C with a final capacity of 874.7 mAh g</w:t>
      </w:r>
      <w:r>
        <w:t xml:space="preserve"> </w:t>
      </w:r>
      <w:r>
        <w:t>−1</w:t>
      </w:r>
      <w:r>
        <w:t xml:space="preserve"> </w:t>
      </w:r>
      <w:r>
        <w:t>. This work demonstrates that triggering electron spin polarization represents a transformative approach to overcoming kinetic barriers in next‐generation ultrafast‐charging batteries.</w:t>
      </w:r>
    </w:p>
    <w:p>
      <w:pPr>
        <w:spacing w:before="120" w:after="120"/>
      </w:pPr>
      <w:r>
        <w:rPr>
          <w:sz w:val="18"/>
        </w:rPr>
        <w:t>——————————————————————————————————————————————————————————————————————</w:t>
      </w:r>
    </w:p>
    <w:p>
      <w:pPr>
        <w:spacing w:before="160" w:after="40" w:line="240" w:lineRule="auto"/>
      </w:pPr>
      <w:r>
        <w:rPr>
          <w:b/>
        </w:rPr>
        <w:t xml:space="preserve">[19] </w:t>
      </w:r>
      <w:hyperlink r:id="rId87">
        <w:r>
          <w:rPr>
            <w:color w:val="1155CC"/>
            <w:u w:val="single"/>
          </w:rPr>
          <w:t>通过光纤传感器监测锂金属电极的电化学力学</w:t>
        </w:r>
      </w:hyperlink>
    </w:p>
    <w:p>
      <w:pPr>
        <w:spacing w:before="0" w:after="80"/>
      </w:pPr>
      <w:r>
        <w:rPr>
          <w:i/>
          <w:sz w:val="20"/>
        </w:rPr>
        <w:t>EN: Monitoring of electro-chemo-mechanics in Li metal electrodes by optical fibre sensors</w:t>
      </w:r>
    </w:p>
    <w:p>
      <w:pPr>
        <w:spacing w:before="0" w:after="120"/>
      </w:pPr>
      <w:r>
        <w:rPr>
          <w:b/>
        </w:rPr>
        <w:t xml:space="preserve">Source: </w:t>
      </w:r>
      <w:r>
        <w:t>RSC - Energy Environ. Sci. latest articles</w:t>
      </w:r>
      <w:r>
        <w:t xml:space="preserve">    </w:t>
      </w:r>
      <w:r>
        <w:rPr>
          <w:b/>
        </w:rPr>
        <w:t xml:space="preserve">Pub date: </w:t>
      </w:r>
      <w:r>
        <w:t>2026-06-03 23:00:00+00:00</w:t>
      </w:r>
    </w:p>
    <w:p>
      <w:pPr>
        <w:spacing w:before="0" w:after="120"/>
      </w:pPr>
      <w:r>
        <w:rPr>
          <w:b/>
        </w:rPr>
        <w:t xml:space="preserve">Notes: </w:t>
      </w:r>
      <w:r>
        <w:t>abstract_source=rsc_html</w:t>
      </w:r>
    </w:p>
    <w:p>
      <w:pPr>
        <w:spacing w:before="0" w:after="80" w:lineRule="auto" w:line="276"/>
      </w:pPr>
      <w:r>
        <w:rPr>
          <w:b/>
        </w:rPr>
        <w:t xml:space="preserve">摘要（ZH）: </w:t>
      </w:r>
      <w:r>
        <w:t>电池技术对于推进绿色能源解决方案和实现可持续发展目标至关重要。锂金属电池具有最高的理论容量，被认为是有前途的下一代储能系统。然而，它们的应用受到电化学机械效应驱动的枝晶生长和不稳定界面的限制。应对这些挑战需要直接了解内应力演化特征，而这个过程仍然不确定。在这里，我们将光纤布拉格光栅传感器嵌入锂金属电极中，从而能够实时监测骑行过程中的应力。测量结果揭示了与活性锂迁移行为一致的动态应力演化过程。该过程具有不均匀的应力贡献和滞后效应，而这在充放电转换过程中是不存在的。引入了一个新参数，即机械效率来评估内在结构稳定性，揭示局部微观结构稳定性可以超过宏观电化学性能。此外，应力演化曲线的相关分析揭示了高度可重复的模式，为研究锂金属中结构记忆的存在提供了潜在的途径。这项电化学力学研究为通过机械调节增强锂金属电池的耐用性提供了见解。</w:t>
      </w:r>
    </w:p>
    <w:p>
      <w:pPr>
        <w:spacing w:before="0" w:after="200" w:lineRule="auto" w:line="276"/>
      </w:pPr>
      <w:r>
        <w:rPr>
          <w:b/>
        </w:rPr>
        <w:t xml:space="preserve">Abstract (EN): </w:t>
      </w:r>
      <w:r>
        <w:t>Battery technology is essential for advancing green energy solutions and achieving sustainable development goals. Li metal batteries have the highest theoretical capacity and are regarded as promising next-generation energy storage systems. However, their application is restricted by dendrite growth and unstable interfaces driven by electro-chemo-mechanical effects. Addressing these challenges requires obtaining direct insights into internal stress evolutionary characteristics, and this process remains uncertain. Here, we embed fibre Bragg grating sensors within Li metal electrodes, enabling real-time monitoring of stress during cycling. The measurements reveal a dynamic stress evolution process that is consistent with the migration behaviour of active Li. This process features a nonuniform stress contribution and a hysteresis effect that are not present in the charge–discharge conversion process. A new parameter, i.e., mechanical efficiency, is introduced to assess intrinsic structural stability, revealing that local microstructural stability can exceed macroscopic electrochemical performance. Furthermore, correlation analysis of stress–evolution curves reveals highly reproducible patterns, offering a potential avenue for investigating the existence of structural memory in Li metal. This study of electro-chemo-mechanics provides insights into enhancing Li-metal battery durability via mechanical regulation.</w:t>
      </w:r>
    </w:p>
    <w:p>
      <w:pPr>
        <w:spacing w:before="120" w:after="120"/>
      </w:pPr>
      <w:r>
        <w:rPr>
          <w:sz w:val="18"/>
        </w:rPr>
        <w:t>——————————————————————————————————————————————————————————————————————</w:t>
      </w:r>
    </w:p>
    <w:p>
      <w:pPr>
        <w:spacing w:before="160" w:after="40" w:line="240" w:lineRule="auto"/>
      </w:pPr>
      <w:r>
        <w:rPr>
          <w:b/>
        </w:rPr>
        <w:t xml:space="preserve">[20] </w:t>
      </w:r>
      <w:hyperlink r:id="rId88">
        <w:r>
          <w:rPr>
            <w:color w:val="1155CC"/>
            <w:u w:val="single"/>
          </w:rPr>
          <w:t>晶面工程赋予锌材料多种晶面取向：制备策略、性能优势和应用挑战</w:t>
        </w:r>
      </w:hyperlink>
    </w:p>
    <w:p>
      <w:pPr>
        <w:spacing w:before="0" w:after="80"/>
      </w:pPr>
      <w:r>
        <w:rPr>
          <w:i/>
          <w:sz w:val="20"/>
        </w:rPr>
        <w:t>EN: Crystal facet engineering empowers zinc materials with diverse facet orientations: preparation strategies, performance advantages, and application challenges</w:t>
      </w:r>
    </w:p>
    <w:p>
      <w:pPr>
        <w:spacing w:before="0" w:after="120"/>
      </w:pPr>
      <w:r>
        <w:rPr>
          <w:b/>
        </w:rPr>
        <w:t xml:space="preserve">Source: </w:t>
      </w:r>
      <w:r>
        <w:t>RSC - Energy Environ. Sci. latest articles</w:t>
      </w:r>
      <w:r>
        <w:t xml:space="preserve">    </w:t>
      </w:r>
      <w:r>
        <w:rPr>
          <w:b/>
        </w:rPr>
        <w:t xml:space="preserve">Pub date: </w:t>
      </w:r>
      <w:r>
        <w:t>2026-06-03 23:00:00+00:00</w:t>
      </w:r>
    </w:p>
    <w:p>
      <w:pPr>
        <w:spacing w:before="0" w:after="120"/>
      </w:pPr>
      <w:r>
        <w:rPr>
          <w:b/>
        </w:rPr>
        <w:t xml:space="preserve">Notes: </w:t>
      </w:r>
      <w:r>
        <w:t>abstract_source=rsc_html</w:t>
      </w:r>
    </w:p>
    <w:p>
      <w:pPr>
        <w:spacing w:before="0" w:after="80" w:lineRule="auto" w:line="276"/>
      </w:pPr>
      <w:r>
        <w:rPr>
          <w:b/>
        </w:rPr>
        <w:t xml:space="preserve">摘要（ZH）: </w:t>
      </w:r>
      <w:r>
        <w:t>由于锌的高理论容量、低成本、在水性电解质中的本质安全性和环境兼容性，锌金属电池（ZMB）在电化学储能方面具有广阔的前景，但其实际应用受到枝晶生长、析氢和腐蚀的限制。晶体学面工程有效地调节了锌沉积热力学，但面临着挑战，包括缺乏可扩展的合成、恶劣条件下的面降解、不明确的添加剂-面相互作用、活性与稳定性权衡以及统一的性能指标。本综述系统地阐明了主要锌晶面的结构与性能关系，对关键制备方法（热处理、机械加工、电沉积和激光/化学蚀刻）进行了基准测试，并量化了织构化锌阳极在水性电解质中的电化学性能。它建立了一条连接小面结构、加工方案、电化学行为和全电池性能的清晰机械链，描述了小面工程的优点和局限性。由此产生的设计矩阵为高性能锌阳极的精确制造提供了明确的指导，并为优化其他金属电极提供了可转移的框架，推动了用于电网规模固定存储和便携式电子产品的 ZMB 的实际开发。</w:t>
      </w:r>
    </w:p>
    <w:p>
      <w:pPr>
        <w:spacing w:before="0" w:after="200" w:lineRule="auto" w:line="276"/>
      </w:pPr>
      <w:r>
        <w:rPr>
          <w:b/>
        </w:rPr>
        <w:t xml:space="preserve">Abstract (EN): </w:t>
      </w:r>
      <w:r>
        <w:t>Zinc metal batteries (ZMBs) are promising for electrochemical energy storage due to zinc's high theoretical capacity, low cost, intrinsic safety in aqueous electrolytes, and environmental compatibility, but their practical application is limited by dendrite growth, hydrogen evolution, and corrosion. Crystallographic facet engineering effectively regulates Zn deposition thermodynamics, yet faces challenges including lack of scalable synthesis, facet degradation under harsh conditions, ambiguous additive–facet interactions, activity-stability trade-offs, and unified performance metrics. This review systematically clarifies the structure–performance relationships of dominant Zn facets, benchmarks key preparation methods (heat treatment, mechanical processing, electrodeposition, and laser/chemical etching), and quantifies the electrochemical performance of textured Zn anodes in aqueous electrolytes. It establishes a clear mechanistic chain connecting the facet structure, processing protocols, electrochemical behavior, and full-cell performance, delineating the merits and limitations of facet engineering. The resulting design matrix provides definitive guidance for the precise fabrication of high-performance Zn anodes and offers a transferable framework for optimizing other metal electrodes, advancing the practical development of ZMBs for grid-scale stationary storage and portable electronics.</w:t>
      </w:r>
    </w:p>
    <w:p>
      <w:pPr>
        <w:spacing w:before="120" w:after="120"/>
      </w:pPr>
      <w:r>
        <w:rPr>
          <w:sz w:val="18"/>
        </w:rPr>
        <w:t>——————————————————————————————————————————————————————————————————————</w:t>
      </w:r>
    </w:p>
    <w:p>
      <w:pPr>
        <w:spacing w:before="160" w:after="40" w:line="240" w:lineRule="auto"/>
      </w:pPr>
      <w:r>
        <w:rPr>
          <w:b/>
        </w:rPr>
        <w:t xml:space="preserve">[21] </w:t>
      </w:r>
      <w:hyperlink r:id="rId89">
        <w:r>
          <w:rPr>
            <w:color w:val="1155CC"/>
            <w:u w:val="single"/>
          </w:rPr>
          <w:t>通过不对称醚工程溶剂-阴离子相互作用用于 200 Wh Kg−1 低温无阳极钠软包电池</w:t>
        </w:r>
      </w:hyperlink>
    </w:p>
    <w:p>
      <w:pPr>
        <w:spacing w:before="0" w:after="80"/>
      </w:pPr>
      <w:r>
        <w:rPr>
          <w:i/>
          <w:sz w:val="20"/>
        </w:rPr>
        <w:t>EN: Engineering Solvent–Anion Interactions via Asymmetric Ethers for 200 Wh Kg−1 Low‐Temperature Anode‐Free Sodium Pouch Cells</w:t>
      </w:r>
    </w:p>
    <w:p>
      <w:pPr>
        <w:spacing w:before="0" w:after="120"/>
      </w:pPr>
      <w:r>
        <w:rPr>
          <w:b/>
        </w:rPr>
        <w:t xml:space="preserve">Source: </w:t>
      </w:r>
      <w:r>
        <w:t>Wiley: Angewandte Chemie International Edition: Table of Contents</w:t>
      </w:r>
      <w:r>
        <w:t xml:space="preserve">    </w:t>
      </w:r>
      <w:r>
        <w:rPr>
          <w:b/>
        </w:rPr>
        <w:t xml:space="preserve">Pub date: </w:t>
      </w:r>
      <w:r>
        <w:t>2026-06-04 16:25:20+00:00</w:t>
      </w:r>
      <w:r>
        <w:t xml:space="preserve">    </w:t>
      </w:r>
      <w:r>
        <w:rPr>
          <w:b/>
        </w:rPr>
        <w:t xml:space="preserve">DOI: </w:t>
      </w:r>
      <w:hyperlink r:id="rId90">
        <w:r>
          <w:rPr>
            <w:color w:val="1155CC"/>
            <w:u w:val="single"/>
          </w:rPr>
          <w:t>10.1002/anie.3780082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高度可逆的钠沉积/剥离对于低温无阳极钠金属电池（LT-AFSMB）的稳定运行至关重要，但同时实现超高库仑效率（CE）和长期耐久性以及高能量密度仍然是一个艰巨的挑战。在这里，通过调节分子侧链，我们设计了一种不对称链状醚溶剂，可以优雅地平衡弱Na</w:t>
      </w:r>
      <w:r>
        <w:t xml:space="preserve"> </w:t>
      </w:r>
      <w:r>
        <w:t>+</w:t>
      </w:r>
      <w:r>
        <w:t xml:space="preserve"> </w:t>
      </w:r>
      <w:r>
        <w:t>‐偶极子和强阴离子偶极子相互作用。这种合理定制的电解质可产生富含阴离子的Na</w:t>
      </w:r>
      <w:r>
        <w:t xml:space="preserve"> </w:t>
      </w:r>
      <w:r>
        <w:t>+</w:t>
      </w:r>
      <w:r>
        <w:t xml:space="preserve"> </w:t>
      </w:r>
      <w:r>
        <w:t>配位环境，显着降低了去溶剂化势垒，并驱动形成具有快速界面动力学的强大的阴离子衍生固体电解质界面。因此，经过优化的电解液在 -20°C 下经过 500 次循环后，平均 CE 达到前所未有的 99.96%。值得注意的是，即使在超高阴极负载（28.05 mg cm</w:t>
      </w:r>
      <w:r>
        <w:t xml:space="preserve"> </w:t>
      </w:r>
      <w:r>
        <w:t>−2</w:t>
      </w:r>
      <w:r>
        <w:t xml:space="preserve"> </w:t>
      </w:r>
      <w:r>
        <w:t>）和面积容量（2.48 mAh cm</w:t>
      </w:r>
      <w:r>
        <w:t xml:space="preserve"> </w:t>
      </w:r>
      <w:r>
        <w:t>−2</w:t>
      </w:r>
      <w:r>
        <w:t xml:space="preserve"> </w:t>
      </w:r>
      <w:r>
        <w:t>），LT-AFSMB 在 -20°C 下经过 600 个循环后仍保留其初始容量的 85.9%。此外，实用的Ah级无阳极软包电池表现出300次循环的稳定运行，产生超过200 Wh kg的高能量密度</w:t>
      </w:r>
      <w:r>
        <w:t xml:space="preserve"> </w:t>
      </w:r>
      <w:r>
        <w:t>−1</w:t>
      </w:r>
      <w:r>
        <w:t xml:space="preserve"> </w:t>
      </w:r>
      <w:r>
        <w:t>（基于整个软包电池的质量）。这种范式转变的溶剂化策略提供了一个高度可行和可扩展的蓝图</w:t>
      </w:r>
    </w:p>
    <w:p>
      <w:pPr>
        <w:spacing w:before="0" w:after="200" w:lineRule="auto" w:line="276"/>
      </w:pPr>
      <w:r>
        <w:rPr>
          <w:b/>
        </w:rPr>
        <w:t xml:space="preserve">Abstract (EN): </w:t>
      </w:r>
      <w:r>
        <w:t>Achieving highly reversible Na plating/stripping is crucial for the stable operation of low‐temperature anode‐free sodium metal batteries (LT‐AFSMBs), yet simultaneously realizing ultra‐high Coulombic efficiency (CE) and long‐term durability, accompanied by high energy density, remains a formidable challenge. Herein, by regulating the molecular side chain, we design an asymmetric chain‐like ether solvent that elegantly balances weak Na</w:t>
      </w:r>
      <w:r>
        <w:t xml:space="preserve"> </w:t>
      </w:r>
      <w:r>
        <w:t>+</w:t>
      </w:r>
      <w:r>
        <w:t xml:space="preserve"> </w:t>
      </w:r>
      <w:r>
        <w:t>‐dipole and strong anion‐dipole interactions. This rationally tailored electrolyte fosters an anion‐rich Na</w:t>
      </w:r>
      <w:r>
        <w:t xml:space="preserve"> </w:t>
      </w:r>
      <w:r>
        <w:t>+</w:t>
      </w:r>
      <w:r>
        <w:t xml:space="preserve"> </w:t>
      </w:r>
      <w:r>
        <w:t>coordination environment, which significantly lowers the desolvation barrier and drives the formation of a robust, anion‐derived solid electrolyte interphase with rapid interfacial dynamics. Consequently, the optimized electrolyte delivers an unprecedented average CE of 99.96% over 500 cycles at −20°C. Remarkably, even under stringent conditions of an ultra‐high cathode loading (28.05 mg cm</w:t>
      </w:r>
      <w:r>
        <w:t xml:space="preserve"> </w:t>
      </w:r>
      <w:r>
        <w:t>−2</w:t>
      </w:r>
      <w:r>
        <w:t xml:space="preserve"> </w:t>
      </w:r>
      <w:r>
        <w:t>) and areal capacity (2.48 mAh cm</w:t>
      </w:r>
      <w:r>
        <w:t xml:space="preserve"> </w:t>
      </w:r>
      <w:r>
        <w:t>−2</w:t>
      </w:r>
      <w:r>
        <w:t xml:space="preserve"> </w:t>
      </w:r>
      <w:r>
        <w:t>), the LT‐AFSMBs retain 85.9% of their initial capacity over 600 cycles at −20°C. Moreover, practical Ah‐level anode‐free pouch cells demonstrate stable operation for 300 cycles, yielding a high energy density exceeding 200 Wh kg</w:t>
      </w:r>
      <w:r>
        <w:t xml:space="preserve"> </w:t>
      </w:r>
      <w:r>
        <w:t>−1</w:t>
      </w:r>
      <w:r>
        <w:t xml:space="preserve"> </w:t>
      </w:r>
      <w:r>
        <w:t>(based on the mass of entire pouch cell). This paradigm‐shifting solvation strategy provides a highly viable and scalable blueprint for the next‐generation, extreme‐temperature energy storage systems.</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36">
        <w:r>
          <w:rPr>
            <w:color w:val="1155CC"/>
            <w:u w:val="single"/>
          </w:rPr>
          <w:t>通过堆叠冲压法高通量生产微电池</w:t>
        </w:r>
      </w:hyperlink>
    </w:p>
    <w:p>
      <w:pPr>
        <w:spacing w:before="0" w:after="80"/>
      </w:pPr>
      <w:r>
        <w:rPr>
          <w:i/>
          <w:sz w:val="20"/>
        </w:rPr>
        <w:t>EN: High-throughput production of microbatteries by a stack-punching method</w:t>
      </w:r>
    </w:p>
    <w:p>
      <w:pPr>
        <w:spacing w:before="0" w:after="120"/>
      </w:pPr>
      <w:r>
        <w:rPr>
          <w:b/>
        </w:rPr>
        <w:t xml:space="preserve">Source: </w:t>
      </w:r>
      <w:r>
        <w:t>Nature Communications</w:t>
      </w:r>
      <w:r>
        <w:t xml:space="preserve">    </w:t>
      </w:r>
      <w:r>
        <w:rPr>
          <w:b/>
        </w:rPr>
        <w:t xml:space="preserve">Pub date: </w:t>
      </w:r>
      <w:r>
        <w:t>2026-05-30 00:00:00+00:00</w:t>
      </w:r>
      <w:r>
        <w:t xml:space="preserve">    </w:t>
      </w:r>
      <w:r>
        <w:rPr>
          <w:b/>
        </w:rPr>
        <w:t xml:space="preserve">DOI: </w:t>
      </w:r>
      <w:hyperlink r:id="rId37">
        <w:r>
          <w:rPr>
            <w:color w:val="1155CC"/>
            <w:u w:val="single"/>
          </w:rPr>
          <w:t>10.1038/s41467-026-73912-5</w:t>
        </w:r>
      </w:hyperlink>
    </w:p>
    <w:p>
      <w:pPr>
        <w:spacing w:before="0" w:after="120"/>
      </w:pPr>
      <w:r>
        <w:rPr>
          <w:b/>
        </w:rPr>
        <w:t xml:space="preserve">Notes: </w:t>
      </w:r>
      <w:r>
        <w:t>abstract_source=nature_html</w:t>
      </w:r>
    </w:p>
    <w:p>
      <w:pPr>
        <w:spacing w:before="0" w:after="80" w:lineRule="auto" w:line="276"/>
      </w:pPr>
      <w:r>
        <w:rPr>
          <w:b/>
        </w:rPr>
        <w:t xml:space="preserve">摘要（ZH）: </w:t>
      </w:r>
      <w:r>
        <w:t>微电池是集成电路、可穿戴电子产品、植入式医疗设备和微型机器人的关键电源。然而，它们的实际应用受到传统自下而上组装方法的限制，该方法存在生产效率低、均匀性差和电化学性能差的问题。在这里，我们报告了一种用于高通量生产微电池的自上而下的堆叠打孔方法。通过将最初的无阳极设计与互穿的正极|电解质融合层相集成，我们构建了坚固的电极|电解质界面，以承受高速冲压工艺引起的机械应力，生产率高达每小时 1800 件。由此产生的微电池在物理尺寸和电化学性能方面都高度均匀，最大体积能量密度达到1306 mWh cm−3，在最先进的微电池技术中具有很强的竞争力。作为概念验证，这些微电池与微型传感器集成，用于持续健康监测，并安装在蚂蚁和蜜蜂身上，有可能开发用于生态和地质数据收集的生物混合微系统。总体而言，我们的堆叠打孔方法为大规模制造高性能微电池提供了一种有前景的工具，有助于将其转化为下一代电子设备和系统。</w:t>
      </w:r>
    </w:p>
    <w:p>
      <w:pPr>
        <w:spacing w:before="0" w:after="200" w:lineRule="auto" w:line="276"/>
      </w:pPr>
      <w:r>
        <w:rPr>
          <w:b/>
        </w:rPr>
        <w:t xml:space="preserve">Abstract (EN): </w:t>
      </w:r>
      <w:r>
        <w:t>Microbatteries are critical power sources for integrated circuits, wearable electronics, implantable medical devices, and microrobots. However, their practical applications have been limited by conventional bottom-up assembly methods, which suffer from low production efficiency, poor uniformity, and inferior electrochemical performance. Here we report a top-down stack-punching approach for high-throughput production of microbatteries. Through the integration of an initially anode-free design with an interpenetrating positive electrode|electrolyte fusion layer, we construct robust electrode|electrolyte interfaces to withstand the mechanical stress induced by the high-speed punching process, with a high production rate of 1800 units per hour. The resulting microbatteries are highly uniform in both physical dimensions and electrochemical performance, achieving a maximum volumetric energy density of 1306 mWh cm−3, highly competitive among state-of-the-art microbattery technologies. As a proof-of-concept, these microbatteries are integrated with miniature sensors for continuous health monitoring and mounted onto ants and bees to potentially develop biohybrid microsystems for ecological and geological data collection. Overall, our stack-punching approach offers a promising tool for the large-scale manufacture of high-performance microbatteries, facilitating their translation into next-generation electronic devices and systems.</w:t>
      </w:r>
    </w:p>
    <w:p>
      <w:pPr>
        <w:spacing w:before="120" w:after="120"/>
      </w:pPr>
      <w:r>
        <w:rPr>
          <w:sz w:val="18"/>
        </w:rPr>
        <w:t>——————————————————————————————————————————————————————————————————————</w:t>
      </w:r>
    </w:p>
    <w:p>
      <w:pPr>
        <w:spacing w:before="160" w:after="40" w:line="240" w:lineRule="auto"/>
      </w:pPr>
      <w:r>
        <w:rPr>
          <w:b/>
        </w:rPr>
        <w:t xml:space="preserve">[2] </w:t>
      </w:r>
      <w:hyperlink r:id="rId38">
        <w:r>
          <w:rPr>
            <w:color w:val="1155CC"/>
            <w:u w:val="single"/>
          </w:rPr>
          <w:t>利用高压二氧化碳进行硫化物基全固态锂金属电池的分子尺度界面工程</w:t>
        </w:r>
      </w:hyperlink>
    </w:p>
    <w:p>
      <w:pPr>
        <w:spacing w:before="0" w:after="80"/>
      </w:pPr>
      <w:r>
        <w:rPr>
          <w:i/>
          <w:sz w:val="20"/>
        </w:rPr>
        <w:t>EN: Harnessing High‐Pressure CO2 for Molecular‐Scale Interfacial Engineering in Sulfide‐Based All‑Solid‑State Lithium Metal Batteries</w:t>
      </w:r>
    </w:p>
    <w:p>
      <w:pPr>
        <w:spacing w:before="0" w:after="120"/>
      </w:pPr>
      <w:r>
        <w:rPr>
          <w:b/>
        </w:rPr>
        <w:t xml:space="preserve">Source: </w:t>
      </w:r>
      <w:r>
        <w:t>Wiley: Advanced Materials: Table of Contents</w:t>
      </w:r>
      <w:r>
        <w:t xml:space="preserve">    </w:t>
      </w:r>
      <w:r>
        <w:rPr>
          <w:b/>
        </w:rPr>
        <w:t xml:space="preserve">Pub date: </w:t>
      </w:r>
      <w:r>
        <w:t>2026-05-30 04:35:35+00:00</w:t>
      </w:r>
      <w:r>
        <w:t xml:space="preserve">    </w:t>
      </w:r>
      <w:r>
        <w:rPr>
          <w:b/>
        </w:rPr>
        <w:t xml:space="preserve">DOI: </w:t>
      </w:r>
      <w:hyperlink r:id="rId39">
        <w:r>
          <w:rPr>
            <w:color w:val="1155CC"/>
            <w:u w:val="single"/>
          </w:rPr>
          <w:t>10.1002/adma.73554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空经济的快速扩张加剧了对具有卓越倍率能力的储能的需求。硫化物电解质具有高室温离子电导率和可加工性，对于下一代全固态电池（ASSB）至关重要，但其界面不稳定性和由此产生的低临界电流密度严重阻碍了高倍率性能。在这里，我们提出了一种使用高压 CO 的分子水平界面构建策略</w:t>
      </w:r>
      <w:r>
        <w:rPr>
          <w:vertAlign w:val="subscript"/>
        </w:rPr>
        <w:t>2</w:t>
      </w:r>
      <w:r>
        <w:t>现场设计Li</w:t>
      </w:r>
      <w:r>
        <w:rPr>
          <w:vertAlign w:val="subscript"/>
        </w:rPr>
        <w:t>6</w:t>
      </w:r>
      <w:r>
        <w:t>聚苯乙烯</w:t>
      </w:r>
      <w:r>
        <w:rPr>
          <w:vertAlign w:val="subscript"/>
        </w:rPr>
        <w:t>5</w:t>
      </w:r>
      <w:r>
        <w:t>Cl (LPSC) 表面。通过浓 CO 的精确调节</w:t>
      </w:r>
      <w:r>
        <w:rPr>
          <w:vertAlign w:val="subscript"/>
        </w:rPr>
        <w:t>2</w:t>
      </w:r>
      <w:r>
        <w:t>分子，纳米级的锂</w:t>
      </w:r>
      <w:r>
        <w:rPr>
          <w:vertAlign w:val="subscript"/>
        </w:rPr>
        <w:t>2</w:t>
      </w:r>
      <w:r>
        <w:t>一氧化碳</w:t>
      </w:r>
      <w:r>
        <w:rPr>
          <w:vertAlign w:val="subscript"/>
        </w:rPr>
        <w:t>3</w:t>
      </w:r>
      <w:r>
        <w:t>‐构建了具有高杨氏模量和优异抗氧化性的富层。这种设计的界面有效地抑制了寄生反应，增强了机械完整性，并使锂离子通量均匀化。因此，改进的 LPSC 表现出出色的枝晶抑制能力，实现了 7.76 mA cm 的临界电流密度</w:t>
      </w:r>
      <w:r>
        <w:t xml:space="preserve"> </w:t>
      </w:r>
      <w:r>
        <w:t>−2</w:t>
      </w:r>
      <w:r>
        <w:t xml:space="preserve"> </w:t>
      </w:r>
      <w:r>
        <w:t>，并可在 5 mA cm 下实现 920 小时内稳定的锂沉积和剥离</w:t>
      </w:r>
      <w:r>
        <w:t xml:space="preserve"> </w:t>
      </w:r>
      <w:r>
        <w:t>−2</w:t>
      </w:r>
      <w:r>
        <w:t xml:space="preserve"> </w:t>
      </w:r>
      <w:r>
        <w:t>在对称细胞中。此外，全电池与高压 LiNi 配对</w:t>
      </w:r>
      <w:r>
        <w:t xml:space="preserve"> </w:t>
      </w:r>
      <w:r>
        <w:t>0.8</w:t>
      </w:r>
      <w:r>
        <w:t xml:space="preserve"> </w:t>
      </w:r>
      <w:r>
        <w:t>钴</w:t>
      </w:r>
      <w:r>
        <w:t xml:space="preserve"> </w:t>
      </w:r>
      <w:r>
        <w:t>0.1</w:t>
      </w:r>
      <w:r>
        <w:t xml:space="preserve"> </w:t>
      </w:r>
      <w:r>
        <w:t>锰</w:t>
      </w:r>
    </w:p>
    <w:p>
      <w:pPr>
        <w:spacing w:before="0" w:after="200" w:lineRule="auto" w:line="276"/>
      </w:pPr>
      <w:r>
        <w:rPr>
          <w:b/>
        </w:rPr>
        <w:t xml:space="preserve">Abstract (EN): </w:t>
      </w:r>
      <w:r>
        <w:t>The rapid expansion of the low‐altitude economy has intensified the demand for energy storage with exceptional rate capability. Sulfide electrolytes, with high room‐temperature ionic conductivity and processability, are pivotal for next‐generation all‐solid‐state batteries (ASSBs), but their interfacial instability and the resulting low critical current density severely hinder high‐rate performance. Here, we propose a molecular‐level interfacial construction strategy using high‐pressure CO</w:t>
      </w:r>
      <w:r>
        <w:rPr>
          <w:vertAlign w:val="subscript"/>
        </w:rPr>
        <w:t>2</w:t>
      </w:r>
      <w:r>
        <w:t>to in situ engineer the Li</w:t>
      </w:r>
      <w:r>
        <w:rPr>
          <w:vertAlign w:val="subscript"/>
        </w:rPr>
        <w:t>6</w:t>
      </w:r>
      <w:r>
        <w:t>PS</w:t>
      </w:r>
      <w:r>
        <w:rPr>
          <w:vertAlign w:val="subscript"/>
        </w:rPr>
        <w:t>5</w:t>
      </w:r>
      <w:r>
        <w:t>Cl (LPSC) surface. Through precise regulation with concentrated CO</w:t>
      </w:r>
      <w:r>
        <w:rPr>
          <w:vertAlign w:val="subscript"/>
        </w:rPr>
        <w:t>2</w:t>
      </w:r>
      <w:r>
        <w:t>molecules, a nanoscale Li</w:t>
      </w:r>
      <w:r>
        <w:rPr>
          <w:vertAlign w:val="subscript"/>
        </w:rPr>
        <w:t>2</w:t>
      </w:r>
      <w:r>
        <w:t>CO</w:t>
      </w:r>
      <w:r>
        <w:rPr>
          <w:vertAlign w:val="subscript"/>
        </w:rPr>
        <w:t>3</w:t>
      </w:r>
      <w:r>
        <w:t>‐rich layer with high Young's modulus and superior oxidant‑resistance is constructed. This designed interphase effectively suppresses parasitic reactions, enhances mechanical integrity, and homogenizes Li‐ion flux. Consequently, the modified LPSC exhibits exceptional dendrite‐suppression capability, achieving a critical current density of 7.76 mA cm</w:t>
      </w:r>
      <w:r>
        <w:t xml:space="preserve"> </w:t>
      </w:r>
      <w:r>
        <w:t>−2</w:t>
      </w:r>
      <w:r>
        <w:t xml:space="preserve"> </w:t>
      </w:r>
      <w:r>
        <w:t>, and enables stable Li plating and stripping over 920 h at 5 mA cm</w:t>
      </w:r>
      <w:r>
        <w:t xml:space="preserve"> </w:t>
      </w:r>
      <w:r>
        <w:t>−2</w:t>
      </w:r>
      <w:r>
        <w:t xml:space="preserve"> </w:t>
      </w:r>
      <w:r>
        <w:t>in symmetric cells. Furthermore, full cells paired with a high‐voltage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cathode demonstrated outstanding rate capability at 5C with a power density of 3160 W kg</w:t>
      </w:r>
      <w:r>
        <w:t xml:space="preserve"> </w:t>
      </w:r>
      <w:r>
        <w:t>−1</w:t>
      </w:r>
      <w:r>
        <w:t xml:space="preserve"> </w:t>
      </w:r>
      <w:r>
        <w:t>and maintained stable cycling over 500 cycles at 0.5C. This work proposes a simple and effective molecular‐scale interface engineering method to overcome the power limitation problem of sulfide‐based ASSBs.</w:t>
      </w:r>
    </w:p>
    <w:p>
      <w:pPr>
        <w:spacing w:before="120" w:after="120"/>
      </w:pPr>
      <w:r>
        <w:rPr>
          <w:sz w:val="18"/>
        </w:rPr>
        <w:t>——————————————————————————————————————————————————————————————————————</w:t>
      </w:r>
    </w:p>
    <w:p>
      <w:pPr>
        <w:spacing w:before="160" w:after="40" w:line="240" w:lineRule="auto"/>
      </w:pPr>
      <w:r>
        <w:rPr>
          <w:b/>
        </w:rPr>
        <w:t xml:space="preserve">[3] </w:t>
      </w:r>
      <w:hyperlink r:id="rId91">
        <w:r>
          <w:rPr>
            <w:color w:val="1155CC"/>
            <w:u w:val="single"/>
          </w:rPr>
          <w:t>对锂金属电池弱溶剂电解质高通量设计的数据驱动见解</w:t>
        </w:r>
      </w:hyperlink>
    </w:p>
    <w:p>
      <w:pPr>
        <w:spacing w:before="0" w:after="80"/>
      </w:pPr>
      <w:r>
        <w:rPr>
          <w:i/>
          <w:sz w:val="20"/>
        </w:rPr>
        <w:t>EN: Data‐Driven Insights into the High‐Throughput Design of Weakly Solvating Electrolytes for Lithium Metal Batteries</w:t>
      </w:r>
    </w:p>
    <w:p>
      <w:pPr>
        <w:spacing w:before="0" w:after="120"/>
      </w:pPr>
      <w:r>
        <w:rPr>
          <w:b/>
        </w:rPr>
        <w:t xml:space="preserve">Source: </w:t>
      </w:r>
      <w:r>
        <w:t>Wiley: Advanced Materials: Table of Contents</w:t>
      </w:r>
      <w:r>
        <w:t xml:space="preserve">    </w:t>
      </w:r>
      <w:r>
        <w:rPr>
          <w:b/>
        </w:rPr>
        <w:t xml:space="preserve">Pub date: </w:t>
      </w:r>
      <w:r>
        <w:t>2026-05-30 04:43:38+00:00</w:t>
      </w:r>
      <w:r>
        <w:t xml:space="preserve">    </w:t>
      </w:r>
      <w:r>
        <w:rPr>
          <w:b/>
        </w:rPr>
        <w:t xml:space="preserve">DOI: </w:t>
      </w:r>
      <w:hyperlink r:id="rId92">
        <w:r>
          <w:rPr>
            <w:color w:val="1155CC"/>
            <w:u w:val="single"/>
          </w:rPr>
          <w:t>10.1002/adma.73537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弱溶剂化电解质（WSE）已成为稳定锂（Li）金属负极的有效策略。然而，它们的分子设计在很大程度上仍然是经验性的，并且仍然缺乏一套适用于化学家族的统一的设计标准。在此，我们建立了一个定量设计框架，将 236 875 个有机分子的结构基序和关键理化性质编码为六个可转移的描述符来控制 Li</w:t>
      </w:r>
      <w:r>
        <w:t xml:space="preserve"> </w:t>
      </w:r>
      <w:r>
        <w:t>+</w:t>
      </w:r>
      <w:r>
        <w:t xml:space="preserve"> </w:t>
      </w:r>
      <w:r>
        <w:t>溶剂化。通过分层和化学信息筛选工作流程，这个巨大的化学空间被转化为易于处理的弱溶剂化景观，从中鉴定出 643 个氧化还原稳健的候选物。聚类和支架分析揭示了该景观中的化学相干区域，并进一步揭示了可转移的分子设计手柄，最值得注意的是</w:t>
      </w:r>
      <w:r>
        <w:t xml:space="preserve"> </w:t>
      </w:r>
      <w:r>
        <w:t>α</w:t>
      </w:r>
      <w:r>
        <w:t xml:space="preserve"> </w:t>
      </w:r>
      <w:r>
        <w:t>支化和分布式氟化，两者都表现出火山型关系，可以对溶剂化强度进行可预测的调节。进一步开发了交互式可视化平台，使该景观易于导航，从而实现相似性引导的发现和结构解析的询问。通过将弱溶剂化从经验定性标签转变为定量可编程设计坐标，这项工作为锂金属电池电解质的开发以及更广泛的数据驱动的先进电解质摩尔发现提供了开放且可推广的基础</w:t>
      </w:r>
    </w:p>
    <w:p>
      <w:pPr>
        <w:spacing w:before="0" w:after="200" w:lineRule="auto" w:line="276"/>
      </w:pPr>
      <w:r>
        <w:rPr>
          <w:b/>
        </w:rPr>
        <w:t xml:space="preserve">Abstract (EN): </w:t>
      </w:r>
      <w:r>
        <w:t>Weakly solvating electrolytes (WSEs) have emerged as an effective strategy for stabilizing lithium (Li) metal anodes. However, their molecular design remains largely empirical, and a unified set of design criteria applicable across chemical families is still lacking. Herein, we establish a quantitative design framework that encodes structural motifs and key physicochemical properties of 236 875 organic molecules into six transferable descriptors governing Li</w:t>
      </w:r>
      <w:r>
        <w:t xml:space="preserve"> </w:t>
      </w:r>
      <w:r>
        <w:t>+</w:t>
      </w:r>
      <w:r>
        <w:t xml:space="preserve"> </w:t>
      </w:r>
      <w:r>
        <w:t>solvation. Through a hierarchical and chemistry‐informed screening workflow, this vast chemical space is converted into a tractable weak solvation landscape, from which 643 redox‐robust candidates are identified. Clustering and scaffold analysis reveal chemically coherent regions within this landscape and further uncover transferable molecular design handles, most notably</w:t>
      </w:r>
      <w:r>
        <w:t xml:space="preserve"> </w:t>
      </w:r>
      <w:r>
        <w:t>α</w:t>
      </w:r>
      <w:r>
        <w:t xml:space="preserve"> </w:t>
      </w:r>
      <w:r>
        <w:t>‐branching and distributed fluorination, both of which exhibit volcano‐type relationships that enable predictable tuning of solvation strength. An interactive visualization platform is further developed to render this landscape readily navigable, thereby enabling similarity‐guided discovery and structure‐resolved interrogation. By transforming weak solvation from an empirical qualitative label into a quantitatively programmable design coordinate, this work provides an open and generalizable foundation for electrolyte development in Li metal batteries and, more broadly, for data‐driven discovery of advanced electrolyte molecules.</w:t>
      </w:r>
    </w:p>
    <w:p>
      <w:pPr>
        <w:spacing w:before="120" w:after="120"/>
      </w:pPr>
      <w:r>
        <w:rPr>
          <w:sz w:val="18"/>
        </w:rPr>
        <w:t>——————————————————————————————————————————————————————————————————————</w:t>
      </w:r>
    </w:p>
    <w:p>
      <w:pPr>
        <w:spacing w:before="160" w:after="40" w:line="240" w:lineRule="auto"/>
      </w:pPr>
      <w:r>
        <w:rPr>
          <w:b/>
        </w:rPr>
        <w:t xml:space="preserve">[4] </w:t>
      </w:r>
      <w:hyperlink r:id="rId93">
        <w:r>
          <w:rPr>
            <w:color w:val="1155CC"/>
            <w:u w:val="single"/>
          </w:rPr>
          <w:t>基于多孔树脂的结构电池的电化学和机械协同增强</w:t>
        </w:r>
      </w:hyperlink>
    </w:p>
    <w:p>
      <w:pPr>
        <w:spacing w:before="0" w:after="80"/>
      </w:pPr>
      <w:r>
        <w:rPr>
          <w:i/>
          <w:sz w:val="20"/>
        </w:rPr>
        <w:t>EN: Synergistic Electrochemical and Mechanical Enhancement in Structural Batteries based on a Porous Resin</w:t>
      </w:r>
    </w:p>
    <w:p>
      <w:pPr>
        <w:spacing w:before="0" w:after="120"/>
      </w:pPr>
      <w:r>
        <w:rPr>
          <w:b/>
        </w:rPr>
        <w:t xml:space="preserve">Source: </w:t>
      </w:r>
      <w:r>
        <w:t>Wiley: Advanced Energy Materials: Table of Contents</w:t>
      </w:r>
      <w:r>
        <w:t xml:space="preserve">    </w:t>
      </w:r>
      <w:r>
        <w:rPr>
          <w:b/>
        </w:rPr>
        <w:t xml:space="preserve">Pub date: </w:t>
      </w:r>
      <w:r>
        <w:t>2026-05-30 07:37:41+00:00</w:t>
      </w:r>
      <w:r>
        <w:t xml:space="preserve">    </w:t>
      </w:r>
      <w:r>
        <w:rPr>
          <w:b/>
        </w:rPr>
        <w:t xml:space="preserve">DOI: </w:t>
      </w:r>
      <w:hyperlink r:id="rId94">
        <w:r>
          <w:rPr>
            <w:color w:val="1155CC"/>
            <w:u w:val="single"/>
          </w:rPr>
          <w:t>10.1002/aenm.71140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构电池（SB）在移动智能设备中显示出广阔的潜力，因为它们可以同时承受机械负载和存储能量，但受到界面阻抗高、离子电导率低和循环稳定性差的限制。在此，我们开发了一种具有高离子传输效率的刚性结构电池电解质（SBE），其中多孔树脂骨架吸收液体电解质，通过真空辅助树脂传递模塑法制造SB。这种设计使得互连的多孔树脂通道均匀分布在整个电极和隔膜中，促进高效的锂离子传输，同时保持高结构刚性和稳定的固体电解质界面（SEI），这一点已通过微观和电化学分析验证。因此，所制造的 SB 实现了 46.6 Wh kg 的出色能量密度</w:t>
      </w:r>
      <w:r>
        <w:t xml:space="preserve"> </w:t>
      </w:r>
      <w:r>
        <w:t>−1</w:t>
      </w:r>
      <w:r>
        <w:t xml:space="preserve"> </w:t>
      </w:r>
      <w:r>
        <w:t>在 0.1 C 下，在 0.2 C 下循环 100 次后仍保留 86% 的容量，同时表现出分别为 214 MPa 和 24 GPa 的拉伸强度和模量。值得注意的是，通过优化电极质量负载和碳纤维集电器，机械性能可以进一步提高到 270 和 357 MPa。这项工作提供了一种有前途的策略，可以同时增强SB的电化学机械性能，同时展示实际的可扩展性和设计灵活性。</w:t>
      </w:r>
    </w:p>
    <w:p>
      <w:pPr>
        <w:spacing w:before="0" w:after="200" w:lineRule="auto" w:line="276"/>
      </w:pPr>
      <w:r>
        <w:rPr>
          <w:b/>
        </w:rPr>
        <w:t xml:space="preserve">Abstract (EN): </w:t>
      </w:r>
      <w:r>
        <w:t>Structural batteries (SBs) show promising potential for mobile intelligent equipment, as they can simultaneously bear mechanical loads and store energy, but are limited by high interfacial impedance, low ionic conductivity, and poor cycling stability. Herein, we develop a rigid structural battery electrolyte (SBE) with high ion‐transport efficiency, in which a porous resin skeleton absorbs liquid electrolyte, to fabricate SBs via vacuum‐assisted resin transfer molding. This design enables the uniform distribution of interconnected porous resin channels throughout the electrodes and separator, facilitating efficient lithium‐ion transport while maintaining high structural rigidity and a stable solid electrolyte interphase (SEI), as verified by microscopic and electrochemical analyses. Consequently, the fabricated SB achieves an outstanding energy density of 46.6 Wh kg</w:t>
      </w:r>
      <w:r>
        <w:t xml:space="preserve"> </w:t>
      </w:r>
      <w:r>
        <w:t>−1</w:t>
      </w:r>
      <w:r>
        <w:t xml:space="preserve"> </w:t>
      </w:r>
      <w:r>
        <w:t>at 0.1 C and retains 86% capacity after 100 cycles at 0.2 C, while exhibiting a tensile strength and modulus of 214 MPa and 24 GPa, respectively. Notably, by optimizing the electrode mass loading and carbon fiber current collector, the mechanical properties can be further enhanced to 270 and 357 MPa. This work provides a promising strategy to simultaneously enhance the electrochemical‐mechanical properties of SBs while showing the practical scalability and design flexibility.</w:t>
      </w:r>
    </w:p>
    <w:p>
      <w:pPr>
        <w:spacing w:before="120" w:after="120"/>
      </w:pPr>
      <w:r>
        <w:rPr>
          <w:sz w:val="18"/>
        </w:rPr>
        <w:t>——————————————————————————————————————————————————————————————————————</w:t>
      </w:r>
    </w:p>
    <w:p>
      <w:pPr>
        <w:spacing w:before="160" w:after="40" w:line="240" w:lineRule="auto"/>
      </w:pPr>
      <w:r>
        <w:rPr>
          <w:b/>
        </w:rPr>
        <w:t xml:space="preserve">[5] </w:t>
      </w:r>
      <w:hyperlink r:id="rId77">
        <w:r>
          <w:rPr>
            <w:color w:val="1155CC"/>
            <w:u w:val="single"/>
          </w:rPr>
          <w:t>仿生两性离子水凝胶电解质可实现高度可逆的锌阳极</w:t>
        </w:r>
      </w:hyperlink>
    </w:p>
    <w:p>
      <w:pPr>
        <w:spacing w:before="0" w:after="80"/>
      </w:pPr>
      <w:r>
        <w:rPr>
          <w:i/>
          <w:sz w:val="20"/>
        </w:rPr>
        <w:t>EN: Biomimetic Zwitterionic Hydrogel Electrolyte Enables Highly Reversible Zn Anodes</w:t>
      </w:r>
    </w:p>
    <w:p>
      <w:pPr>
        <w:spacing w:before="0" w:after="120"/>
      </w:pPr>
      <w:r>
        <w:rPr>
          <w:b/>
        </w:rPr>
        <w:t xml:space="preserve">Source: </w:t>
      </w:r>
      <w:r>
        <w:t>Wiley: Advanced Energy Materials: Table of Contents</w:t>
      </w:r>
      <w:r>
        <w:t xml:space="preserve">    </w:t>
      </w:r>
      <w:r>
        <w:rPr>
          <w:b/>
        </w:rPr>
        <w:t xml:space="preserve">Pub date: </w:t>
      </w:r>
      <w:r>
        <w:t>2026-05-31 14:00:27+00:00</w:t>
      </w:r>
      <w:r>
        <w:t xml:space="preserve">    </w:t>
      </w:r>
      <w:r>
        <w:rPr>
          <w:b/>
        </w:rPr>
        <w:t xml:space="preserve">DOI: </w:t>
      </w:r>
      <w:hyperlink r:id="rId78">
        <w:r>
          <w:rPr>
            <w:color w:val="1155CC"/>
            <w:u w:val="single"/>
          </w:rPr>
          <w:t>10.1002/aenm.71152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锌基电池是可持续大规模储能的有希望的候选者。然而，它们的实际应用受到枝晶锌生长、寄生副反应和缓慢的界面锌的阻碍</w:t>
      </w:r>
      <w:r>
        <w:t xml:space="preserve"> </w:t>
      </w:r>
      <w:r>
        <w:t>2+</w:t>
      </w:r>
      <w:r>
        <w:t xml:space="preserve"> </w:t>
      </w:r>
      <w:r>
        <w:t>运输。受磷脂膜的启发，我们引入了一种仿生两性离子水凝胶电解质（PAMC），将2-甲基丙烯酰氧基乙基磷酰胆碱、聚丙烯酰胺和微量丙烯酸集成到一个机械坚固的网络中，该网络具有强电极粘附力和分层锌</w:t>
      </w:r>
      <w:r>
        <w:t xml:space="preserve"> </w:t>
      </w:r>
      <w:r>
        <w:t>2+</w:t>
      </w:r>
      <w:r>
        <w:t xml:space="preserve"> </w:t>
      </w:r>
      <w:r>
        <w:t>途径。两性离子部分调节初级 Zn</w:t>
      </w:r>
      <w:r>
        <w:t xml:space="preserve"> </w:t>
      </w:r>
      <w:r>
        <w:t>2+</w:t>
      </w:r>
      <w:r>
        <w:t xml:space="preserve"> </w:t>
      </w:r>
      <w:r>
        <w:t>通过部分取代水配体形成溶剂化结构，从而降低去溶剂化能垒并使 Zn 均质化</w:t>
      </w:r>
      <w:r>
        <w:t xml:space="preserve"> </w:t>
      </w:r>
      <w:r>
        <w:t>2+</w:t>
      </w:r>
      <w:r>
        <w:t xml:space="preserve"> </w:t>
      </w:r>
      <w:r>
        <w:t>电极界面处的通量。因此，PAMC 具有 44.94 mS cm 的高离子电导率</w:t>
      </w:r>
      <w:r>
        <w:t xml:space="preserve"> </w:t>
      </w:r>
      <w:r>
        <w:t>−1</w:t>
      </w:r>
      <w:r>
        <w:t xml:space="preserve"> </w:t>
      </w:r>
      <w:r>
        <w:t>和创纪录的锌</w:t>
      </w:r>
      <w:r>
        <w:t xml:space="preserve"> </w:t>
      </w:r>
      <w:r>
        <w:t>2+</w:t>
      </w:r>
      <w:r>
        <w:t xml:space="preserve"> </w:t>
      </w:r>
      <w:r>
        <w:t>迁移数为0.75，实现无枝晶锌沉积并抑制析氢。对称 Zn||Zn 电池表现出超过 2200 小时的稳定循环，而 Zn||Cu 电池则保持高度可逆的镀锌/剥离超过 2000 小时。此外，带有活性炭、NaV 的全电池</w:t>
      </w:r>
      <w:r>
        <w:rPr>
          <w:vertAlign w:val="subscript"/>
        </w:rPr>
        <w:t>3</w:t>
      </w:r>
      <w:r>
        <w:t>氧</w:t>
      </w:r>
      <w:r>
        <w:rPr>
          <w:vertAlign w:val="subscript"/>
        </w:rPr>
        <w:t>8</w:t>
      </w:r>
      <w:r>
        <w:t>和我</w:t>
      </w:r>
      <w:r>
        <w:rPr>
          <w:vertAlign w:val="subscript"/>
        </w:rPr>
        <w:t>2</w:t>
      </w:r>
      <w:r>
        <w:t>阴极表现出出色的循环性能</w:t>
      </w:r>
    </w:p>
    <w:p>
      <w:pPr>
        <w:spacing w:before="0" w:after="200" w:lineRule="auto" w:line="276"/>
      </w:pPr>
      <w:r>
        <w:rPr>
          <w:b/>
        </w:rPr>
        <w:t xml:space="preserve">Abstract (EN): </w:t>
      </w:r>
      <w:r>
        <w:t>Zn‐based batteries are promising candidates for sustainable, large‐scale energy storage. However, their practical deployment is hindered by dendritic Zn growth, parasitic side reactions and sluggish interfacial Zn</w:t>
      </w:r>
      <w:r>
        <w:t xml:space="preserve"> </w:t>
      </w:r>
      <w:r>
        <w:t>2+</w:t>
      </w:r>
      <w:r>
        <w:t xml:space="preserve"> </w:t>
      </w:r>
      <w:r>
        <w:t>transport. Inspired by phospholipid membranes, we introduce a biomimetic zwitterionic hydrogel electrolyte (PAMC) to integrate 2‐methacryloyloxyethyl phosphorylcholine, polyacrylamide and trace acrylic acid into a mechanically robust network featuring strong electrode adhesion and hierarchical Zn</w:t>
      </w:r>
      <w:r>
        <w:t xml:space="preserve"> </w:t>
      </w:r>
      <w:r>
        <w:t>2+</w:t>
      </w:r>
      <w:r>
        <w:t xml:space="preserve"> </w:t>
      </w:r>
      <w:r>
        <w:t>pathways. The zwitterionic moieties regulate the primary Zn</w:t>
      </w:r>
      <w:r>
        <w:t xml:space="preserve"> </w:t>
      </w:r>
      <w:r>
        <w:t>2+</w:t>
      </w:r>
      <w:r>
        <w:t xml:space="preserve"> </w:t>
      </w:r>
      <w:r>
        <w:t>solvation structure by partially replacing water ligands, thereby reducing the desolvation energy barriers and homogenize Zn</w:t>
      </w:r>
      <w:r>
        <w:t xml:space="preserve"> </w:t>
      </w:r>
      <w:r>
        <w:t>2+</w:t>
      </w:r>
      <w:r>
        <w:t xml:space="preserve"> </w:t>
      </w:r>
      <w:r>
        <w:t>flux at the electrode interface. Consequently, PAMC delivers a high ionic conductivity of 44.94 mS cm</w:t>
      </w:r>
      <w:r>
        <w:t xml:space="preserve"> </w:t>
      </w:r>
      <w:r>
        <w:t>−1</w:t>
      </w:r>
      <w:r>
        <w:t xml:space="preserve"> </w:t>
      </w:r>
      <w:r>
        <w:t>and a record Zn</w:t>
      </w:r>
      <w:r>
        <w:t xml:space="preserve"> </w:t>
      </w:r>
      <w:r>
        <w:t>2+</w:t>
      </w:r>
      <w:r>
        <w:t xml:space="preserve"> </w:t>
      </w:r>
      <w:r>
        <w:t>transference number of 0.75, enabling dendrite‐free Zn deposition and suppressed hydrogen evolution. Symmetric Zn||Zn cells exhibit stable cycling for over 2200 h, while Zn||Cu cells maintain highly reversible Zn plating/stripping for more than 2000 h. Furthermore, full cells with activated carbon, NaV</w:t>
      </w:r>
      <w:r>
        <w:rPr>
          <w:vertAlign w:val="subscript"/>
        </w:rPr>
        <w:t>3</w:t>
      </w:r>
      <w:r>
        <w:t>O</w:t>
      </w:r>
      <w:r>
        <w:rPr>
          <w:vertAlign w:val="subscript"/>
        </w:rPr>
        <w:t>8</w:t>
      </w:r>
      <w:r>
        <w:t>and I</w:t>
      </w:r>
      <w:r>
        <w:rPr>
          <w:vertAlign w:val="subscript"/>
        </w:rPr>
        <w:t>2</w:t>
      </w:r>
      <w:r>
        <w:t>cathodes demonstrate outstanding cycling stability and rate capability. When integrated with a perovskite solar cell, the Zn||I</w:t>
      </w:r>
      <w:r>
        <w:rPr>
          <w:vertAlign w:val="subscript"/>
        </w:rPr>
        <w:t>2</w:t>
      </w:r>
      <w:r>
        <w:t>battery achieves an overall conversion efficiency of 13.3%, representing the highest reported to date for this category. This biomimetic electrolyte design establishes a universal platform for highly reversible Zn anodes and sustainable energy‐storage systems.</w:t>
      </w:r>
    </w:p>
    <w:p>
      <w:pPr>
        <w:spacing w:before="120" w:after="120"/>
      </w:pPr>
      <w:r>
        <w:rPr>
          <w:sz w:val="18"/>
        </w:rPr>
        <w:t>——————————————————————————————————————————————————————————————————————</w:t>
      </w:r>
    </w:p>
    <w:p>
      <w:pPr>
        <w:spacing w:before="160" w:after="40" w:line="240" w:lineRule="auto"/>
      </w:pPr>
      <w:r>
        <w:rPr>
          <w:b/>
        </w:rPr>
        <w:t xml:space="preserve">[6] </w:t>
      </w:r>
      <w:hyperlink r:id="rId42">
        <w:r>
          <w:rPr>
            <w:color w:val="1155CC"/>
            <w:u w:val="single"/>
          </w:rPr>
          <w:t>通过阴离子添加剂弱相互作用调节高压锂金属电池的溶剂化结构和双电层</w:t>
        </w:r>
      </w:hyperlink>
    </w:p>
    <w:p>
      <w:pPr>
        <w:spacing w:before="0" w:after="80"/>
      </w:pPr>
      <w:r>
        <w:rPr>
          <w:i/>
          <w:sz w:val="20"/>
        </w:rPr>
        <w:t>EN: Modulating Solvation Structure and Electrical Double Layer via Anion‐Additive Weak Interactions for High‐Voltage Lithium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2026-05-31 16:17:08+00:00</w:t>
      </w:r>
      <w:r>
        <w:t xml:space="preserve">    </w:t>
      </w:r>
      <w:r>
        <w:rPr>
          <w:b/>
        </w:rPr>
        <w:t xml:space="preserve">DOI: </w:t>
      </w:r>
      <w:hyperlink r:id="rId43">
        <w:r>
          <w:rPr>
            <w:color w:val="1155CC"/>
            <w:u w:val="single"/>
          </w:rPr>
          <w:t>10.1002/anie.1383770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高压锂金属电池因其卓越的能量密度而受到关注。然而，电极-电解质界面（EEI）的不稳定性阻碍了它们的实际部署。在这里，我们报告了一种通过 DFOB 之间的弱相互作用协同调节溶剂化结构和双电层（EDL）来构建机械坚固且灵活的 EEI 的策略</w:t>
      </w:r>
      <w:r>
        <w:t xml:space="preserve"> </w:t>
      </w:r>
      <w:r>
        <w:t>-</w:t>
      </w:r>
      <w:r>
        <w:t>以及弱溶剂化电解质中的 2-噻吩甲腈 (2-TC) 添加剂。具体来说，强溶剂化 2-TC 和 DFOB 之间的离子偶极相互作用</w:t>
      </w:r>
      <w:r>
        <w:t xml:space="preserve"> </w:t>
      </w:r>
      <w:r>
        <w:t>-</w:t>
      </w:r>
      <w:r>
        <w:t>促进 DFOB</w:t>
      </w:r>
      <w:r>
        <w:t xml:space="preserve"> </w:t>
      </w:r>
      <w:r>
        <w:t>-</w:t>
      </w:r>
      <w:r>
        <w:t>‐丰富的接触离子对和聚集结构。同时，2-TC/DFOB的优先共吸附</w:t>
      </w:r>
      <w:r>
        <w:t xml:space="preserve"> </w:t>
      </w:r>
      <w:r>
        <w:t>-</w:t>
      </w:r>
      <w:r>
        <w:t>阴极表面与分子间弱相互作用协同作用，将 EDL 重新配置为 DFOB</w:t>
      </w:r>
      <w:r>
        <w:t xml:space="preserve"> </w:t>
      </w:r>
      <w:r>
        <w:t>-</w:t>
      </w:r>
      <w:r>
        <w:t>‐富集和缺乏溶剂的结构。溶剂化鞘和界面 EDL 的协同调节促进了 LiF/LiB 的形成</w:t>
      </w:r>
      <w:r>
        <w:t xml:space="preserve"> </w:t>
      </w:r>
      <w:r>
        <w:t>x</w:t>
      </w:r>
      <w:r>
        <w:t xml:space="preserve"> </w:t>
      </w:r>
      <w:r>
        <w:t>氧</w:t>
      </w:r>
      <w:r>
        <w:t xml:space="preserve"> </w:t>
      </w:r>
      <w:r>
        <w:t>y</w:t>
      </w:r>
      <w:r>
        <w:t xml:space="preserve"> </w:t>
      </w:r>
      <w:r>
        <w:t>‐丰富的EEI。此外，电场诱导的 2-TC 原位聚合产生了柔性的聚噻吩网络，赋予 EEI 优异的体积应变耐受性。这种电解液使 Li||NCM811 电池能够在较宽的温度范围（-20°C 至 6</w:t>
      </w:r>
    </w:p>
    <w:p>
      <w:pPr>
        <w:spacing w:before="0" w:after="200" w:lineRule="auto" w:line="276"/>
      </w:pPr>
      <w:r>
        <w:rPr>
          <w:b/>
        </w:rPr>
        <w:t xml:space="preserve">Abstract (EN): </w:t>
      </w:r>
      <w:r>
        <w:t>High‐voltage lithium metal batteries have attracted attention due to their exceptional energy density. However, their practical deployment is impeded by the instability of the electrode‐electrolyte interface (EEI). Here, we report a strategy to construct a mechanically robust yet flexible EEI by synergistically regulating the solvation structure and electrical double layer (EDL) via weak interactions between DFOB</w:t>
      </w:r>
      <w:r>
        <w:t xml:space="preserve"> </w:t>
      </w:r>
      <w:r>
        <w:t>−</w:t>
      </w:r>
      <w:r>
        <w:t>and the 2‐thiophenecarbonitrile (2‐TC) additive in weakly solvating electrolytes. Specifically, the ion‐dipole interactions between strongly solvating 2‐TC and DFOB</w:t>
      </w:r>
      <w:r>
        <w:t xml:space="preserve"> </w:t>
      </w:r>
      <w:r>
        <w:t>−</w:t>
      </w:r>
      <w:r>
        <w:t>facilitate DFOB</w:t>
      </w:r>
      <w:r>
        <w:t xml:space="preserve"> </w:t>
      </w:r>
      <w:r>
        <w:t>−</w:t>
      </w:r>
      <w:r>
        <w:t>‐rich contact ion pairs and aggregate structures. Concurrently, preferential co‐adsorption of 2‐TC/DFOB</w:t>
      </w:r>
      <w:r>
        <w:t xml:space="preserve"> </w:t>
      </w:r>
      <w:r>
        <w:t>−</w:t>
      </w:r>
      <w:r>
        <w:t>at the cathode surface synergizes with intermolecular weak interactions to reconfigure the EDL into a DFOB</w:t>
      </w:r>
      <w:r>
        <w:t xml:space="preserve"> </w:t>
      </w:r>
      <w:r>
        <w:t>−</w:t>
      </w:r>
      <w:r>
        <w:t>‐enriched and solvent‐deficient architecture. This synergistic modulation of the solvation sheath and interfacial EDL facilitates the formation of LiF/LiB</w:t>
      </w:r>
      <w:r>
        <w:t xml:space="preserve"> </w:t>
      </w:r>
      <w:r>
        <w:t>x</w:t>
      </w:r>
      <w:r>
        <w:t xml:space="preserve"> </w:t>
      </w:r>
      <w:r>
        <w:t>O</w:t>
      </w:r>
      <w:r>
        <w:t xml:space="preserve"> </w:t>
      </w:r>
      <w:r>
        <w:t>y</w:t>
      </w:r>
      <w:r>
        <w:t xml:space="preserve"> </w:t>
      </w:r>
      <w:r>
        <w:t>‐rich EEI. Furthermore, electric field‐induced in situ polymerization of 2‐TC generates a flexible polythiophene network, endowing the EEI with exceptional volume strain tolerance. This electrolyte enables Li||NCM811 battery to deliver stable cycling over a wide temperature range (−20°C to 60°C) and at a high voltage of 4.7 V. Furthermore, practical 4.8 Ah Li||NCM90 and 4.4 Ah Li||LiCoO</w:t>
      </w:r>
      <w:r>
        <w:rPr>
          <w:vertAlign w:val="subscript"/>
        </w:rPr>
        <w:t>2</w:t>
      </w:r>
      <w:r>
        <w:t>pouch cells with this electrolyte achieve energy densities of 472 Wh kg</w:t>
      </w:r>
      <w:r>
        <w:t xml:space="preserve"> </w:t>
      </w:r>
      <w:r>
        <w:t>−1</w:t>
      </w:r>
      <w:r>
        <w:t xml:space="preserve"> </w:t>
      </w:r>
      <w:r>
        <w:t>and 429 Wh kg</w:t>
      </w:r>
      <w:r>
        <w:t xml:space="preserve"> </w:t>
      </w:r>
      <w:r>
        <w:t>−1</w:t>
      </w:r>
      <w:r>
        <w:t xml:space="preserve"> </w:t>
      </w:r>
      <w:r>
        <w:t>, respectively, while maintaining stable cycling performance.</w:t>
      </w:r>
    </w:p>
    <w:p>
      <w:pPr>
        <w:spacing w:before="120" w:after="120"/>
      </w:pPr>
      <w:r>
        <w:rPr>
          <w:sz w:val="18"/>
        </w:rPr>
        <w:t>——————————————————————————————————————————————————————————————————————</w:t>
      </w:r>
    </w:p>
    <w:p>
      <w:pPr>
        <w:spacing w:before="160" w:after="40" w:line="240" w:lineRule="auto"/>
      </w:pPr>
      <w:r>
        <w:rPr>
          <w:b/>
        </w:rPr>
        <w:t xml:space="preserve">[7] </w:t>
      </w:r>
      <w:hyperlink r:id="rId44">
        <w:r>
          <w:rPr>
            <w:color w:val="1155CC"/>
            <w:u w:val="single"/>
          </w:rPr>
          <w:t>用于高压氟化物离子电池的固-固锌阳极和卤间碘阴极</w:t>
        </w:r>
      </w:hyperlink>
    </w:p>
    <w:p>
      <w:pPr>
        <w:spacing w:before="0" w:after="80"/>
      </w:pPr>
      <w:r>
        <w:rPr>
          <w:i/>
          <w:sz w:val="20"/>
        </w:rPr>
        <w:t>EN: Solid‐to‐Solid Zn Anode and Interhalogen Iodine Cathodes for High‐Voltage Fluoride‐Ion Batteries</w:t>
      </w:r>
    </w:p>
    <w:p>
      <w:pPr>
        <w:spacing w:before="0" w:after="120"/>
      </w:pPr>
      <w:r>
        <w:rPr>
          <w:b/>
        </w:rPr>
        <w:t xml:space="preserve">Source: </w:t>
      </w:r>
      <w:r>
        <w:t>Wiley: Angewandte Chemie International Edition: Table of Contents</w:t>
      </w:r>
      <w:r>
        <w:t xml:space="preserve">    </w:t>
      </w:r>
      <w:r>
        <w:rPr>
          <w:b/>
        </w:rPr>
        <w:t xml:space="preserve">Pub date: </w:t>
      </w:r>
      <w:r>
        <w:t>2026-05-31 16:23:55+00:00</w:t>
      </w:r>
      <w:r>
        <w:t xml:space="preserve">    </w:t>
      </w:r>
      <w:r>
        <w:rPr>
          <w:b/>
        </w:rPr>
        <w:t xml:space="preserve">DOI: </w:t>
      </w:r>
      <w:hyperlink r:id="rId45">
        <w:r>
          <w:rPr>
            <w:color w:val="1155CC"/>
            <w:u w:val="single"/>
          </w:rPr>
          <w:t>10.1002/anie.7702880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由于液体电解质中缺乏可逆、合适的电极化学物质，在室温下运行的氟化物离子电池 (FIB) 通常会出现输出电压较低 (&lt; 0.5 V) 的问题。在这里，我们报道了一种高压水基 FIB 系统，通过将锌/羟基氟化锌 (Zn↔ZnOHF) 阳极与碘阴极耦合，可提供约 1.3 V 的输出电压</w:t>
      </w:r>
      <w:r>
        <w:t xml:space="preserve"> </w:t>
      </w:r>
      <w:r>
        <w:t>-</w:t>
      </w:r>
      <w:r>
        <w:t>↔我</w:t>
      </w:r>
      <w:r>
        <w:rPr>
          <w:vertAlign w:val="subscript"/>
        </w:rPr>
        <w:t>2</w:t>
      </w:r>
      <w:r>
        <w:t>F</w:t>
      </w:r>
      <w:r>
        <w:t xml:space="preserve"> </w:t>
      </w:r>
      <w:r>
        <w:t>-</w:t>
      </w:r>
      <w:r>
        <w:t>NH 中卤素间的转化</w:t>
      </w:r>
      <w:r>
        <w:rPr>
          <w:vertAlign w:val="subscript"/>
        </w:rPr>
        <w:t>4</w:t>
      </w:r>
      <w:r>
        <w:t>F基甲醇/水混合电解质。在阳极，NH 之间发生强烈络合</w:t>
      </w:r>
      <w:r>
        <w:rPr>
          <w:vertAlign w:val="subscript"/>
        </w:rPr>
        <w:t>4</w:t>
      </w:r>
      <w:r>
        <w:t>+</w:t>
      </w:r>
      <w:r>
        <w:t xml:space="preserve"> </w:t>
      </w:r>
      <w:r>
        <w:t>和锌</w:t>
      </w:r>
      <w:r>
        <w:t xml:space="preserve"> </w:t>
      </w:r>
      <w:r>
        <w:t>2+</w:t>
      </w:r>
      <w:r>
        <w:t xml:space="preserve"> </w:t>
      </w:r>
      <w:r>
        <w:t>激活可逆的固-固 Zn↔ZnOHF 转化。同时，甲醇有效抑制HER并加速氟离子去溶剂化，从而实现快速动力学和高可逆性。因此，ZnOHF/Zn 阳极在 1 mA cm 电流下表现出超过 1100 小时的卓越耐用性</w:t>
      </w:r>
      <w:r>
        <w:t xml:space="preserve"> </w:t>
      </w:r>
      <w:r>
        <w:t>−2</w:t>
      </w:r>
      <w:r>
        <w:t xml:space="preserve"> </w:t>
      </w:r>
      <w:r>
        <w:t>和 2 mAh 厘米</w:t>
      </w:r>
      <w:r>
        <w:t xml:space="preserve"> </w:t>
      </w:r>
      <w:r>
        <w:t>−2</w:t>
      </w:r>
      <w:r>
        <w:t xml:space="preserve"> </w:t>
      </w:r>
      <w:r>
        <w:t>。在阴极，碘化四己基铵 (THAI) 诱导形成不溶性 THAI</w:t>
      </w:r>
      <w:r>
        <w:rPr>
          <w:vertAlign w:val="subscript"/>
        </w:rPr>
        <w:t>2</w:t>
      </w:r>
      <w:r>
        <w:t>I氟化期间的F</w:t>
      </w:r>
      <w:r>
        <w:rPr>
          <w:vertAlign w:val="subscript"/>
        </w:rPr>
        <w:t>2</w:t>
      </w:r>
      <w:r>
        <w:t>阴极，有效固定碘物种并抑制穿梭效应。所提出的氟离子穿梭 Zn/I</w:t>
      </w:r>
      <w:r>
        <w:rPr>
          <w:vertAlign w:val="subscript"/>
        </w:rPr>
        <w:t>2</w:t>
      </w:r>
    </w:p>
    <w:p>
      <w:pPr>
        <w:spacing w:before="0" w:after="200" w:lineRule="auto" w:line="276"/>
      </w:pPr>
      <w:r>
        <w:rPr>
          <w:b/>
        </w:rPr>
        <w:t xml:space="preserve">Abstract (EN): </w:t>
      </w:r>
      <w:r>
        <w:t>Fluoride ion batteries (FIBs) operated at room temperature typically suffer from low output voltages (&amp;lt; 0.5 V) due to the lack of reversible, suitable electrode chemistries in liquid electrolytes. Here, we report a high‐voltage aqueous FIB system delivering an output voltage of ∼1.3 V by coupling a zinc/zinc hydroxyfluoride (Zn↔ZnOHF) anode with an iodine cathode undergoing reversible I</w:t>
      </w:r>
      <w:r>
        <w:t xml:space="preserve"> </w:t>
      </w:r>
      <w:r>
        <w:t>−</w:t>
      </w:r>
      <w:r>
        <w:t>↔I</w:t>
      </w:r>
      <w:r>
        <w:rPr>
          <w:vertAlign w:val="subscript"/>
        </w:rPr>
        <w:t>2</w:t>
      </w:r>
      <w:r>
        <w:t>F</w:t>
      </w:r>
      <w:r>
        <w:t xml:space="preserve"> </w:t>
      </w:r>
      <w:r>
        <w:t>−</w:t>
      </w:r>
      <w:r>
        <w:t>interhalogen conversion in an NH</w:t>
      </w:r>
      <w:r>
        <w:rPr>
          <w:vertAlign w:val="subscript"/>
        </w:rPr>
        <w:t>4</w:t>
      </w:r>
      <w:r>
        <w:t>F‐based methanol/water hybrid electrolyte. At the anode, strong complexation between NH</w:t>
      </w:r>
      <w:r>
        <w:rPr>
          <w:vertAlign w:val="subscript"/>
        </w:rPr>
        <w:t>4</w:t>
      </w:r>
      <w:r>
        <w:t>+</w:t>
      </w:r>
      <w:r>
        <w:t xml:space="preserve"> </w:t>
      </w:r>
      <w:r>
        <w:t>and Zn</w:t>
      </w:r>
      <w:r>
        <w:t xml:space="preserve"> </w:t>
      </w:r>
      <w:r>
        <w:t>2+</w:t>
      </w:r>
      <w:r>
        <w:t xml:space="preserve"> </w:t>
      </w:r>
      <w:r>
        <w:t>activates a reversible solid‐to‐solid Zn↔ZnOHF conversion. Meanwhile, methanol effectively suppresses HER and accelerates fluoride‐ion desolvation, leading to fast kinetics and high reversibility. As a result, the ZnOHF/Zn anode exhibits remarkable durability for over 1100 h at 1 mA cm</w:t>
      </w:r>
      <w:r>
        <w:t xml:space="preserve"> </w:t>
      </w:r>
      <w:r>
        <w:t>−2</w:t>
      </w:r>
      <w:r>
        <w:t xml:space="preserve"> </w:t>
      </w:r>
      <w:r>
        <w:t>and 2 mAh cm</w:t>
      </w:r>
      <w:r>
        <w:t xml:space="preserve"> </w:t>
      </w:r>
      <w:r>
        <w:t>−2</w:t>
      </w:r>
      <w:r>
        <w:t xml:space="preserve"> </w:t>
      </w:r>
      <w:r>
        <w:t>. At the cathode, tetrahexylammonium iodide (THAI) induces the formation of insoluble THAI</w:t>
      </w:r>
      <w:r>
        <w:rPr>
          <w:vertAlign w:val="subscript"/>
        </w:rPr>
        <w:t>2</w:t>
      </w:r>
      <w:r>
        <w:t>F during the fluorination of I</w:t>
      </w:r>
      <w:r>
        <w:rPr>
          <w:vertAlign w:val="subscript"/>
        </w:rPr>
        <w:t>2</w:t>
      </w:r>
      <w:r>
        <w:t>cathode, effectively immobilizing iodine species and suppressing shuttle effects. The proposed fluoride‐ion‐shuttled Zn/I</w:t>
      </w:r>
      <w:r>
        <w:rPr>
          <w:vertAlign w:val="subscript"/>
        </w:rPr>
        <w:t>2</w:t>
      </w:r>
      <w:r>
        <w:t>cells deliver a high specific capacity of 168 mAh g</w:t>
      </w:r>
      <w:r>
        <w:t xml:space="preserve"> </w:t>
      </w:r>
      <w:r>
        <w:t>−1</w:t>
      </w:r>
      <w:r>
        <w:t xml:space="preserve"> </w:t>
      </w:r>
      <w:r>
        <w:t>at 2 A g</w:t>
      </w:r>
      <w:r>
        <w:t xml:space="preserve"> </w:t>
      </w:r>
      <w:r>
        <w:t>−1</w:t>
      </w:r>
      <w:r>
        <w:t xml:space="preserve"> </w:t>
      </w:r>
      <w:r>
        <w:t>and retain 81% capacity after 2500 cycles. This work establishes interhalogen chemistry and electrolyte‐regulated solid‐state fluorination as viable strategies for designing high‐voltage, long‐life FIBs.</w:t>
      </w:r>
    </w:p>
    <w:p>
      <w:pPr>
        <w:spacing w:before="120" w:after="120"/>
      </w:pPr>
      <w:r>
        <w:rPr>
          <w:sz w:val="18"/>
        </w:rPr>
        <w:t>——————————————————————————————————————————————————————————————————————</w:t>
      </w:r>
    </w:p>
    <w:p>
      <w:pPr>
        <w:spacing w:before="160" w:after="40" w:line="240" w:lineRule="auto"/>
      </w:pPr>
      <w:r>
        <w:rPr>
          <w:b/>
        </w:rPr>
        <w:t xml:space="preserve">[8] </w:t>
      </w:r>
      <w:hyperlink r:id="rId46">
        <w:r>
          <w:rPr>
            <w:color w:val="1155CC"/>
            <w:u w:val="single"/>
          </w:rPr>
          <w:t>有机氧化还原化学中独特的交叉共轭双活性中心设计实现的能量密度高的水系全聚合物电池</w:t>
        </w:r>
      </w:hyperlink>
    </w:p>
    <w:p>
      <w:pPr>
        <w:spacing w:before="0" w:after="80"/>
      </w:pPr>
      <w:r>
        <w:rPr>
          <w:i/>
          <w:sz w:val="20"/>
        </w:rPr>
        <w:t>EN: An Energy‐Dense Aqueous All‐Polymer Battery Enabled by Unique Cross‐Conjugated Dual‐Active‐Center Design in Organic Redox Chemistry</w:t>
      </w:r>
    </w:p>
    <w:p>
      <w:pPr>
        <w:spacing w:before="0" w:after="120"/>
      </w:pPr>
      <w:r>
        <w:rPr>
          <w:b/>
        </w:rPr>
        <w:t xml:space="preserve">Source: </w:t>
      </w:r>
      <w:r>
        <w:t>Wiley: Angewandte Chemie International Edition: Table of Contents</w:t>
      </w:r>
      <w:r>
        <w:t xml:space="preserve">    </w:t>
      </w:r>
      <w:r>
        <w:rPr>
          <w:b/>
        </w:rPr>
        <w:t xml:space="preserve">Pub date: </w:t>
      </w:r>
      <w:r>
        <w:t>2026-05-31 16:23:58+00:00</w:t>
      </w:r>
      <w:r>
        <w:t xml:space="preserve">    </w:t>
      </w:r>
      <w:r>
        <w:rPr>
          <w:b/>
        </w:rPr>
        <w:t xml:space="preserve">DOI: </w:t>
      </w:r>
      <w:hyperlink r:id="rId47">
        <w:r>
          <w:rPr>
            <w:color w:val="1155CC"/>
            <w:u w:val="single"/>
          </w:rPr>
          <w:t>10.1002/anie.1818044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全有机电池（AAOB）的出现引起了人们的广泛关注，但由于大容量、高电位正极材料的稀缺，其能量密度有限，阻碍了其进展。在此，我们开发了一种交叉共轭双活性中心设计策略来调节二维氧化还原聚合物（2DRP）的电子分布和前沿轨道，以获得能量密集的AAOB。理论研究表明，简单地在聚合物骨架中嵌入更多的吡嗪单元可以提高容量和潜力，但代价是活性降低，而引入醌单元可以形成交叉共轭的供体-受体（D-A）结构，从而改善所有上述指标。因此，我们合成了具有交替吡嗪-醌单元（PQ）的2DRP及其具有纯吡嗪单元的类似物（P1和P3）。所有预测的优于其类似物的优点都是通过 PQ 在酸性电解质中实现的，呈现快速 Grotthuss 型质子传输、更大的容量（251 mAh g</w:t>
      </w:r>
      <w:r>
        <w:t xml:space="preserve"> </w:t>
      </w:r>
      <w:r>
        <w:t>−1</w:t>
      </w:r>
      <w:r>
        <w:t xml:space="preserve"> </w:t>
      </w:r>
      <w:r>
        <w:t>）和更高的平均还原电位（0.46 V vs. SHE），超越了大多数报道的聚合物电极，以及超长的低温寿命（83.8%@12000 次循环，-20°C）。最后，将 PQ 与混合电解质中的 2DRP 负极 (PD) 配对，可得到平均输出电压为 1.31 V、最大比能量为 111.7 Wh kg 的 PD//PQ 全聚合物电池。</w:t>
      </w:r>
      <w:r>
        <w:t xml:space="preserve"> </w:t>
      </w:r>
      <w:r>
        <w:t>−1</w:t>
      </w:r>
      <w:r>
        <w:t xml:space="preserve"> </w:t>
      </w:r>
      <w:r>
        <w:t>，超过大多数 AAOB。</w:t>
      </w:r>
    </w:p>
    <w:p>
      <w:pPr>
        <w:spacing w:before="0" w:after="200" w:lineRule="auto" w:line="276"/>
      </w:pPr>
      <w:r>
        <w:rPr>
          <w:b/>
        </w:rPr>
        <w:t xml:space="preserve">Abstract (EN): </w:t>
      </w:r>
      <w:r>
        <w:t>The emergence of aqueous all‐organic batteries (AAOBs) has attracted surging attention, yet their progress is hindered by the limited energy density due to the scarcity of large‐capacity and high‐potential positive electrode materials. Herein, we develop a cross‐conjugated dual‐active‐center design strategy to modulate the electron distribution and frontier orbitals of 2D redox polymers (2DRPs) for attaining energy‐dense AAOBs. Theoretical studies reveal that simply embedding more pyrazine units in the polymer skeleton can elevate capacity and potential but at the expense of reduced activity, while introducing quinone units can form a cross‐conjugated donor–acceptor (D–A) structure that improves all above metrics. Accordingly, we synthesized 2DRP with alternating pyrazine‐quinone units (PQ) and its analogues with pure pyrazine units (P1 and P3). All predicted advantages over its analogues are realized by PQ in acidic electrolytes, presenting fast Grotthuss‐type proton transport, a larger capacity (251 mAh g</w:t>
      </w:r>
      <w:r>
        <w:t xml:space="preserve"> </w:t>
      </w:r>
      <w:r>
        <w:t>−1</w:t>
      </w:r>
      <w:r>
        <w:t xml:space="preserve"> </w:t>
      </w:r>
      <w:r>
        <w:t>) and a higher average reduction potential (0.46 V vs. SHE), surpassing most reported polymer electrodes, along with an ultralong low‐temperature lifespan (83.8%@12000 cycles, −20°C). Finally, pairing PQ with a 2DRP negative electrode (PD) in hybrid electrolytes affords a PD//PQ all‐polymer battery with an average output voltage of 1.31 V and a maximum specific energy of 111.7 Wh kg</w:t>
      </w:r>
      <w:r>
        <w:t xml:space="preserve"> </w:t>
      </w:r>
      <w:r>
        <w:t>−1</w:t>
      </w:r>
      <w:r>
        <w:t xml:space="preserve"> </w:t>
      </w:r>
      <w:r>
        <w:t>, exceeding most AAOBs.</w:t>
      </w:r>
    </w:p>
    <w:p>
      <w:pPr>
        <w:spacing w:before="120" w:after="120"/>
      </w:pPr>
      <w:r>
        <w:rPr>
          <w:sz w:val="18"/>
        </w:rPr>
        <w:t>——————————————————————————————————————————————————————————————————————</w:t>
      </w:r>
    </w:p>
    <w:p>
      <w:pPr>
        <w:spacing w:before="160" w:after="40" w:line="240" w:lineRule="auto"/>
      </w:pPr>
      <w:r>
        <w:rPr>
          <w:b/>
        </w:rPr>
        <w:t xml:space="preserve">[9] </w:t>
      </w:r>
      <w:hyperlink r:id="rId48">
        <w:r>
          <w:rPr>
            <w:color w:val="1155CC"/>
            <w:u w:val="single"/>
          </w:rPr>
          <w:t>用于高效水系锌电池的疏水性液体电解质界面</w:t>
        </w:r>
      </w:hyperlink>
    </w:p>
    <w:p>
      <w:pPr>
        <w:spacing w:before="0" w:after="80"/>
      </w:pPr>
      <w:r>
        <w:rPr>
          <w:i/>
          <w:sz w:val="20"/>
        </w:rPr>
        <w:t>EN: Hydrophobic liquid electrolyte interphases for efficient aqueous zinc batteries</w:t>
      </w:r>
    </w:p>
    <w:p>
      <w:pPr>
        <w:spacing w:before="0" w:after="120"/>
      </w:pPr>
      <w:r>
        <w:rPr>
          <w:b/>
        </w:rPr>
        <w:t xml:space="preserve">Source: </w:t>
      </w:r>
      <w:r>
        <w:t>Nature Nanotechnology</w:t>
      </w:r>
      <w:r>
        <w:t xml:space="preserve">    </w:t>
      </w:r>
      <w:r>
        <w:rPr>
          <w:b/>
        </w:rPr>
        <w:t xml:space="preserve">Pub date: </w:t>
      </w:r>
      <w:r>
        <w:t>2026-06-01 00:00:00+00:00</w:t>
      </w:r>
      <w:r>
        <w:t xml:space="preserve">    </w:t>
      </w:r>
      <w:r>
        <w:rPr>
          <w:b/>
        </w:rPr>
        <w:t xml:space="preserve">DOI: </w:t>
      </w:r>
      <w:hyperlink r:id="rId49">
        <w:r>
          <w:rPr>
            <w:color w:val="1155CC"/>
            <w:u w:val="single"/>
          </w:rPr>
          <w:t>10.1038/s41565-026-02187-0</w:t>
        </w:r>
      </w:hyperlink>
    </w:p>
    <w:p>
      <w:pPr>
        <w:spacing w:before="0" w:after="120"/>
      </w:pPr>
      <w:r>
        <w:rPr>
          <w:b/>
        </w:rPr>
        <w:t xml:space="preserve">Notes: </w:t>
      </w:r>
      <w:r>
        <w:t>abstract_source=nature_html</w:t>
      </w:r>
    </w:p>
    <w:p>
      <w:pPr>
        <w:spacing w:before="0" w:after="80" w:lineRule="auto" w:line="276"/>
      </w:pPr>
      <w:r>
        <w:rPr>
          <w:b/>
        </w:rPr>
        <w:t xml:space="preserve">摘要（ZH）: </w:t>
      </w:r>
      <w:r>
        <w:t>扩大电解质水溶液的电化学稳定性窗口是提高电池性能的可行策略。使用盐包水电解质水溶液，负极上形成的固体电解质界面可实现高达 3.0 V 的电化学稳定性窗口，但这通常会降低离子电导率并增加成本。在这里，为了规避这些问题，我们报告了在 3 摩尔三氟甲磺酸锌水溶液电解质溶液中使用疏水性和亲电极性醚基添加剂。这些添加剂的特点是锌离子溶剂化能力较弱，可低浓度（低于 2 mol%）溶于电解质水溶液中。它们可以吸附在正极和负极表面，抑制锌枝晶生长，形成液体电解质界面，将电化学稳定性窗口扩展至3.08 V，实现高体积离子电导率（25℃时约为54 mS cm−1）并确保电解质水溶液的不可燃性。这种纳米工程电解质方法使 Zn||NaV3O8 单层软包电池能够稳定运行 500 次（平均库仑效率为 99.95%），在 500 mA g−1 和 25 °C 下比放电容量保持率为 80%，计算出的初始比能量为 132 Wh kg−1（基于负极和正极活性材料的质量）。</w:t>
      </w:r>
    </w:p>
    <w:p>
      <w:pPr>
        <w:spacing w:before="0" w:after="200" w:lineRule="auto" w:line="276"/>
      </w:pPr>
      <w:r>
        <w:rPr>
          <w:b/>
        </w:rPr>
        <w:t xml:space="preserve">Abstract (EN): </w:t>
      </w:r>
      <w:r>
        <w:t>Expanding the electrochemical stability window of aqueous electrolyte solutions is a viable strategy to improve battery performance. Using water-in-salt aqueous electrolyte solutions, the solid electrolyte interphase formed on the negative electrode enables an electrochemical stability window up to 3.0 V, but this often reduces ionic conductivity and increases costs. Here, to circumvent these issues, we report the use of hydrophobic and electrode-philic ether-based additives in 3-molal aqueous zinc trifluoromethanesulfonate electrolyte solutions. These additives, characterized by a weak Zn-ion solvation capability, are soluble in the aqueous electrolyte solution at low concentrations (below 2 mol%). They can be adsorbed on both positive and negative electrode surfaces, inhibiting Zn dendrite growth, forming a liquid electrolyte interphase that extends the electrochemical stability window to 3.08 V, enabling high bulk ionic conductivity (about 54 mS cm−1 at 25 °C) and ensuring the non-flammability of the aqueous electrolyte solution. This nanoengineered electrolyte approach enables a Zn||NaV3O8 single-layer pouch cell to operate 500 stable cycles (average Coulombic efficiency of 99.95%) with a specific discharge capacity retention of 80% at 500 mA g−1 and 25 °C with a calculated initial specific energy of 132 Wh kg−1 (based on the mass of the negative and positive electrode active materials).</w:t>
      </w:r>
    </w:p>
    <w:p>
      <w:pPr>
        <w:spacing w:before="120" w:after="120"/>
      </w:pPr>
      <w:r>
        <w:rPr>
          <w:sz w:val="18"/>
        </w:rPr>
        <w:t>——————————————————————————————————————————————————————————————————————</w:t>
      </w:r>
    </w:p>
    <w:p>
      <w:pPr>
        <w:spacing w:before="160" w:after="40" w:line="240" w:lineRule="auto"/>
      </w:pPr>
      <w:r>
        <w:rPr>
          <w:b/>
        </w:rPr>
        <w:t xml:space="preserve">[10] </w:t>
      </w:r>
      <w:hyperlink r:id="rId95">
        <w:r>
          <w:rPr>
            <w:color w:val="1155CC"/>
            <w:u w:val="single"/>
          </w:rPr>
          <w:t>多功能界面能量驱动乳液组装合成大孔介孔共价有机骨架，加速水系电池中 Zn2+ 去溶剂化</w:t>
        </w:r>
      </w:hyperlink>
    </w:p>
    <w:p>
      <w:pPr>
        <w:spacing w:before="0" w:after="80"/>
      </w:pPr>
      <w:r>
        <w:rPr>
          <w:i/>
          <w:sz w:val="20"/>
        </w:rPr>
        <w:t>EN: Versatile interfacial-energy-driven emulsion assembly synthesis of large-pore mesoporous covalent organic frameworks for accelerated Zn2+ desolvation in aqueous battery</w:t>
      </w:r>
    </w:p>
    <w:p>
      <w:pPr>
        <w:spacing w:before="0" w:after="120"/>
      </w:pPr>
      <w:r>
        <w:rPr>
          <w:b/>
        </w:rPr>
        <w:t xml:space="preserve">Source: </w:t>
      </w:r>
      <w:r>
        <w:t>National Science Review Advance Access</w:t>
      </w:r>
      <w:r>
        <w:t xml:space="preserve">    </w:t>
      </w:r>
      <w:r>
        <w:rPr>
          <w:b/>
        </w:rPr>
        <w:t xml:space="preserve">Pub date: </w:t>
      </w:r>
      <w:r>
        <w:t>2026-06-01 00:00:00+00:00</w:t>
      </w:r>
      <w:r>
        <w:t xml:space="preserve">    </w:t>
      </w:r>
      <w:r>
        <w:rPr>
          <w:b/>
        </w:rPr>
        <w:t xml:space="preserve">DOI: </w:t>
      </w:r>
      <w:hyperlink r:id="rId96">
        <w:r>
          <w:rPr>
            <w:color w:val="1155CC"/>
            <w:u w:val="single"/>
          </w:rPr>
          <w:t>10.1093/nsr/nwag307</w:t>
        </w:r>
      </w:hyperlink>
    </w:p>
    <w:p>
      <w:pPr>
        <w:spacing w:before="0" w:after="120"/>
      </w:pPr>
      <w:r>
        <w:rPr>
          <w:b/>
        </w:rPr>
        <w:t xml:space="preserve">Notes: </w:t>
      </w:r>
      <w:r>
        <w:t>abstract_source=rss_oup</w:t>
      </w:r>
    </w:p>
    <w:p>
      <w:pPr>
        <w:spacing w:before="0" w:after="80" w:lineRule="auto" w:line="276"/>
      </w:pPr>
      <w:r>
        <w:rPr>
          <w:b/>
        </w:rPr>
        <w:t xml:space="preserve">摘要（ZH）: </w:t>
      </w:r>
      <w:r>
        <w:t>事实证明，将介孔引入共价有机框架（MesoCOF）可以有效优化能量存储和相关应用的离子传输。实现精确的中孔-微孔结构控制以同时调节界面反应和通量均匀性仍然是一个重大挑战。在此，我们报告了一种多功能界面能量驱动的乳液组装策略，用于轻松合成具有不同对称性、中间相和孔径的 MesoCOF。通过调整精心设计的水-均三甲苯-二恶烷-F127系统中的水/油比，可以系统地调整乳液相（正向和反向）、胶束结构（正向和反向）以及组装行为（均相和非均相）。微观分析表明，水和TMB相之间的界面能随着给定乳液相中非连续相的数量而增加，从而驱动胶束膨胀，然后从均匀组装转变为界面组装，形成乳液组装万花筒。鉴于此，我们构建了一个具有对称性（从纳米球到不对称圆锥体和碗）、中间相（球形和树枝状）和孔径（13.2-48.5 nm）的 MesoCOF 纳米球库。作为概念证明，具有丰富电子的 C = N 键和介孔通道的树枝状 MesoCOF 纳米球被用作功能性离子分配器，以加速 Zn2+ 去溶剂化并使锌金属电池中的离子通量均匀化，从而在 1.0 mA cm−2 下实现超过 1340 小时的延长循环寿命。</w:t>
      </w:r>
    </w:p>
    <w:p>
      <w:pPr>
        <w:spacing w:before="0" w:after="200" w:lineRule="auto" w:line="276"/>
      </w:pPr>
      <w:r>
        <w:rPr>
          <w:b/>
        </w:rPr>
        <w:t xml:space="preserve">Abstract (EN): </w:t>
      </w:r>
      <w:r>
        <w:t>Introducing mesopores into covalent organic frameworks (MesoCOFs) has been proven effective in optimizing ion transport for energy storage and related applications. Achieving precise mesopore-micropore structural control to concomitantly regulate interfacial reactions and flux uniformity remains a significant challenge. Herein, we report a versatile interfacial-energy-driven emulsion assembly strategy for the facile synthesis of MesoCOFs with diverse symmetries, mesophases and pore sizes. By tailoring the water/oil ratio in the meticulously designed water–mesitylene–dioxane–F127 system, the emulsion phases (positive and reverse), micelle structures (positive and reverse), and assembly behaviors (homogeneous and heterogeneous) can be systematically adjusted. Microanalysis reveals that the interfacial energy between water and the TMB phase increases with the amount of non-continuous phase in a given emulsion phase, which drives the swelling of micelles and then the transformation from homogeneous assembly to interfacial assembly, creating an emulsion assembly kaleidoscope. Given this, we construct a library of MesoCOF nanospheres with symmetries (from nanospheres to asymmetric cones and bowls), mesophases (spherical and dendritic) and pore sizes (13.2–48.5 nm). As a proof of concept, the dendritic MesoCOF nanospheres with abundant electron-rich C = N bonds and mesochannels are employed as functional ionic dividers to accelerate Zn2+ desolvation and homogenize the ion flux in Zn metal batteries, achieving a prolonged cycle life of over 1340 h at 1.0 mA cm−2.</w:t>
      </w:r>
    </w:p>
    <w:p>
      <w:pPr>
        <w:spacing w:before="120" w:after="120"/>
      </w:pPr>
      <w:r>
        <w:rPr>
          <w:sz w:val="18"/>
        </w:rPr>
        <w:t>——————————————————————————————————————————————————————————————————————</w:t>
      </w:r>
    </w:p>
    <w:p>
      <w:pPr>
        <w:spacing w:before="160" w:after="40" w:line="240" w:lineRule="auto"/>
      </w:pPr>
      <w:r>
        <w:rPr>
          <w:b/>
        </w:rPr>
        <w:t xml:space="preserve">[11] </w:t>
      </w:r>
      <w:hyperlink r:id="rId97">
        <w:r>
          <w:rPr>
            <w:color w:val="1155CC"/>
            <w:u w:val="single"/>
          </w:rPr>
          <w:t>铁电调制复合聚合物电解质可加速固态锂金属电池的离子传输和稳定界面</w:t>
        </w:r>
      </w:hyperlink>
    </w:p>
    <w:p>
      <w:pPr>
        <w:spacing w:before="0" w:after="80"/>
      </w:pPr>
      <w:r>
        <w:rPr>
          <w:i/>
          <w:sz w:val="20"/>
        </w:rPr>
        <w:t>EN: Ferroelectrically Modulated Composite Polymer Electrolyte Enabling Accelerated Ion Transport and Stable Interfaces for Solid‐State Lithium Metal Batteries</w:t>
      </w:r>
    </w:p>
    <w:p>
      <w:pPr>
        <w:spacing w:before="0" w:after="120"/>
      </w:pPr>
      <w:r>
        <w:rPr>
          <w:b/>
        </w:rPr>
        <w:t xml:space="preserve">Source: </w:t>
      </w:r>
      <w:r>
        <w:t>Wiley: Advanced Energy Materials: Table of Contents</w:t>
      </w:r>
      <w:r>
        <w:t xml:space="preserve">    </w:t>
      </w:r>
      <w:r>
        <w:rPr>
          <w:b/>
        </w:rPr>
        <w:t xml:space="preserve">Pub date: </w:t>
      </w:r>
      <w:r>
        <w:t>2026-06-01 17:01:50+00:00</w:t>
      </w:r>
      <w:r>
        <w:t xml:space="preserve">    </w:t>
      </w:r>
      <w:r>
        <w:rPr>
          <w:b/>
        </w:rPr>
        <w:t xml:space="preserve">DOI: </w:t>
      </w:r>
      <w:hyperlink r:id="rId98">
        <w:r>
          <w:rPr>
            <w:color w:val="1155CC"/>
            <w:u w:val="single"/>
          </w:rPr>
          <w:t>10.1002/aenm.71151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基于聚合物的固态电解质因其灵活性、轻质性和可扩展的可制造性而对固态锂（Li）金属电池有吸引力。然而，它们的实际应用仍然受到缓慢的 Li 的限制。</w:t>
      </w:r>
      <w:r>
        <w:t xml:space="preserve"> </w:t>
      </w:r>
      <w:r>
        <w:t>+</w:t>
      </w:r>
      <w:r>
        <w:t xml:space="preserve"> </w:t>
      </w:r>
      <w:r>
        <w:t>传输、严重的阴离子迁移和不稳定的电极-电解质界面。在此，我们报道了一种铁电调制复合聚合物固态电解质，该电解质是通过集成含有铁电 K 的电纺纤维框架而构建的。</w:t>
      </w:r>
      <w:r>
        <w:t xml:space="preserve"> </w:t>
      </w:r>
      <w:r>
        <w:t>0.5</w:t>
      </w:r>
      <w:r>
        <w:t xml:space="preserve"> </w:t>
      </w:r>
      <w:r>
        <w:t>钠</w:t>
      </w:r>
      <w:r>
        <w:t xml:space="preserve"> </w:t>
      </w:r>
      <w:r>
        <w:t>0.5</w:t>
      </w:r>
      <w:r>
        <w:t xml:space="preserve"> </w:t>
      </w:r>
      <w:r>
        <w:t>氧化铌</w:t>
      </w:r>
      <w:r>
        <w:rPr>
          <w:vertAlign w:val="subscript"/>
        </w:rPr>
        <w:t>3</w:t>
      </w:r>
      <w:r>
        <w:t>进入固体聚合物电解质基质。铁电填料的加入有效地抑制了聚合物的结晶度，促进了聚（偏二氟乙烯-六氟丙烯）极性β相的转变，并固定了TFSI</w:t>
      </w:r>
      <w:r>
        <w:t xml:space="preserve"> </w:t>
      </w:r>
      <w:r>
        <w:t>-</w:t>
      </w:r>
      <w:r>
        <w:t>通过强表面相互作用，从而重建局部溶剂化环境并显着增强Li</w:t>
      </w:r>
      <w:r>
        <w:t xml:space="preserve"> </w:t>
      </w:r>
      <w:r>
        <w:t>+</w:t>
      </w:r>
      <w:r>
        <w:t xml:space="preserve"> </w:t>
      </w:r>
      <w:r>
        <w:t>运输动力学。同时，空间分布的铁电域调节局部电场分布并减轻空间电荷积累，从而使互连的锂成为可能。</w:t>
      </w:r>
      <w:r>
        <w:t xml:space="preserve"> </w:t>
      </w:r>
      <w:r>
        <w:t>+</w:t>
      </w:r>
      <w:r>
        <w:t xml:space="preserve"> </w:t>
      </w:r>
      <w:r>
        <w:t>具有均匀离子通量和减少界面极化的传输路径，共同抑制锂枝晶的生长。所得固态电解质</w:t>
      </w:r>
    </w:p>
    <w:p>
      <w:pPr>
        <w:spacing w:before="0" w:after="200" w:lineRule="auto" w:line="276"/>
      </w:pPr>
      <w:r>
        <w:rPr>
          <w:b/>
        </w:rPr>
        <w:t xml:space="preserve">Abstract (EN): </w:t>
      </w:r>
      <w:r>
        <w:t>Polymer‐based solid‐state electrolytes are attractive for solid‐state lithium (Li) metal batteries owing to their flexibility, lightweight nature, and scalable manufacturability. However, their practical application remains constrained by sluggish Li</w:t>
      </w:r>
      <w:r>
        <w:t xml:space="preserve"> </w:t>
      </w:r>
      <w:r>
        <w:t>+</w:t>
      </w:r>
      <w:r>
        <w:t xml:space="preserve"> </w:t>
      </w:r>
      <w:r>
        <w:t>transport, severe anion migration, and unstable electrode‐electrolyte interfaces. Herein, we reported a ferroelectrically modulated composite polymer solid‐state electrolyte, constructed by integrating an electrospun fibrous framework containing ferroelectric K</w:t>
      </w:r>
      <w:r>
        <w:t xml:space="preserve"> </w:t>
      </w:r>
      <w:r>
        <w:t>0.5</w:t>
      </w:r>
      <w:r>
        <w:t xml:space="preserve"> </w:t>
      </w:r>
      <w:r>
        <w:t>Na</w:t>
      </w:r>
      <w:r>
        <w:t xml:space="preserve"> </w:t>
      </w:r>
      <w:r>
        <w:t>0.5</w:t>
      </w:r>
      <w:r>
        <w:t xml:space="preserve"> </w:t>
      </w:r>
      <w:r>
        <w:t>NbO</w:t>
      </w:r>
      <w:r>
        <w:rPr>
          <w:vertAlign w:val="subscript"/>
        </w:rPr>
        <w:t>3</w:t>
      </w:r>
      <w:r>
        <w:t>into a solid polymer electrolyte matrix. The incorporation of ferroelectric fillers effectively suppresses polymer crystallinity, promotes the transformation of a polar β‐phase of poly(vinylidene fluoride‐co‐hexafluoropropylene), and immobilizes TFSI</w:t>
      </w:r>
      <w:r>
        <w:t xml:space="preserve"> </w:t>
      </w:r>
      <w:r>
        <w:t>−</w:t>
      </w:r>
      <w:r>
        <w:t>anions through strong surface interactions, thereby reconstructing the local solvation environment and significantly enhancing Li</w:t>
      </w:r>
      <w:r>
        <w:t xml:space="preserve"> </w:t>
      </w:r>
      <w:r>
        <w:t>+</w:t>
      </w:r>
      <w:r>
        <w:t xml:space="preserve"> </w:t>
      </w:r>
      <w:r>
        <w:t>transport kinetics. Meanwhile, spatially distributed ferroelectric domains regulate local electric‐field distribution and alleviate space‐charge accumulation, enabling interconnected Li</w:t>
      </w:r>
      <w:r>
        <w:t xml:space="preserve"> </w:t>
      </w:r>
      <w:r>
        <w:t>+</w:t>
      </w:r>
      <w:r>
        <w:t xml:space="preserve"> </w:t>
      </w:r>
      <w:r>
        <w:t>transport pathways with homogenized ionic flux and reduced interfacial polarization, which collectively suppress Li dendrite growth. The obtained solid‐state electrolytes deliver a high ionic conductivity of 6.7×10</w:t>
      </w:r>
      <w:r>
        <w:t xml:space="preserve"> </w:t>
      </w:r>
      <w:r>
        <w:t>−4</w:t>
      </w:r>
      <w:r>
        <w:t xml:space="preserve"> </w:t>
      </w:r>
      <w:r>
        <w:t>S cm</w:t>
      </w:r>
      <w:r>
        <w:t xml:space="preserve"> </w:t>
      </w:r>
      <w:r>
        <w:t>−1</w:t>
      </w:r>
      <w:r>
        <w:t xml:space="preserve"> </w:t>
      </w:r>
      <w:r>
        <w:t>with a Li</w:t>
      </w:r>
      <w:r>
        <w:t xml:space="preserve"> </w:t>
      </w:r>
      <w:r>
        <w:t>+</w:t>
      </w:r>
      <w:r>
        <w:t xml:space="preserve"> </w:t>
      </w:r>
      <w:r>
        <w:t>transference number of 0.68 at 30°C, and corresponding solid‐state batteries demonstrate stably cycling over 300 cycles at 1.0 C. The resulting pouch cells exhibit excellent electrochemical stability and safety performance, underscoring a ferroelectric‐enabled strategy for simultaneously addressing ion‐transport and interfacial challenges in advanced polymer‐based solid‐state electrolytes.</w:t>
      </w:r>
    </w:p>
    <w:p>
      <w:pPr>
        <w:spacing w:before="120" w:after="120"/>
      </w:pPr>
      <w:r>
        <w:rPr>
          <w:sz w:val="18"/>
        </w:rPr>
        <w:t>——————————————————————————————————————————————————————————————————————</w:t>
      </w:r>
    </w:p>
    <w:p>
      <w:pPr>
        <w:spacing w:before="160" w:after="40" w:line="240" w:lineRule="auto"/>
      </w:pPr>
      <w:r>
        <w:rPr>
          <w:b/>
        </w:rPr>
        <w:t xml:space="preserve">[12] </w:t>
      </w:r>
      <w:hyperlink r:id="rId52">
        <w:r>
          <w:rPr>
            <w:color w:val="1155CC"/>
            <w:u w:val="single"/>
          </w:rPr>
          <w:t>通过无量纲因子重新审视锌特异性成核以量化水系电池的界面电化学</w:t>
        </w:r>
      </w:hyperlink>
    </w:p>
    <w:p>
      <w:pPr>
        <w:spacing w:before="0" w:after="80"/>
      </w:pPr>
      <w:r>
        <w:rPr>
          <w:i/>
          <w:sz w:val="20"/>
        </w:rPr>
        <w:t>EN: Revisiting Zn-specific nucleation via a dimensionless factor to quantify interfacial electrochemistry of aqueous batteries</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锌基水系电池引起了广泛的研究关注，而锌-水界面电化学相互作用的成核理论的缺乏限制了抑制热力学自发析氢反应和枝晶形成的努力，从而阻碍了实际发展。阐明水介质中的锌电沉积需要锌特异性成核理论和调节界面电化学的描述符。传统的锂基球形成核模型忽略了锌的晶体学和控制成核的界面阻力，从而专注于极化变化。在这项工作中，我们重新阐述了Li针对Zn的六方密堆积结构导出的经典球形成核理论，并建立了无量纲描述符（Wf）来定量合理化界面电化学。 Wf 将偏振驱动力和界面阻力综合为稳定性指标。正如文献所证明的，较高的 Wf 值有利于均匀的锌沉积。因此，我们开发了一种高 Wf 电解质来抑制枝晶和副反应，在 Zn||NaV3O8 电池中实现了 100% 放电深度超过 700 小时以及 10 A g−1 的 7660 次循环。这项工作为锌基水系电池的合理设计提供了基本的成核理论和普遍适用的定量指标。</w:t>
      </w:r>
    </w:p>
    <w:p>
      <w:pPr>
        <w:spacing w:before="0" w:after="200" w:lineRule="auto" w:line="276"/>
      </w:pPr>
      <w:r>
        <w:rPr>
          <w:b/>
        </w:rPr>
        <w:t xml:space="preserve">Abstract (EN): </w:t>
      </w:r>
      <w:r>
        <w:t>Zn-based aqueous batteries have attracted widespread research attention, while the lack of nucleation theory for electrochemical interactions at the Zn-water interface constrains efforts to suppress the thermodynamically spontaneous hydrogen evolution reaction and dendrite formation, thereby stalling practical development. Elucidating Zn electrodeposition in aqueous media requires Zn-specific nucleation theory and a descriptor to regulate interfacial electrochemistry. Conventional Li-based spherical nucleation models disregard Zn’s crystallography and the interfacial resistance that governs nucleation, thereby focusing on polarization variations. In this work, we reformulate the classical spherical nucleation theory derived by Li for the hexagonal close-packed structure of Zn and establish a dimensionless descriptor (Wf) to quantitatively rationalize interfacial electrochemistry. Wf synthesizes the polarization driving force and interfacial resistance into a stability metric. Higher Wf values facilitate uniform Zn deposition, as evidenced by the literature. Accordingly, we develop a high-Wf electrolyte to inhibit dendrites and side reactions, achieving over 700 h at 100% depth of discharge and 7660 cycles at 10 A g−1 in a Zn||NaV3O8 cell. This work provides a fundamental nucleation theory and a generally applicable quantitative metric for the rational design of Zn-based aqueous batteries.</w:t>
      </w:r>
    </w:p>
    <w:p>
      <w:pPr>
        <w:spacing w:before="120" w:after="120"/>
      </w:pPr>
      <w:r>
        <w:rPr>
          <w:sz w:val="18"/>
        </w:rPr>
        <w:t>——————————————————————————————————————————————————————————————————————</w:t>
      </w:r>
    </w:p>
    <w:p>
      <w:pPr>
        <w:spacing w:before="160" w:after="40" w:line="240" w:lineRule="auto"/>
      </w:pPr>
      <w:r>
        <w:rPr>
          <w:b/>
        </w:rPr>
        <w:t xml:space="preserve">[13] </w:t>
      </w:r>
      <w:hyperlink r:id="rId99">
        <w:r>
          <w:rPr>
            <w:color w:val="1155CC"/>
            <w:u w:val="single"/>
          </w:rPr>
          <w:t>通过飞行时间二次离子质谱法对电池材料的表面和界面进行多维洞察</w:t>
        </w:r>
      </w:hyperlink>
    </w:p>
    <w:p>
      <w:pPr>
        <w:spacing w:before="0" w:after="80"/>
      </w:pPr>
      <w:r>
        <w:rPr>
          <w:i/>
          <w:sz w:val="20"/>
        </w:rPr>
        <w:t>EN: Multi‐Dimensional Insights Into the Surface and Interfaces of Battery Materials by Time‐of‐Flight Secondary Ion Mass Spectrometry</w:t>
      </w:r>
    </w:p>
    <w:p>
      <w:pPr>
        <w:spacing w:before="0" w:after="120"/>
      </w:pPr>
      <w:r>
        <w:rPr>
          <w:b/>
        </w:rPr>
        <w:t xml:space="preserve">Source: </w:t>
      </w:r>
      <w:r>
        <w:t>Wiley: Advanced Materials: Table of Contents</w:t>
      </w:r>
      <w:r>
        <w:t xml:space="preserve">    </w:t>
      </w:r>
      <w:r>
        <w:rPr>
          <w:b/>
        </w:rPr>
        <w:t xml:space="preserve">Pub date: </w:t>
      </w:r>
      <w:r>
        <w:t>2026-06-02 05:51:19+00:00</w:t>
      </w:r>
      <w:r>
        <w:t xml:space="preserve">    </w:t>
      </w:r>
      <w:r>
        <w:rPr>
          <w:b/>
        </w:rPr>
        <w:t xml:space="preserve">DOI: </w:t>
      </w:r>
      <w:hyperlink r:id="rId100">
        <w:r>
          <w:rPr>
            <w:color w:val="1155CC"/>
            <w:u w:val="single"/>
          </w:rPr>
          <w:t>10.1002/adma.73548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飞行时间二次离子质谱（ToF-SIMS）已成为表征电池材料复杂表面和界面化学的关键分析技术。这篇综述文章全面讨论了 ToF-SIMS 的基本原理和独特属性，重点介绍了其优势，例如超高表面灵敏度 (ppm-ppb)、高空间分辨率（横向 &lt; 50 nm，深度 &lt; 1 nm）以及用于氢和同位素研究的高质量分辨率。在电池研究领域，这些属性可以实现电极-电解质界面（EEI）的精确、多维表征。在之前的工作中，ToF-SIMS已被用来解析EEI纳米级的组成和结构，跟踪电极表面的动态演化和降解，区分人工涂层界面与块体材料，并检测同位素以进行机理研究。还强调了用于探测电解质的真实溶剂化结构和老化机制的原位液体 ToF-SIMS 的新兴领域。还讨论了使用 ToF-SIMS 进行电池研究的挑战，例如基体效应、束诱导损伤以及对更高灵敏度和深度分辨率的需求。综上所述，ToF-SIMS提供了对电池界面的多维洞察，有助于建立结构-性能相关性，并将持续指导下一代高性能储能系统的合理设计。</w:t>
      </w:r>
    </w:p>
    <w:p>
      <w:pPr>
        <w:spacing w:before="0" w:after="200" w:lineRule="auto" w:line="276"/>
      </w:pPr>
      <w:r>
        <w:rPr>
          <w:b/>
        </w:rPr>
        <w:t xml:space="preserve">Abstract (EN): </w:t>
      </w:r>
      <w:r>
        <w:t>Time‐of‐flight secondary ion mass spectrometry (ToF‐SIMS) has emerged as a pivotal analytical technique for characterizing the complex surface and interfacial chemistry of battery materials. This review article comprehensively discusses the fundamental principles and unique attributes of ToF‐SIMS, highlighting its advantages such as ultrahigh surface sensitivity (ppm‐ppb), high spatial resolution (&amp;lt; 50 nm laterally, and &amp;lt; 1 nm in depth), and high mass resolution for hydrogen and isotope study. In the field of battery study, these attributes enable precise, multi‐dimensional characterization of electrode‐electrolyte interphases (EEIs). In the previous works, ToF‐SIMS has been employed to resolve the composition and structures at the nanoscale of EEIs, track the dynamic evolution and degradation of electrode surface, differentiate artificial coating interphases from the bulk materials, and detect isotopes for mechanistic studies. The burgeoning field of in situ liquid ToF‐SIMS for probing the authentic solvation structures and aging mechanism of electrolytes is also highlighted. Challenges of using ToF‐SIMS for battery study, such as the matrix effects, beam‐induced damage, and need for higher sensitivity and depth resolution, are also discussed. In summary, ToF‐SIMS provides multi‐dimensional insights into battery interfaces, which help to establish structure‐property correlations and will continuously guide the rational design of the next‐generation high‐performance energy storage systems.</w:t>
      </w:r>
    </w:p>
    <w:p>
      <w:pPr>
        <w:spacing w:before="120" w:after="120"/>
      </w:pPr>
      <w:r>
        <w:rPr>
          <w:sz w:val="18"/>
        </w:rPr>
        <w:t>——————————————————————————————————————————————————————————————————————</w:t>
      </w:r>
    </w:p>
    <w:p>
      <w:pPr>
        <w:spacing w:before="160" w:after="40" w:line="240" w:lineRule="auto"/>
      </w:pPr>
      <w:r>
        <w:rPr>
          <w:b/>
        </w:rPr>
        <w:t xml:space="preserve">[14] </w:t>
      </w:r>
      <w:hyperlink r:id="rId101">
        <w:r>
          <w:rPr>
            <w:color w:val="1155CC"/>
            <w:u w:val="single"/>
          </w:rPr>
          <w:t>量子相干类克拉尼共振：将离子编程为亚皮秒传导的物质波</w:t>
        </w:r>
      </w:hyperlink>
    </w:p>
    <w:p>
      <w:pPr>
        <w:spacing w:before="0" w:after="80"/>
      </w:pPr>
      <w:r>
        <w:rPr>
          <w:i/>
          <w:sz w:val="20"/>
        </w:rPr>
        <w:t>EN: Quantum coherent Chladni-like resonance: Programming ions as matter waves for subpicosecond conduction</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102">
        <w:r>
          <w:rPr>
            <w:color w:val="1155CC"/>
            <w:u w:val="single"/>
          </w:rPr>
          <w:t>10.1073/pnas.2604081123</w:t>
        </w:r>
      </w:hyperlink>
    </w:p>
    <w:p>
      <w:pPr>
        <w:spacing w:before="0" w:after="120"/>
      </w:pPr>
      <w:r>
        <w:rPr>
          <w:b/>
        </w:rPr>
        <w:t xml:space="preserve">Notes: </w:t>
      </w:r>
      <w:r>
        <w:t>abstract_source=crossref</w:t>
      </w:r>
    </w:p>
    <w:p>
      <w:pPr>
        <w:spacing w:before="0" w:after="80" w:lineRule="auto" w:line="276"/>
      </w:pPr>
      <w:r>
        <w:rPr>
          <w:b/>
        </w:rPr>
        <w:t xml:space="preserve">摘要（ZH）: </w:t>
      </w:r>
      <w:r>
        <w:t>类似于电子波导，实现固体中离子传输的相干控制仍然是一个基本挑战，因为离子运动通常受到缓慢的随机跳跃的限制。在这里，我们证明了二维电化学电池（硼烯/h-BN/石墨烯）具有集体离子本征模式，当它被“临界频率”电脉冲（10 kHz）共振激发时，将离子传导从扩散漂移转变为相干的弹道波。时间分辨泵浦探针光谱通过强烈的 28 THz 振荡（亚皮秒波状运动的光谱指纹）的出现直接揭示了这种转变。整个插层离子系综同相移动，以相干波包的形式在 300 fs 内穿过 80 nm 通道，相当于经典扩散速度提高了 1,000 倍以上。利用这种谐振控制原理，我们实现了一种可以用激光脉冲在皮秒内充电的电化学装置。这项工作表明，离子物质可以实现量子级的类克拉尼共振，从而建立了一条可编程、超快相干离子传导的通用途径。通过将无序粒子中的离子转化为可控物质波，我们解锁了皮秒级能量存储和神经形态计算的相干离子领域。</w:t>
      </w:r>
    </w:p>
    <w:p>
      <w:pPr>
        <w:spacing w:before="0" w:after="200" w:lineRule="auto" w:line="276"/>
      </w:pPr>
      <w:r>
        <w:rPr>
          <w:b/>
        </w:rPr>
        <w:t xml:space="preserve">Abstract (EN): </w:t>
      </w:r>
      <w:r>
        <w:t>Achieving coherent control of ionic transport in solids, analogous to electron waveguides, remains a fundamental challenge, as ionic motion is typically limited by slow, stochastic hopping. Here, we demonstrate that a two-dimensional electrochemical cell (borophene/h-BN/graphene) possesses a collective ionic eigenmode, which, when resonantly excited by a “critical-frequency” electrical pulse (10 kHz), transforms ionic conduction from diffusive drift into a coherent, ballistic wave. Time-resolved pump–probe spectroscopy directly reveals this transition through the emergence of a strong 28 THz oscillation, a spectroscopic fingerprint of subpicosecond, wavelike motion. The entire intercalated ion ensemble moves in phase, traversing the 80 nm channel as a coherent wave packet in under 300 fs, corresponding to &amp;gt;1,000-fold speed enhancement over classical diffusion. Leveraging this resonant control principle, we realize an electrochemical device that can be charged in picoseconds with a laser pulse. This work demonstrates that quantum-level, Chladni-like resonance is achievable for ionic matter, establishing a universal pathway to programmable, ultrafast coherent ionic conduction. By transforming ions from disordered particles into controllable matter-waves, we unlock the field of coherent ionics for picosecond-scale energy storage and neuromorphic computing.</w:t>
      </w:r>
    </w:p>
    <w:p>
      <w:pPr>
        <w:spacing w:before="120" w:after="120"/>
      </w:pPr>
      <w:r>
        <w:rPr>
          <w:sz w:val="18"/>
        </w:rPr>
        <w:t>——————————————————————————————————————————————————————————————————————</w:t>
      </w:r>
    </w:p>
    <w:p>
      <w:pPr>
        <w:spacing w:before="160" w:after="40" w:line="240" w:lineRule="auto"/>
      </w:pPr>
      <w:r>
        <w:rPr>
          <w:b/>
        </w:rPr>
        <w:t xml:space="preserve">[15] </w:t>
      </w:r>
      <w:hyperlink r:id="rId103">
        <w:r>
          <w:rPr>
            <w:color w:val="1155CC"/>
            <w:u w:val="single"/>
          </w:rPr>
          <w:t>基于光热增强水凝胶的热电化学电池，用于稳定、被动收集低品位热量</w:t>
        </w:r>
      </w:hyperlink>
    </w:p>
    <w:p>
      <w:pPr>
        <w:spacing w:before="0" w:after="80"/>
      </w:pPr>
      <w:r>
        <w:rPr>
          <w:i/>
          <w:sz w:val="20"/>
        </w:rPr>
        <w:t>EN: Photothermally Enhanced Hydrogel‐Based Thermoelectrochemical Cells for Stable, Passive Harvesting of Low‐Grade Heat</w:t>
      </w:r>
    </w:p>
    <w:p>
      <w:pPr>
        <w:spacing w:before="0" w:after="120"/>
      </w:pPr>
      <w:r>
        <w:rPr>
          <w:b/>
        </w:rPr>
        <w:t xml:space="preserve">Source: </w:t>
      </w:r>
      <w:r>
        <w:t>Wiley: Advanced Energy Materials: Table of Contents</w:t>
      </w:r>
      <w:r>
        <w:t xml:space="preserve">    </w:t>
      </w:r>
      <w:r>
        <w:rPr>
          <w:b/>
        </w:rPr>
        <w:t xml:space="preserve">Pub date: </w:t>
      </w:r>
      <w:r>
        <w:t>2026-06-02 07:07:24+00:00</w:t>
      </w:r>
      <w:r>
        <w:t xml:space="preserve">    </w:t>
      </w:r>
      <w:r>
        <w:rPr>
          <w:b/>
        </w:rPr>
        <w:t xml:space="preserve">DOI: </w:t>
      </w:r>
      <w:hyperlink r:id="rId104">
        <w:r>
          <w:rPr>
            <w:color w:val="1155CC"/>
            <w:u w:val="single"/>
          </w:rPr>
          <w:t>10.1002/aenm.71155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品位废热（&lt;100°C）是一种丰富但未得到充分利用的能源，因为它的火用低且传统转换技术在小温度梯度和被动操作下效率低下。在这里，报道了一种光热增强热电化学电池（PTEC），它是由高离子电导率的双网络水凝胶电解质实现的，该电解质结合了胍增强的铁/铁氰化物氧化还原电对。光热碳电极与准固体结构的集成在热和太阳激发下建立了稳定的温度梯度，无需主动冷却或液体电解质。 PTEC 提供 4.5 mV K 的瞬时热电势</w:t>
      </w:r>
      <w:r>
        <w:t xml:space="preserve"> </w:t>
      </w:r>
      <w:r>
        <w:t>-</w:t>
      </w:r>
      <w:r>
        <w:rPr>
          <w:vertAlign w:val="subscript"/>
        </w:rPr>
        <w:t>1</w:t>
      </w:r>
      <w:r>
        <w:t>标准化功率密度为 5 mW m</w:t>
      </w:r>
      <w:r>
        <w:t xml:space="preserve"> </w:t>
      </w:r>
      <w:r>
        <w:t>-</w:t>
      </w:r>
      <w:r>
        <w:rPr>
          <w:vertAlign w:val="subscript"/>
        </w:rPr>
        <w:t>2</w:t>
      </w:r>
      <w:r>
        <w:t>K</w:t>
      </w:r>
      <w:r>
        <w:t xml:space="preserve"> </w:t>
      </w:r>
      <w:r>
        <w:t>-</w:t>
      </w:r>
      <w:r>
        <w:rPr>
          <w:vertAlign w:val="subscript"/>
        </w:rPr>
        <w:t>2</w:t>
      </w:r>
      <w:r>
        <w:t>在被动冷却下，超越了现有的基于水凝胶的热电化学电池并接近最先进的液体系统。长期运行揭示了在稳定电流密度下稳定的扩散限制衰减，阻抗分析将质量传输确定为主要瓶颈。脉冲负载操作减轻了离子损耗，相对于连续放电，累积电荷提取提高了 2.5 倍，平均功率提高了 60% 以上。九电池阵列仅使用低品位热量直接为电化学系统充电（</w:t>
      </w:r>
      <w:r>
        <w:t xml:space="preserve"> </w:t>
      </w:r>
      <w:r>
        <w:t>时间</w:t>
      </w:r>
      <w:r>
        <w:t xml:space="preserve"> </w:t>
      </w:r>
      <w:r>
        <w:t>H</w:t>
      </w:r>
    </w:p>
    <w:p>
      <w:pPr>
        <w:spacing w:before="0" w:after="200" w:lineRule="auto" w:line="276"/>
      </w:pPr>
      <w:r>
        <w:rPr>
          <w:b/>
        </w:rPr>
        <w:t xml:space="preserve">Abstract (EN): </w:t>
      </w:r>
      <w:r>
        <w:t>Low‐grade waste heat (&amp;lt;100°C) is an abundant yet underutilized energy resource due to its low exergy and the inefficiency of conventional conversion technologies under small temperature gradients and passive operation. Here, a photothermally enhanced thermoelectrochemical cell (PTEC) is reported, enabled by a high‐ionic‐conductivity double‐network hydrogel electrolyte incorporating a guanidinium‐boosted ferro/ferricyanide redox couple. Integration of photothermal carbon electrodes with a quasi‐solid architecture establishes stable temperature gradients under both thermal and solar excitation, without active cooling or liquid electrolytes. The PTEC delivers an instantaneous thermopower of 4.5 mV K</w:t>
      </w:r>
      <w:r>
        <w:t xml:space="preserve"> </w:t>
      </w:r>
      <w:r>
        <w:t>−</w:t>
      </w:r>
      <w:r>
        <w:rPr>
          <w:vertAlign w:val="subscript"/>
        </w:rPr>
        <w:t>1</w:t>
      </w:r>
      <w:r>
        <w:t>and a normalized power density of 5 mW m</w:t>
      </w:r>
      <w:r>
        <w:t xml:space="preserve"> </w:t>
      </w:r>
      <w:r>
        <w:t>−</w:t>
      </w:r>
      <w:r>
        <w:rPr>
          <w:vertAlign w:val="subscript"/>
        </w:rPr>
        <w:t>2</w:t>
      </w:r>
      <w:r>
        <w:t>K</w:t>
      </w:r>
      <w:r>
        <w:t xml:space="preserve"> </w:t>
      </w:r>
      <w:r>
        <w:t>−</w:t>
      </w:r>
      <w:r>
        <w:rPr>
          <w:vertAlign w:val="subscript"/>
        </w:rPr>
        <w:t>2</w:t>
      </w:r>
      <w:r>
        <w:t>under passive cooling, surpassing prior hydrogel‐based thermoelectrochemical cells and approaching state‐of‐the‐art liquid systems. Long‐term operation reveals diffusion‐limited decay that stabilizes at steady current densities, with impedance analysis identifying mass transport as the dominant bottleneck. Pulsed‐load operation mitigates ion depletion, enhancing cumulative charge extraction by 2.5× and average power by &amp;gt;60% relative to continuous discharge. A nine‐cell array directly recharges an electrochemical system using only low‐grade heat (</w:t>
      </w:r>
      <w:r>
        <w:t xml:space="preserve"> </w:t>
      </w:r>
      <w:r>
        <w:t>T</w:t>
      </w:r>
      <w:r>
        <w:t xml:space="preserve"> </w:t>
      </w:r>
      <w:r>
        <w:t>H</w:t>
      </w:r>
      <w:r>
        <w:t xml:space="preserve"> </w:t>
      </w:r>
      <w:r>
        <w:t>=  50°C). This work elucidates key mechanisms governing sustained performance and demonstrates a robust, scalable platform for passive harvesting of ubiquitous low‐grade heat toward self‐powered distributed electronics.</w:t>
      </w:r>
    </w:p>
    <w:p>
      <w:pPr>
        <w:spacing w:before="120" w:after="120"/>
      </w:pPr>
      <w:r>
        <w:rPr>
          <w:sz w:val="18"/>
        </w:rPr>
        <w:t>——————————————————————————————————————————————————————————————————————</w:t>
      </w:r>
    </w:p>
    <w:p>
      <w:pPr>
        <w:spacing w:before="160" w:after="40" w:line="240" w:lineRule="auto"/>
      </w:pPr>
      <w:r>
        <w:rPr>
          <w:b/>
        </w:rPr>
        <w:t xml:space="preserve">[16] </w:t>
      </w:r>
      <w:hyperlink r:id="rId105">
        <w:r>
          <w:rPr>
            <w:color w:val="1155CC"/>
            <w:u w:val="single"/>
          </w:rPr>
          <w:t>用于可穿戴电子产品的界面互锁网络水电解质支持的高能全聚合物纤维电池</w:t>
        </w:r>
      </w:hyperlink>
    </w:p>
    <w:p>
      <w:pPr>
        <w:spacing w:before="0" w:after="80"/>
      </w:pPr>
      <w:r>
        <w:rPr>
          <w:i/>
          <w:sz w:val="20"/>
        </w:rPr>
        <w:t>EN: Energetic All‐Polymer Fiber Batteries Enabled by Interface‐Interlocked Water‐In‐Network Electrolytes for Wearable Electronics</w:t>
      </w:r>
    </w:p>
    <w:p>
      <w:pPr>
        <w:spacing w:before="0" w:after="120"/>
      </w:pPr>
      <w:r>
        <w:rPr>
          <w:b/>
        </w:rPr>
        <w:t xml:space="preserve">Source: </w:t>
      </w:r>
      <w:r>
        <w:t>Wiley: Advanced Materials: Table of Contents</w:t>
      </w:r>
      <w:r>
        <w:t xml:space="preserve">    </w:t>
      </w:r>
      <w:r>
        <w:rPr>
          <w:b/>
        </w:rPr>
        <w:t xml:space="preserve">Pub date: </w:t>
      </w:r>
      <w:r>
        <w:t>2026-06-02 08:18:03+00:00</w:t>
      </w:r>
      <w:r>
        <w:t xml:space="preserve">    </w:t>
      </w:r>
      <w:r>
        <w:rPr>
          <w:b/>
        </w:rPr>
        <w:t xml:space="preserve">DOI: </w:t>
      </w:r>
      <w:hyperlink r:id="rId106">
        <w:r>
          <w:rPr>
            <w:color w:val="1155CC"/>
            <w:u w:val="single"/>
          </w:rPr>
          <w:t>10.1002/adma.73599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通过将聚合物电极与水性准固体聚合物电解质（AQPE）集成而以纤维形式配置的全聚合物电池代表了安全性和可持续性可穿戴电子产品的一种有前途的解决方案。然而，它们的实际发展受到 AQPE 狭窄的电化学稳定性窗口 (ESW) 和变形下电极-电解质界面的结构不稳定性的限制。在这里，我们提出了一种“网络水”（WIN）电解质，它通过调节聚合物网络的交联密度来精确设计水的活性和动力学。我们出乎意料地发现了一种独特的“水限制”效应，其中水活性表现出对交联密度的非单调依赖性，这源于网络的结构演化。受益于这种机制，ESW显着扩展到3.4 V，使全聚合物钠离子纤维电池的能量密度达到92.4 Wh kg</w:t>
      </w:r>
      <w:r>
        <w:t xml:space="preserve"> </w:t>
      </w:r>
      <w:r>
        <w:t>−1</w:t>
      </w:r>
      <w:r>
        <w:t xml:space="preserve"> </w:t>
      </w:r>
      <w:r>
        <w:t>。至关重要的是，电解质预渗透后的原位界面聚合形成机械联锁的电极-电解质界面，有效抑制水引起的分层，并在 12000 次弯曲循环后保留 78% 的容量。当无缝编织到衬衫中时，纤维电池可为基于织物的化学传感器供电，从而实现各种活动的实时身体健康监测。</w:t>
      </w:r>
    </w:p>
    <w:p>
      <w:pPr>
        <w:spacing w:before="0" w:after="200" w:lineRule="auto" w:line="276"/>
      </w:pPr>
      <w:r>
        <w:rPr>
          <w:b/>
        </w:rPr>
        <w:t xml:space="preserve">Abstract (EN): </w:t>
      </w:r>
      <w:r>
        <w:t>All‐polymer batteries configured in a fibrous form by integrating polymeric electrodes with aqueous quasi‐solid polymer electrolytes (AQPEs) represent a promising solution for wearable electronics with safety and sustainability. However, their practical development is constrained by the narrow electrochemical stability window (ESW) of AQPEs and the structural instability of electrode–electrolyte interfaces under deformation. Here, we present a “water‐in‐network” (WIN) electrolyte that precisely engineers water activity and dynamics by modulating the crosslinking density of the polymer network. We unanticipatedly discover a distinct “water confinement” effect wherein water activity exhibits a non‐monotonic dependence on crosslinking density, originating from the structural evolution of the network. Benefiting from this mechanism, the ESW significantly expands to 3.4 V, endowing an all‐polymer sodium‐ion fiber battery with an energy density of 92.4 Wh kg</w:t>
      </w:r>
      <w:r>
        <w:t xml:space="preserve"> </w:t>
      </w:r>
      <w:r>
        <w:t>−1</w:t>
      </w:r>
      <w:r>
        <w:t xml:space="preserve"> </w:t>
      </w:r>
      <w:r>
        <w:t>. Crucially, in situ interfacial polymerization following electrolyte pre‐infiltration forms a mechanically interlocked electrode–electrolyte interface, effectively suppressing water‐induced delamination and preserving 78% capacity after 12 000 bending cycles.When seamlessly woven into a shirt, the fiber batteries can power the fabric‐based chemical sensor, enabling real‐time, on‐body health monitoring across various activities.</w:t>
      </w:r>
    </w:p>
    <w:p>
      <w:pPr>
        <w:spacing w:before="120" w:after="120"/>
      </w:pPr>
      <w:r>
        <w:rPr>
          <w:sz w:val="18"/>
        </w:rPr>
        <w:t>——————————————————————————————————————————————————————————————————————</w:t>
      </w:r>
    </w:p>
    <w:p>
      <w:pPr>
        <w:spacing w:before="160" w:after="40" w:line="240" w:lineRule="auto"/>
      </w:pPr>
      <w:r>
        <w:rPr>
          <w:b/>
        </w:rPr>
        <w:t xml:space="preserve">[17] </w:t>
      </w:r>
      <w:hyperlink r:id="rId107">
        <w:r>
          <w:rPr>
            <w:color w:val="1155CC"/>
            <w:u w:val="single"/>
          </w:rPr>
          <w:t>通过高介电增塑剂提高单离子导电聚电解质弹性体的离子电导率</w:t>
        </w:r>
      </w:hyperlink>
    </w:p>
    <w:p>
      <w:pPr>
        <w:spacing w:before="0" w:after="80"/>
      </w:pPr>
      <w:r>
        <w:rPr>
          <w:i/>
          <w:sz w:val="20"/>
        </w:rPr>
        <w:t>EN: Boosting ionic conductivity of single-ion conductive polyelectrolyte elastomers via high-dielectric plasticizers</w:t>
      </w:r>
    </w:p>
    <w:p>
      <w:pPr>
        <w:spacing w:before="0" w:after="120"/>
      </w:pPr>
      <w:r>
        <w:rPr>
          <w:b/>
        </w:rPr>
        <w:t xml:space="preserve">Source: </w:t>
      </w:r>
      <w:r>
        <w:t>Nature Materials</w:t>
      </w:r>
      <w:r>
        <w:t xml:space="preserve">    </w:t>
      </w:r>
      <w:r>
        <w:rPr>
          <w:b/>
        </w:rPr>
        <w:t xml:space="preserve">Pub date: </w:t>
      </w:r>
      <w:r>
        <w:t>2026-06-03 00:00:00+00:00</w:t>
      </w:r>
      <w:r>
        <w:t xml:space="preserve">    </w:t>
      </w:r>
      <w:r>
        <w:rPr>
          <w:b/>
        </w:rPr>
        <w:t xml:space="preserve">DOI: </w:t>
      </w:r>
      <w:hyperlink r:id="rId108">
        <w:r>
          <w:rPr>
            <w:color w:val="1155CC"/>
            <w:u w:val="single"/>
          </w:rPr>
          <w:t>10.1038/s41563-026-02604-8</w:t>
        </w:r>
      </w:hyperlink>
    </w:p>
    <w:p>
      <w:pPr>
        <w:spacing w:before="0" w:after="120"/>
      </w:pPr>
      <w:r>
        <w:rPr>
          <w:b/>
        </w:rPr>
        <w:t xml:space="preserve">Notes: </w:t>
      </w:r>
      <w:r>
        <w:t>abstract_source=nature_html</w:t>
      </w:r>
    </w:p>
    <w:p>
      <w:pPr>
        <w:spacing w:before="0" w:after="80" w:lineRule="auto" w:line="276"/>
      </w:pPr>
      <w:r>
        <w:rPr>
          <w:b/>
        </w:rPr>
        <w:t xml:space="preserve">摘要（ZH）: </w:t>
      </w:r>
      <w:r>
        <w:t>离子传导在生物系统、能量存储和离子电子器件中发挥着至关重要的作用。聚电解质弹性体作为固态单离子导体，由于其固有的离子选择性、无泄漏性质和机械弹性而引起了越来越多的关注。然而，现有的聚电解质弹性体具有相对较低的离子电导率（~10−3 mS cm−1），限制了它们作为高效离子导体的应用。在这里，我们提出了一种材料设计方法，通过引入固态添加剂来提高电导率并保持无泄漏操作，该添加剂结合了两个关键特性：高介电常数以增加离解离子密度 (n" role="presentation"&gt;nn) 和塑化效应以增强离子迁移率 (μ" role="presentation"&gt;μ\mu)。通过丁二腈的证明，这种方法在室温下将聚阳离子和聚阴离子系统的电导率提高了两个数量级以上，进一步增强了弹性。通过提高不同聚电解质网络的电导率，这项工作展示了一种为下一代固态单离子导体实现稳定和高效离子传输的通用途径。</w:t>
      </w:r>
    </w:p>
    <w:p>
      <w:pPr>
        <w:spacing w:before="0" w:after="200" w:lineRule="auto" w:line="276"/>
      </w:pPr>
      <w:r>
        <w:rPr>
          <w:b/>
        </w:rPr>
        <w:t xml:space="preserve">Abstract (EN): </w:t>
      </w:r>
      <w:r>
        <w:t>Ionic conduction plays a vital role in biological systems, energy storage and ionotronic devices. Polyelectrolyte elastomers have attracted growing interest as solid-state single-ion conductors due to their inherent ion selectivity, leakage-free nature and mechanical elasticity. However, existing polyelectrolyte elastomers have relatively low ionic conductivity (~10−3 mS cm−1), limiting their applicability as efficient ionic conductors. Here we present a materials design approach that boosts conductivity and preserves leakage-free operation by introducing a solid-state additive that combines two key characteristics: a high dielectric constant to increase dissociated ion density (n" role="presentation"&gt;nn) and a plasticizing effect to enhance ion mobility (&amp;#x03BC;" role="presentation"&gt;μ\mu). Demonstrated with succinonitrile, this approach increases conductivity by over two orders of magnitude at room temperature across both polycationic and polyanionic systems, further enhancing elasticity. By elevating conductivity across diverse polyelectrolyte networks, this work demonstrates a versatile route to achieve stable and efficient ion transport for next-generation solid-state single-ion conductors.</w:t>
      </w:r>
    </w:p>
    <w:p>
      <w:pPr>
        <w:spacing w:before="120" w:after="120"/>
      </w:pPr>
      <w:r>
        <w:rPr>
          <w:sz w:val="18"/>
        </w:rPr>
        <w:t>——————————————————————————————————————————————————————————————————————</w:t>
      </w:r>
    </w:p>
    <w:p>
      <w:pPr>
        <w:spacing w:before="160" w:after="40" w:line="240" w:lineRule="auto"/>
      </w:pPr>
      <w:r>
        <w:rPr>
          <w:b/>
        </w:rPr>
        <w:t xml:space="preserve">[18] </w:t>
      </w:r>
      <w:hyperlink r:id="rId57">
        <w:r>
          <w:rPr>
            <w:color w:val="1155CC"/>
            <w:u w:val="single"/>
          </w:rPr>
          <w:t>解锁镁电池中的 Mg2+ 传输：芳香结构和系统协同设计</w:t>
        </w:r>
      </w:hyperlink>
    </w:p>
    <w:p>
      <w:pPr>
        <w:spacing w:before="0" w:after="80"/>
      </w:pPr>
      <w:r>
        <w:rPr>
          <w:i/>
          <w:sz w:val="20"/>
        </w:rPr>
        <w:t>EN: Unlocking Mg2+ Transport in Magnesium Batteries: Aromatic Architectures and Systemic Co‐Design</w:t>
      </w:r>
    </w:p>
    <w:p>
      <w:pPr>
        <w:spacing w:before="0" w:after="120"/>
      </w:pPr>
      <w:r>
        <w:rPr>
          <w:b/>
        </w:rPr>
        <w:t xml:space="preserve">Source: </w:t>
      </w:r>
      <w:r>
        <w:t>Wiley: Advanced Energy Materials: Table of Contents</w:t>
      </w:r>
      <w:r>
        <w:t xml:space="preserve">    </w:t>
      </w:r>
      <w:r>
        <w:rPr>
          <w:b/>
        </w:rPr>
        <w:t xml:space="preserve">Pub date: </w:t>
      </w:r>
      <w:r>
        <w:t>2026-06-03 05:30:46+00:00</w:t>
      </w:r>
      <w:r>
        <w:t xml:space="preserve">    </w:t>
      </w:r>
      <w:r>
        <w:rPr>
          <w:b/>
        </w:rPr>
        <w:t xml:space="preserve">DOI: </w:t>
      </w:r>
      <w:hyperlink r:id="rId58">
        <w:r>
          <w:rPr>
            <w:color w:val="1155CC"/>
            <w:u w:val="single"/>
          </w:rPr>
          <w:t>10.1002/aenm.71163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镁电池作为后锂储能系统引起了人们的兴趣，因为镁金属具有高体积容量、在许多条件下无枝晶沉积以及有利的元素丰度。然而，它们的实际发展仍然受到镁含量低迷的限制。</w:t>
      </w:r>
      <w:r>
        <w:t xml:space="preserve"> </w:t>
      </w:r>
      <w:r>
        <w:t>2+</w:t>
      </w:r>
      <w:r>
        <w:t xml:space="preserve"> </w:t>
      </w:r>
      <w:r>
        <w:t>跨长度尺度的传输，包括界面离子去溶剂化和固态扩散。在此背景下，芳香族化合物已成为镁电池设计的平台，不仅因为它们提供氧化还原活性基序，还因为它们的低电负性框架、离域π电子系统和分子可编程性可以减轻局部静电捕获并调节镁</w:t>
      </w:r>
      <w:r>
        <w:t xml:space="preserve"> </w:t>
      </w:r>
      <w:r>
        <w:t>2+</w:t>
      </w:r>
      <w:r>
        <w:t xml:space="preserve"> </w:t>
      </w:r>
      <w:r>
        <w:t>迁移途径。本综述从三个相互关联的角度讨论了芳香族化学如何解决镁电池的关键瓶颈：阴极设计、阳极相间工程和电解质兼容性。特别强调基于苝二酰亚胺（PDI）的系统，它提供了一个罕见的模型平台，其中分子结构、共轭模式、空间畸变、离子可接近的几何结构和存储机制都可以被有意地调整。我们进一步讨论了用于镁金属保护的芳香族人工界面相，包括富勒烯衍生的网络作为机械说明性示例，并分析了电解质化学如何控制存储物种、界面相容性和活性材料状态</w:t>
      </w:r>
    </w:p>
    <w:p>
      <w:pPr>
        <w:spacing w:before="0" w:after="200" w:lineRule="auto" w:line="276"/>
      </w:pPr>
      <w:r>
        <w:rPr>
          <w:b/>
        </w:rPr>
        <w:t xml:space="preserve">Abstract (EN): </w:t>
      </w:r>
      <w:r>
        <w:t>Magnesium batteries have attracted interest as post‐lithium energy‐storage systems because Mg metal offers high volumetric capacity, dendrite‐free deposition under many conditions, and favorable elemental abundance. However, their practical development remains limited by sluggish Mg</w:t>
      </w:r>
      <w:r>
        <w:t xml:space="preserve"> </w:t>
      </w:r>
      <w:r>
        <w:t>2+</w:t>
      </w:r>
      <w:r>
        <w:t xml:space="preserve"> </w:t>
      </w:r>
      <w:r>
        <w:t>transport across length scales, including interfacial ion desolvation and solid‐state diffusion. Against this backdrop, aromatic compounds have emerged as a platform for magnesium‐battery design, not simply because they provide redox‐active motifs, but because their low‐electronegativity frameworks, delocalized π‐electron systems, and molecular programmability can mitigate localized electrostatic trapping and regulate Mg</w:t>
      </w:r>
      <w:r>
        <w:t xml:space="preserve"> </w:t>
      </w:r>
      <w:r>
        <w:t>2+</w:t>
      </w:r>
      <w:r>
        <w:t xml:space="preserve"> </w:t>
      </w:r>
      <w:r>
        <w:t>migration pathways. This review discusses how aromatic chemistry can address the key bottlenecks of magnesium batteries from three interconnected perspectives: cathode design, anode interphase engineering, and electrolyte compatibility. Particular emphasis is placed on perylene diimide (PDI)‐based systems, which provide a rare model platform in which molecular structure, conjugation mode, steric distortion, ion‐accessible geometry, and storage mechanism can all be deliberately tuned. We further discuss aromatic artificial interphases for Mg‐metal protection, including fullerene‐derived networks as mechanistically illustrative examples, and analyze how electrolyte chemistry governs storage species, interfacial compatibility, and active‐material stability. Rather than treating cathodes, anodes, and electrolytes as isolated components, this review emphasizes mechanism‐oriented co‐design and critically assesses the limitations of aromatic materials for magnesium batteries.</w:t>
      </w:r>
    </w:p>
    <w:p>
      <w:pPr>
        <w:spacing w:before="120" w:after="120"/>
      </w:pPr>
      <w:r>
        <w:rPr>
          <w:sz w:val="18"/>
        </w:rPr>
        <w:t>——————————————————————————————————————————————————————————————————————</w:t>
      </w:r>
    </w:p>
    <w:p>
      <w:pPr>
        <w:spacing w:before="160" w:after="40" w:line="240" w:lineRule="auto"/>
      </w:pPr>
      <w:r>
        <w:rPr>
          <w:b/>
        </w:rPr>
        <w:t xml:space="preserve">[19] </w:t>
      </w:r>
      <w:hyperlink r:id="rId109">
        <w:r>
          <w:rPr>
            <w:color w:val="1155CC"/>
            <w:u w:val="single"/>
          </w:rPr>
          <w:t>通过原位同步加速器 X 射线散射揭示超离子卤氧化物导体中桥接氧驱动的超快非晶化</w:t>
        </w:r>
      </w:hyperlink>
    </w:p>
    <w:p>
      <w:pPr>
        <w:spacing w:before="0" w:after="80"/>
      </w:pPr>
      <w:r>
        <w:rPr>
          <w:i/>
          <w:sz w:val="20"/>
        </w:rPr>
        <w:t>EN: Unraveling Bridging‐Oxygen‐Driven Ultrafast Amorphization in Superionic Oxyhalide Conductors via in Situ Synchrotron X‐Ray Scattering</w:t>
      </w:r>
    </w:p>
    <w:p>
      <w:pPr>
        <w:spacing w:before="0" w:after="120"/>
      </w:pPr>
      <w:r>
        <w:rPr>
          <w:b/>
        </w:rPr>
        <w:t xml:space="preserve">Source: </w:t>
      </w:r>
      <w:r>
        <w:t>Wiley: Angewandte Chemie International Edition: Table of Contents</w:t>
      </w:r>
      <w:r>
        <w:t xml:space="preserve">    </w:t>
      </w:r>
      <w:r>
        <w:rPr>
          <w:b/>
        </w:rPr>
        <w:t xml:space="preserve">Pub date: </w:t>
      </w:r>
      <w:r>
        <w:t>2026-06-03 06:58:10+00:00</w:t>
      </w:r>
      <w:r>
        <w:t xml:space="preserve">    </w:t>
      </w:r>
      <w:r>
        <w:rPr>
          <w:b/>
        </w:rPr>
        <w:t xml:space="preserve">DOI: </w:t>
      </w:r>
      <w:hyperlink r:id="rId110">
        <w:r>
          <w:rPr>
            <w:color w:val="1155CC"/>
            <w:u w:val="single"/>
          </w:rPr>
          <w:t>10.1002/anie.7867809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性能固体电解质（SE）的耗时耗能的机械化学合成仍然是全固态电池规模化的关键瓶颈。尽管人们认识到结构中的氧掺入是开发高性能卤化物SE的可行策略，但对结构中的氧如何调节合成动力学、局部结构和离子传输的系统研究却很少。在此，我们报道了无定形卤氧化物NaTaOCl的合成</w:t>
      </w:r>
      <w:r>
        <w:rPr>
          <w:vertAlign w:val="subscript"/>
        </w:rPr>
        <w:t>4</w:t>
      </w:r>
      <w:r>
        <w:t>作为一个模型系统，通过分钟级球磨实现，比传统 NaTaCl 的多日合成有了显着改进</w:t>
      </w:r>
      <w:r>
        <w:rPr>
          <w:vertAlign w:val="subscript"/>
        </w:rPr>
        <w:t>6</w:t>
      </w:r>
      <w:r>
        <w:t>。互补的结构表征和从头算分子动力学 (AIMD) 模拟表明，低配位桥接氧主导的 Ta−O−Cl 环境会引起大量的晶格畸变，从而实现超快非晶化。时间分辨原位同步加速器 X 射线散射实验揭示了不同的反应途径：NaTaOCl</w:t>
      </w:r>
      <w:r>
        <w:rPr>
          <w:vertAlign w:val="subscript"/>
        </w:rPr>
        <w:t>4</w:t>
      </w:r>
      <w:r>
        <w:t>前体快速碎裂成亚稳态中间体，然后桥接氧驱动无定形形成，而 NaTaCl</w:t>
      </w:r>
      <w:r>
        <w:rPr>
          <w:vertAlign w:val="subscript"/>
        </w:rPr>
        <w:t>6</w:t>
      </w:r>
      <w:r>
        <w:t>在长时间的非晶化之前经历适度的结晶过程。通过将此设计扩展到一系列混合阴离子卤氧化物，我们建立了一种通用的快速合成策略。例如，Na2O</w:t>
      </w:r>
      <w:r>
        <w:t xml:space="preserve"> </w:t>
      </w:r>
      <w:r>
        <w:t>0.5</w:t>
      </w:r>
    </w:p>
    <w:p>
      <w:pPr>
        <w:spacing w:before="0" w:after="200" w:lineRule="auto" w:line="276"/>
      </w:pPr>
      <w:r>
        <w:rPr>
          <w:b/>
        </w:rPr>
        <w:t xml:space="preserve">Abstract (EN): </w:t>
      </w:r>
      <w:r>
        <w:t>The energy‐ and time‐consuming mechanochemical synthesis of high‐performance solid electrolytes (SEs) remains a critical bottleneck for the scaling of all‐solid‐state batteries. Despite the recognition that oxygen incorporation in structure serves as a viable strategy to develop high‐performance halide SEs, systematic investigations into how oxygen in structure modulates synthesis kinetics, local structure, and ion transport are scarce. Herein, we report the synthesis of amorphous oxyhalide NaTaOCl</w:t>
      </w:r>
      <w:r>
        <w:rPr>
          <w:vertAlign w:val="subscript"/>
        </w:rPr>
        <w:t>4</w:t>
      </w:r>
      <w:r>
        <w:t>as a model system, achieved via minute‐scale ball milling, a dramatic improvement over the multi‐day synthesis of conventional NaTaCl</w:t>
      </w:r>
      <w:r>
        <w:rPr>
          <w:vertAlign w:val="subscript"/>
        </w:rPr>
        <w:t>6</w:t>
      </w:r>
      <w:r>
        <w:t>. Complementary structural characterizations and ab initio molecular dynamics (AIMD) simulations demonstrate that, low‐coordinated bridging‐oxygen‐dominated Ta−O−Cl environments induce substantial lattice distortions, enabling ultrafast amorphization. Time‐resolved in situ synchrotron x‐ray scattering experiments reveal distinct reaction pathways: NaTaOCl</w:t>
      </w:r>
      <w:r>
        <w:rPr>
          <w:vertAlign w:val="subscript"/>
        </w:rPr>
        <w:t>4</w:t>
      </w:r>
      <w:r>
        <w:t>undergoes rapid fragmentation of precursors into metastable intermediates followed by bridging‐oxygen‐driven amorphous formation, whereas NaTaCl</w:t>
      </w:r>
      <w:r>
        <w:rPr>
          <w:vertAlign w:val="subscript"/>
        </w:rPr>
        <w:t>6</w:t>
      </w:r>
      <w:r>
        <w:t>experiences a moderate crystallization process prior to prolonged amorphization. By extending this design to a series of mixed‑anion oxyhalides, we establish a universal rapid synthesis strategy. For instance, NaTaO</w:t>
      </w:r>
      <w:r>
        <w:t xml:space="preserve"> </w:t>
      </w:r>
      <w:r>
        <w:t>0.5</w:t>
      </w:r>
      <w:r>
        <w:t xml:space="preserve"> </w:t>
      </w:r>
      <w:r>
        <w:t>Cl</w:t>
      </w:r>
      <w:r>
        <w:rPr>
          <w:vertAlign w:val="subscript"/>
        </w:rPr>
        <w:t>5</w:t>
      </w:r>
      <w:r>
        <w:t>exhibits high ionic conductivities of 3.39 mS cm</w:t>
      </w:r>
      <w:r>
        <w:t xml:space="preserve"> </w:t>
      </w:r>
      <w:r>
        <w:t>−1</w:t>
      </w:r>
      <w:r>
        <w:t xml:space="preserve"> </w:t>
      </w:r>
      <w:r>
        <w:t>after only 30 min of ball‐milling. This work establishes a strategy that employs oxygen as a structural bridging‐agent to develop high‐conductivity SEs and provides atomic‐scale insights into ultrafast mechanochemical reaction.</w:t>
      </w:r>
    </w:p>
    <w:p>
      <w:pPr>
        <w:spacing w:before="120" w:after="120"/>
      </w:pPr>
      <w:r>
        <w:rPr>
          <w:sz w:val="18"/>
        </w:rPr>
        <w:t>——————————————————————————————————————————————————————————————————————</w:t>
      </w:r>
    </w:p>
    <w:p>
      <w:pPr>
        <w:spacing w:before="160" w:after="40" w:line="240" w:lineRule="auto"/>
      </w:pPr>
      <w:r>
        <w:rPr>
          <w:b/>
        </w:rPr>
        <w:t xml:space="preserve">[20] </w:t>
      </w:r>
      <w:hyperlink r:id="rId111">
        <w:r>
          <w:rPr>
            <w:color w:val="1155CC"/>
            <w:u w:val="single"/>
          </w:rPr>
          <w:t>用于无堆压全固态微电池的结构可编程固体电解质</w:t>
        </w:r>
      </w:hyperlink>
    </w:p>
    <w:p>
      <w:pPr>
        <w:spacing w:before="0" w:after="80"/>
      </w:pPr>
      <w:r>
        <w:rPr>
          <w:i/>
          <w:sz w:val="20"/>
        </w:rPr>
        <w:t>EN: Structure-programmable solid electrolytes for stack-pressure-free all-solid-state micro-batteries</w:t>
      </w:r>
    </w:p>
    <w:p>
      <w:pPr>
        <w:spacing w:before="0" w:after="120"/>
      </w:pPr>
      <w:r>
        <w:rPr>
          <w:b/>
        </w:rPr>
        <w:t xml:space="preserve">Source: </w:t>
      </w:r>
      <w:r>
        <w:t>National Science Review Advance Access</w:t>
      </w:r>
      <w:r>
        <w:t xml:space="preserve">    </w:t>
      </w:r>
      <w:r>
        <w:rPr>
          <w:b/>
        </w:rPr>
        <w:t xml:space="preserve">Pub date: </w:t>
      </w:r>
      <w:r>
        <w:t>2026-06-04 00:00:00+00:00</w:t>
      </w:r>
      <w:r>
        <w:t xml:space="preserve">    </w:t>
      </w:r>
      <w:r>
        <w:rPr>
          <w:b/>
        </w:rPr>
        <w:t xml:space="preserve">DOI: </w:t>
      </w:r>
      <w:hyperlink r:id="rId112">
        <w:r>
          <w:rPr>
            <w:color w:val="1155CC"/>
            <w:u w:val="single"/>
          </w:rPr>
          <w:t>10.1093/nsr/nwag345</w:t>
        </w:r>
      </w:hyperlink>
    </w:p>
    <w:p>
      <w:pPr>
        <w:spacing w:before="0" w:after="120"/>
      </w:pPr>
      <w:r>
        <w:rPr>
          <w:b/>
        </w:rPr>
        <w:t xml:space="preserve">Notes: </w:t>
      </w:r>
      <w:r>
        <w:t>abstract_source=crossref</w:t>
      </w:r>
    </w:p>
    <w:p>
      <w:pPr>
        <w:spacing w:before="0" w:after="80" w:lineRule="auto" w:line="276"/>
      </w:pPr>
      <w:r>
        <w:rPr>
          <w:b/>
        </w:rPr>
        <w:t xml:space="preserve">摘要（ZH）: </w:t>
      </w:r>
      <w:r>
        <w:t>结构编程能够将固体电解质合理构建成能够进行应力调节、定向离子传输调制和界面稳定的架构框架，从而允许集成在微系统内的全固态微电池的无堆压运行。</w:t>
      </w:r>
    </w:p>
    <w:p>
      <w:pPr>
        <w:spacing w:before="0" w:after="200" w:lineRule="auto" w:line="276"/>
      </w:pPr>
      <w:r>
        <w:rPr>
          <w:b/>
        </w:rPr>
        <w:t xml:space="preserve">Abstract (EN): </w:t>
      </w:r>
      <w:r>
        <w:t>Structural programming enables the rational construction of solid electrolytes into architected frameworks capable of stress regulation, directional ion transport modulation, and interfacial stabilization, thereby allowing stack-pressure-free operation of all-solid-state microbatteries integrated within microsystems.</w:t>
      </w:r>
    </w:p>
    <w:p>
      <w:pPr>
        <w:spacing w:before="120" w:after="120"/>
      </w:pPr>
      <w:r>
        <w:rPr>
          <w:sz w:val="18"/>
        </w:rPr>
        <w:t>——————————————————————————————————————————————————————————————————————</w:t>
      </w:r>
    </w:p>
    <w:p>
      <w:pPr>
        <w:spacing w:before="160" w:after="40" w:line="240" w:lineRule="auto"/>
      </w:pPr>
      <w:r>
        <w:rPr>
          <w:b/>
        </w:rPr>
        <w:t xml:space="preserve">[21] </w:t>
      </w:r>
      <w:hyperlink r:id="rId65">
        <w:r>
          <w:rPr>
            <w:color w:val="1155CC"/>
            <w:u w:val="single"/>
          </w:rPr>
          <w:t>共插溶剂的分解是双离子电池中石墨阴极失效的被忽视的驱动因素</w:t>
        </w:r>
      </w:hyperlink>
    </w:p>
    <w:p>
      <w:pPr>
        <w:spacing w:before="0" w:after="80"/>
      </w:pPr>
      <w:r>
        <w:rPr>
          <w:i/>
          <w:sz w:val="20"/>
        </w:rPr>
        <w:t>EN: Decomposition of Co‐Intercalated Solvents as the Overlooked Driver of Graphite Cathode Failure in Dual‐Ion Batteries</w:t>
      </w:r>
    </w:p>
    <w:p>
      <w:pPr>
        <w:spacing w:before="0" w:after="120"/>
      </w:pPr>
      <w:r>
        <w:rPr>
          <w:b/>
        </w:rPr>
        <w:t xml:space="preserve">Source: </w:t>
      </w:r>
      <w:r>
        <w:t>Wiley: Advanced Energy Materials: Table of Contents</w:t>
      </w:r>
      <w:r>
        <w:t xml:space="preserve">    </w:t>
      </w:r>
      <w:r>
        <w:rPr>
          <w:b/>
        </w:rPr>
        <w:t xml:space="preserve">Pub date: </w:t>
      </w:r>
      <w:r>
        <w:t>2026-06-04 07:43:34+00:00</w:t>
      </w:r>
      <w:r>
        <w:t xml:space="preserve">    </w:t>
      </w:r>
      <w:r>
        <w:rPr>
          <w:b/>
        </w:rPr>
        <w:t xml:space="preserve">DOI: </w:t>
      </w:r>
      <w:hyperlink r:id="rId66">
        <w:r>
          <w:rPr>
            <w:color w:val="1155CC"/>
            <w:u w:val="single"/>
          </w:rPr>
          <w:t>10.1002/aenm.71132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石墨阴极中的阴离子嵌入可实现高功率、高电压和低成本的双离子电池（DIB）。然而，循环过程中不可逆的石墨剥落会逐渐降低电接触性能，这种现象普遍存在的故障模型归因于阴离子嵌入（脱嵌）过程中的巨大体积变化。在这里，我们揭示了共插溶剂的不可逆分解构成了剥落和随后的电连接损失的关键但被忽视的驱动因素。电位依赖性</w:t>
      </w:r>
      <w:r>
        <w:t xml:space="preserve"> </w:t>
      </w:r>
      <w:r>
        <w:t>操作</w:t>
      </w:r>
      <w:r>
        <w:t xml:space="preserve"> </w:t>
      </w:r>
      <w:r>
        <w:t>跟踪揭示了共插溶剂（例如碳酸甲乙酯 (EMC)）在高于 4.9 V（相对于 Li/Li）时分解</w:t>
      </w:r>
      <w:r>
        <w:t xml:space="preserve"> </w:t>
      </w:r>
      <w:r>
        <w:t>+</w:t>
      </w:r>
      <w:r>
        <w:t xml:space="preserve"> </w:t>
      </w:r>
      <w:r>
        <w:t>在有限的画廊空间里。该过程产生气体产物，引起局部应力不均匀性，直接引发剥落。根据这一修改后的机制，我们重新审视了氟代碳酸亚乙酯（FEC）在提高石墨阴极可逆性方面的作用，并证明它通过抑制溶剂共嵌入来发挥作用，这与之前所持有的保护性界面形成的观点相反。因此，通过阐明失效途径，我们的工作将溶剂排除确定为 DIB 中高压石墨阴极的关键设计原则。</w:t>
      </w:r>
    </w:p>
    <w:p>
      <w:pPr>
        <w:spacing w:before="0" w:after="200" w:lineRule="auto" w:line="276"/>
      </w:pPr>
      <w:r>
        <w:rPr>
          <w:b/>
        </w:rPr>
        <w:t xml:space="preserve">Abstract (EN): </w:t>
      </w:r>
      <w:r>
        <w:t>Anion‐intercalation in graphite cathodes enables high‐power, high‐voltage, and low‐cost dual‐ion batteries (DIBs). However, irreversible graphite exfoliation during cycling progressively degrades electrical contacts, a phenomenon that prevailing failure models attribute to substantial volume variations during anion (de)intercalation. Here, we reveal that the irreversible decomposition of co‐intercalated solvents constitutes the critical, yet overlooked driver of exfoliation and the subsequent loss of electrical connectivity. Potential‐dependent</w:t>
      </w:r>
      <w:r>
        <w:t xml:space="preserve"> </w:t>
      </w:r>
      <w:r>
        <w:t>operando</w:t>
      </w:r>
      <w:r>
        <w:t xml:space="preserve"> </w:t>
      </w:r>
      <w:r>
        <w:t>tracking unveils that co‐intercalated solvents such as ethyl methyl carbonate (EMC) decompose above 4.9 V vs. Li/Li</w:t>
      </w:r>
      <w:r>
        <w:t xml:space="preserve"> </w:t>
      </w:r>
      <w:r>
        <w:t>+</w:t>
      </w:r>
      <w:r>
        <w:t xml:space="preserve"> </w:t>
      </w:r>
      <w:r>
        <w:t>in the confined gallery space. This process generates gaseous products that induce localized stress heterogeneity, directly triggering exfoliation. In light of this revised mechanism, we revisit the role of fluoroethylene carbonate (FEC) in improving graphite cathode reversibility, and demonstrate that it functions by inhibiting solvent co‐intercalation, contrary to the previously held belief of protective interphase formation. Thus, by clarifying the failure pathway, our work identifies solvent exclusion as a key design principle for high‐voltage graphite cathodes in DIBs.</w:t>
      </w:r>
    </w:p>
    <w:p>
      <w:pPr>
        <w:spacing w:before="120" w:after="120"/>
      </w:pPr>
      <w:r>
        <w:rPr>
          <w:sz w:val="18"/>
        </w:rPr>
        <w:t>——————————————————————————————————————————————————————————————————————</w:t>
      </w:r>
    </w:p>
    <w:p>
      <w:pPr>
        <w:spacing w:before="160" w:after="40" w:line="240" w:lineRule="auto"/>
      </w:pPr>
      <w:r>
        <w:rPr>
          <w:b/>
        </w:rPr>
        <w:t xml:space="preserve">[22] </w:t>
      </w:r>
      <w:hyperlink r:id="rId113">
        <w:r>
          <w:rPr>
            <w:color w:val="1155CC"/>
            <w:u w:val="single"/>
          </w:rPr>
          <w:t>非晶态卤氧化物固态导体中碱离子传输机制</w:t>
        </w:r>
      </w:hyperlink>
    </w:p>
    <w:p>
      <w:pPr>
        <w:spacing w:before="0" w:after="80"/>
      </w:pPr>
      <w:r>
        <w:rPr>
          <w:i/>
          <w:sz w:val="20"/>
        </w:rPr>
        <w:t>EN: Mechanisms of Alkali Ionic Transport in Amorphous Oxyhalides Solid State Conductors</w:t>
      </w:r>
    </w:p>
    <w:p>
      <w:pPr>
        <w:spacing w:before="0" w:after="120"/>
      </w:pPr>
      <w:r>
        <w:rPr>
          <w:b/>
        </w:rPr>
        <w:t xml:space="preserve">Source: </w:t>
      </w:r>
      <w:r>
        <w:t>Wiley: Advanced Energy Materials: Table of Contents</w:t>
      </w:r>
      <w:r>
        <w:t xml:space="preserve">    </w:t>
      </w:r>
      <w:r>
        <w:rPr>
          <w:b/>
        </w:rPr>
        <w:t xml:space="preserve">Pub date: </w:t>
      </w:r>
      <w:r>
        <w:t>2026-06-04 07:45:29+00:00</w:t>
      </w:r>
      <w:r>
        <w:t xml:space="preserve">    </w:t>
      </w:r>
      <w:r>
        <w:rPr>
          <w:b/>
        </w:rPr>
        <w:t xml:space="preserve">DOI: </w:t>
      </w:r>
      <w:hyperlink r:id="rId114">
        <w:r>
          <w:rPr>
            <w:color w:val="1155CC"/>
            <w:u w:val="single"/>
          </w:rPr>
          <w:t>10.1002/aenm.71124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无定形卤氧化物由于其相对较高的离子电导率（1 mS）、优异的化学稳定性、机械柔软性以及通过标准固态反应的简便合成路线而引起了广泛关注。这些材料表现出的离子电导率几乎与基础化学无关，这与晶体导体中的情况形成鲜明对比。在这项工作中，我们利用机器学习原子间势来构建涵盖数百纳秒的大规模分子动力学轨迹，以获得统计上收敛的传输特性。我们发现非晶态由不同长度的金属阴离子四面体的链片段组成。通过分析碱金属阳离子在四面体配位金属周围迁移的停留时间，我们发现氧阴离子限制碱扩散。通过计算离子电导率的完整爱因斯坦表达式，我们证明这些材料的碱迁移数受到不同粒子相关性的强烈影响，而碱传输则由不相关的自扩散决定。通过将此分析扩展到化学成分，涵盖不同的碱性（= Li、Na、K）、金属（= Al、Ga、In）和卤素（= Cl、Br、I）物质，我们阐明了为什么这些材料的扩散特性在很大程度上对原子等价化学的变化不敏感。</w:t>
      </w:r>
    </w:p>
    <w:p>
      <w:pPr>
        <w:spacing w:before="0" w:after="200" w:lineRule="auto" w:line="276"/>
      </w:pPr>
      <w:r>
        <w:rPr>
          <w:b/>
        </w:rPr>
        <w:t xml:space="preserve">Abstract (EN): </w:t>
      </w:r>
      <w:r>
        <w:t>Amorphous oxyhalides have attracted significant attention due to their relatively high ionic conductivity (1 mS ), excellent chemical stability, mechanical softness, and facile synthesis routes via standard solid‐state reactions. These materials exhibit an ionic conductivity that is almost independent of the underlying chemistry, in stark contrast to what occurs in crystalline conductors. In this work, we employ machine learning interatomic potentials to construct large‐scale molecular dynamics trajectories encompassing hundreds of nanoseconds to obtain statistically converged transport properties. We find that the amorphous state consists of chain fragments of metal‐anion tetrahedra of various lengths. By analyzing the residence time of alkali cations migrating around tetrahedrally‐coordinated metals, we find that oxygen anions limit alkali diffusion. By computing the full Einstein expression of the ionic conductivity, we demonstrate that the alkali transference number of these materials is strongly influenced by distinct‐particles correlations, while alkali transport is dictated by uncorrelated self‐diffusion. By extending this analysis to chemical compositions , spanning different alkaline ( = Li, Na, K), metallic ( = Al, Ga, In), and halogen ( = Cl, Br, I) species, we clarify why the diffusion properties of these materials remain largely insensitive to variations in atomic isovalent chemistry.</w:t>
      </w:r>
    </w:p>
    <w:p>
      <w:pPr>
        <w:spacing w:before="120" w:after="120"/>
      </w:pPr>
      <w:r>
        <w:rPr>
          <w:sz w:val="18"/>
        </w:rPr>
        <w:t>——————————————————————————————————————————————————————————————————————</w:t>
      </w:r>
    </w:p>
    <w:p>
      <w:pPr>
        <w:spacing w:before="160" w:after="40" w:line="240" w:lineRule="auto"/>
      </w:pPr>
      <w:r>
        <w:rPr>
          <w:b/>
        </w:rPr>
        <w:t xml:space="preserve">[23] </w:t>
      </w:r>
      <w:hyperlink r:id="rId89">
        <w:r>
          <w:rPr>
            <w:color w:val="1155CC"/>
            <w:u w:val="single"/>
          </w:rPr>
          <w:t>通过不对称醚工程溶剂-阴离子相互作用用于 200 Wh Kg−1 低温无阳极钠软包电池</w:t>
        </w:r>
      </w:hyperlink>
    </w:p>
    <w:p>
      <w:pPr>
        <w:spacing w:before="0" w:after="80"/>
      </w:pPr>
      <w:r>
        <w:rPr>
          <w:i/>
          <w:sz w:val="20"/>
        </w:rPr>
        <w:t>EN: Engineering Solvent–Anion Interactions via Asymmetric Ethers for 200 Wh Kg−1 Low‐Temperature Anode‐Free Sodium Pouch Cells</w:t>
      </w:r>
    </w:p>
    <w:p>
      <w:pPr>
        <w:spacing w:before="0" w:after="120"/>
      </w:pPr>
      <w:r>
        <w:rPr>
          <w:b/>
        </w:rPr>
        <w:t xml:space="preserve">Source: </w:t>
      </w:r>
      <w:r>
        <w:t>Wiley: Angewandte Chemie International Edition: Table of Contents</w:t>
      </w:r>
      <w:r>
        <w:t xml:space="preserve">    </w:t>
      </w:r>
      <w:r>
        <w:rPr>
          <w:b/>
        </w:rPr>
        <w:t xml:space="preserve">Pub date: </w:t>
      </w:r>
      <w:r>
        <w:t>2026-06-04 16:25:20+00:00</w:t>
      </w:r>
      <w:r>
        <w:t xml:space="preserve">    </w:t>
      </w:r>
      <w:r>
        <w:rPr>
          <w:b/>
        </w:rPr>
        <w:t xml:space="preserve">DOI: </w:t>
      </w:r>
      <w:hyperlink r:id="rId90">
        <w:r>
          <w:rPr>
            <w:color w:val="1155CC"/>
            <w:u w:val="single"/>
          </w:rPr>
          <w:t>10.1002/anie.3780082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高度可逆的钠沉积/剥离对于低温无阳极钠金属电池（LT-AFSMB）的稳定运行至关重要，但同时实现超高库仑效率（CE）和长期耐久性以及高能量密度仍然是一个艰巨的挑战。在这里，通过调节分子侧链，我们设计了一种不对称链状醚溶剂，可以优雅地平衡弱Na</w:t>
      </w:r>
      <w:r>
        <w:t xml:space="preserve"> </w:t>
      </w:r>
      <w:r>
        <w:t>+</w:t>
      </w:r>
      <w:r>
        <w:t xml:space="preserve"> </w:t>
      </w:r>
      <w:r>
        <w:t>‐偶极子和强阴离子偶极子相互作用。这种合理定制的电解质可产生富含阴离子的Na</w:t>
      </w:r>
      <w:r>
        <w:t xml:space="preserve"> </w:t>
      </w:r>
      <w:r>
        <w:t>+</w:t>
      </w:r>
      <w:r>
        <w:t xml:space="preserve"> </w:t>
      </w:r>
      <w:r>
        <w:t>配位环境，显着降低了去溶剂化势垒，并驱动形成具有快速界面动力学的强大的阴离子衍生固体电解质界面。因此，经过优化的电解液在 -20°C 下经过 500 次循环后，平均 CE 达到前所未有的 99.96%。值得注意的是，即使在超高阴极负载（28.05 mg cm</w:t>
      </w:r>
      <w:r>
        <w:t xml:space="preserve"> </w:t>
      </w:r>
      <w:r>
        <w:t>−2</w:t>
      </w:r>
      <w:r>
        <w:t xml:space="preserve"> </w:t>
      </w:r>
      <w:r>
        <w:t>）和面积容量（2.48 mAh cm</w:t>
      </w:r>
      <w:r>
        <w:t xml:space="preserve"> </w:t>
      </w:r>
      <w:r>
        <w:t>−2</w:t>
      </w:r>
      <w:r>
        <w:t xml:space="preserve"> </w:t>
      </w:r>
      <w:r>
        <w:t>），LT-AFSMB 在 -20°C 下经过 600 个循环后仍保留其初始容量的 85.9%。此外，实用的Ah级无阳极软包电池表现出300次循环的稳定运行，产生超过200 Wh kg的高能量密度</w:t>
      </w:r>
      <w:r>
        <w:t xml:space="preserve"> </w:t>
      </w:r>
      <w:r>
        <w:t>−1</w:t>
      </w:r>
      <w:r>
        <w:t xml:space="preserve"> </w:t>
      </w:r>
      <w:r>
        <w:t>（基于整个软包电池的质量）。这种范式转变的溶剂化策略提供了一个高度可行和可扩展的蓝图</w:t>
      </w:r>
    </w:p>
    <w:p>
      <w:pPr>
        <w:spacing w:before="0" w:after="200" w:lineRule="auto" w:line="276"/>
      </w:pPr>
      <w:r>
        <w:rPr>
          <w:b/>
        </w:rPr>
        <w:t xml:space="preserve">Abstract (EN): </w:t>
      </w:r>
      <w:r>
        <w:t>Achieving highly reversible Na plating/stripping is crucial for the stable operation of low‐temperature anode‐free sodium metal batteries (LT‐AFSMBs), yet simultaneously realizing ultra‐high Coulombic efficiency (CE) and long‐term durability, accompanied by high energy density, remains a formidable challenge. Herein, by regulating the molecular side chain, we design an asymmetric chain‐like ether solvent that elegantly balances weak Na</w:t>
      </w:r>
      <w:r>
        <w:t xml:space="preserve"> </w:t>
      </w:r>
      <w:r>
        <w:t>+</w:t>
      </w:r>
      <w:r>
        <w:t xml:space="preserve"> </w:t>
      </w:r>
      <w:r>
        <w:t>‐dipole and strong anion‐dipole interactions. This rationally tailored electrolyte fosters an anion‐rich Na</w:t>
      </w:r>
      <w:r>
        <w:t xml:space="preserve"> </w:t>
      </w:r>
      <w:r>
        <w:t>+</w:t>
      </w:r>
      <w:r>
        <w:t xml:space="preserve"> </w:t>
      </w:r>
      <w:r>
        <w:t>coordination environment, which significantly lowers the desolvation barrier and drives the formation of a robust, anion‐derived solid electrolyte interphase with rapid interfacial dynamics. Consequently, the optimized electrolyte delivers an unprecedented average CE of 99.96% over 500 cycles at −20°C. Remarkably, even under stringent conditions of an ultra‐high cathode loading (28.05 mg cm</w:t>
      </w:r>
      <w:r>
        <w:t xml:space="preserve"> </w:t>
      </w:r>
      <w:r>
        <w:t>−2</w:t>
      </w:r>
      <w:r>
        <w:t xml:space="preserve"> </w:t>
      </w:r>
      <w:r>
        <w:t>) and areal capacity (2.48 mAh cm</w:t>
      </w:r>
      <w:r>
        <w:t xml:space="preserve"> </w:t>
      </w:r>
      <w:r>
        <w:t>−2</w:t>
      </w:r>
      <w:r>
        <w:t xml:space="preserve"> </w:t>
      </w:r>
      <w:r>
        <w:t>), the LT‐AFSMBs retain 85.9% of their initial capacity over 600 cycles at −20°C. Moreover, practical Ah‐level anode‐free pouch cells demonstrate stable operation for 300 cycles, yielding a high energy density exceeding 200 Wh kg</w:t>
      </w:r>
      <w:r>
        <w:t xml:space="preserve"> </w:t>
      </w:r>
      <w:r>
        <w:t>−1</w:t>
      </w:r>
      <w:r>
        <w:t xml:space="preserve"> </w:t>
      </w:r>
      <w:r>
        <w:t>(based on the mass of entire pouch cell). This paradigm‐shifting solvation strategy provides a highly viable and scalable blueprint for the next‐generation, extreme‐temperature energy storage systems.</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36">
        <w:r>
          <w:rPr>
            <w:color w:val="1155CC"/>
            <w:u w:val="single"/>
          </w:rPr>
          <w:t>通过堆叠冲压法高通量生产微电池</w:t>
        </w:r>
      </w:hyperlink>
    </w:p>
    <w:p>
      <w:pPr>
        <w:spacing w:before="0" w:after="80"/>
      </w:pPr>
      <w:r>
        <w:rPr>
          <w:i/>
          <w:sz w:val="20"/>
        </w:rPr>
        <w:t>EN: High-throughput production of microbatteries by a stack-punching method</w:t>
      </w:r>
    </w:p>
    <w:p>
      <w:pPr>
        <w:spacing w:before="0" w:after="120"/>
      </w:pPr>
      <w:r>
        <w:rPr>
          <w:b/>
        </w:rPr>
        <w:t xml:space="preserve">Source: </w:t>
      </w:r>
      <w:r>
        <w:t>Nature Communications</w:t>
      </w:r>
      <w:r>
        <w:t xml:space="preserve">    </w:t>
      </w:r>
      <w:r>
        <w:rPr>
          <w:b/>
        </w:rPr>
        <w:t xml:space="preserve">Pub date: </w:t>
      </w:r>
      <w:r>
        <w:t>2026-05-30 00:00:00+00:00</w:t>
      </w:r>
      <w:r>
        <w:t xml:space="preserve">    </w:t>
      </w:r>
      <w:r>
        <w:rPr>
          <w:b/>
        </w:rPr>
        <w:t xml:space="preserve">DOI: </w:t>
      </w:r>
      <w:hyperlink r:id="rId37">
        <w:r>
          <w:rPr>
            <w:color w:val="1155CC"/>
            <w:u w:val="single"/>
          </w:rPr>
          <w:t>10.1038/s41467-026-73912-5</w:t>
        </w:r>
      </w:hyperlink>
    </w:p>
    <w:p>
      <w:pPr>
        <w:spacing w:before="0" w:after="120"/>
      </w:pPr>
      <w:r>
        <w:rPr>
          <w:b/>
        </w:rPr>
        <w:t xml:space="preserve">Notes: </w:t>
      </w:r>
      <w:r>
        <w:t>abstract_source=nature_html</w:t>
      </w:r>
    </w:p>
    <w:p>
      <w:pPr>
        <w:spacing w:before="0" w:after="80" w:lineRule="auto" w:line="276"/>
      </w:pPr>
      <w:r>
        <w:rPr>
          <w:b/>
        </w:rPr>
        <w:t xml:space="preserve">摘要（ZH）: </w:t>
      </w:r>
      <w:r>
        <w:t>微电池是集成电路、可穿戴电子产品、植入式医疗设备和微型机器人的关键电源。然而，它们的实际应用受到传统自下而上组装方法的限制，该方法存在生产效率低、均匀性差和电化学性能差的问题。在这里，我们报告了一种用于高通量生产微电池的自上而下的堆叠打孔方法。通过将最初的无阳极设计与互穿的正极|电解质融合层相集成，我们构建了坚固的电极|电解质界面，以承受高速冲压工艺引起的机械应力，生产率高达每小时 1800 件。由此产生的微电池在物理尺寸和电化学性能方面都高度均匀，最大体积能量密度达到1306 mWh cm−3，在最先进的微电池技术中具有很强的竞争力。作为概念验证，这些微电池与微型传感器集成，用于持续健康监测，并安装在蚂蚁和蜜蜂身上，有可能开发用于生态和地质数据收集的生物混合微系统。总体而言，我们的堆叠打孔方法为大规模制造高性能微电池提供了一种有前景的工具，有助于将其转化为下一代电子设备和系统。</w:t>
      </w:r>
    </w:p>
    <w:p>
      <w:pPr>
        <w:spacing w:before="0" w:after="200" w:lineRule="auto" w:line="276"/>
      </w:pPr>
      <w:r>
        <w:rPr>
          <w:b/>
        </w:rPr>
        <w:t xml:space="preserve">Abstract (EN): </w:t>
      </w:r>
      <w:r>
        <w:t>Microbatteries are critical power sources for integrated circuits, wearable electronics, implantable medical devices, and microrobots. However, their practical applications have been limited by conventional bottom-up assembly methods, which suffer from low production efficiency, poor uniformity, and inferior electrochemical performance. Here we report a top-down stack-punching approach for high-throughput production of microbatteries. Through the integration of an initially anode-free design with an interpenetrating positive electrode|electrolyte fusion layer, we construct robust electrode|electrolyte interfaces to withstand the mechanical stress induced by the high-speed punching process, with a high production rate of 1800 units per hour. The resulting microbatteries are highly uniform in both physical dimensions and electrochemical performance, achieving a maximum volumetric energy density of 1306 mWh cm−3, highly competitive among state-of-the-art microbattery technologies. As a proof-of-concept, these microbatteries are integrated with miniature sensors for continuous health monitoring and mounted onto ants and bees to potentially develop biohybrid microsystems for ecological and geological data collection. Overall, our stack-punching approach offers a promising tool for the large-scale manufacture of high-performance microbatteries, facilitating their translation into next-generation electronic devices and systems.</w:t>
      </w:r>
    </w:p>
    <w:p>
      <w:pPr>
        <w:spacing w:before="120" w:after="120"/>
      </w:pPr>
      <w:r>
        <w:rPr>
          <w:sz w:val="18"/>
        </w:rPr>
        <w:t>——————————————————————————————————————————————————————————————————————</w:t>
      </w:r>
    </w:p>
    <w:p>
      <w:pPr>
        <w:spacing w:before="160" w:after="40" w:line="240" w:lineRule="auto"/>
      </w:pPr>
      <w:r>
        <w:rPr>
          <w:b/>
        </w:rPr>
        <w:t xml:space="preserve">[2] </w:t>
      </w:r>
      <w:hyperlink r:id="rId93">
        <w:r>
          <w:rPr>
            <w:color w:val="1155CC"/>
            <w:u w:val="single"/>
          </w:rPr>
          <w:t>基于多孔树脂的结构电池的电化学和机械协同增强</w:t>
        </w:r>
      </w:hyperlink>
    </w:p>
    <w:p>
      <w:pPr>
        <w:spacing w:before="0" w:after="80"/>
      </w:pPr>
      <w:r>
        <w:rPr>
          <w:i/>
          <w:sz w:val="20"/>
        </w:rPr>
        <w:t>EN: Synergistic Electrochemical and Mechanical Enhancement in Structural Batteries based on a Porous Resin</w:t>
      </w:r>
    </w:p>
    <w:p>
      <w:pPr>
        <w:spacing w:before="0" w:after="120"/>
      </w:pPr>
      <w:r>
        <w:rPr>
          <w:b/>
        </w:rPr>
        <w:t xml:space="preserve">Source: </w:t>
      </w:r>
      <w:r>
        <w:t>Wiley: Advanced Energy Materials: Table of Contents</w:t>
      </w:r>
      <w:r>
        <w:t xml:space="preserve">    </w:t>
      </w:r>
      <w:r>
        <w:rPr>
          <w:b/>
        </w:rPr>
        <w:t xml:space="preserve">Pub date: </w:t>
      </w:r>
      <w:r>
        <w:t>2026-05-30 07:37:41+00:00</w:t>
      </w:r>
      <w:r>
        <w:t xml:space="preserve">    </w:t>
      </w:r>
      <w:r>
        <w:rPr>
          <w:b/>
        </w:rPr>
        <w:t xml:space="preserve">DOI: </w:t>
      </w:r>
      <w:hyperlink r:id="rId94">
        <w:r>
          <w:rPr>
            <w:color w:val="1155CC"/>
            <w:u w:val="single"/>
          </w:rPr>
          <w:t>10.1002/aenm.71140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构电池（SB）在移动智能设备中显示出广阔的潜力，因为它们可以同时承受机械负载和存储能量，但受到界面阻抗高、离子电导率低和循环稳定性差的限制。在此，我们开发了一种具有高离子传输效率的刚性结构电池电解质（SBE），其中多孔树脂骨架吸收液体电解质，通过真空辅助树脂传递模塑法制造SB。这种设计使得互连的多孔树脂通道均匀分布在整个电极和隔膜中，促进高效的锂离子传输，同时保持高结构刚性和稳定的固体电解质界面（SEI），这一点已通过微观和电化学分析验证。因此，所制造的 SB 实现了 46.6 Wh kg 的出色能量密度</w:t>
      </w:r>
      <w:r>
        <w:t xml:space="preserve"> </w:t>
      </w:r>
      <w:r>
        <w:t>−1</w:t>
      </w:r>
      <w:r>
        <w:t xml:space="preserve"> </w:t>
      </w:r>
      <w:r>
        <w:t>在 0.1 C 下，在 0.2 C 下循环 100 次后仍保留 86% 的容量，同时表现出分别为 214 MPa 和 24 GPa 的拉伸强度和模量。值得注意的是，通过优化电极质量负载和碳纤维集电器，机械性能可以进一步提高到 270 和 357 MPa。这项工作提供了一种有前途的策略，可以同时增强SB的电化学机械性能，同时展示实际的可扩展性和设计灵活性。</w:t>
      </w:r>
    </w:p>
    <w:p>
      <w:pPr>
        <w:spacing w:before="0" w:after="200" w:lineRule="auto" w:line="276"/>
      </w:pPr>
      <w:r>
        <w:rPr>
          <w:b/>
        </w:rPr>
        <w:t xml:space="preserve">Abstract (EN): </w:t>
      </w:r>
      <w:r>
        <w:t>Structural batteries (SBs) show promising potential for mobile intelligent equipment, as they can simultaneously bear mechanical loads and store energy, but are limited by high interfacial impedance, low ionic conductivity, and poor cycling stability. Herein, we develop a rigid structural battery electrolyte (SBE) with high ion‐transport efficiency, in which a porous resin skeleton absorbs liquid electrolyte, to fabricate SBs via vacuum‐assisted resin transfer molding. This design enables the uniform distribution of interconnected porous resin channels throughout the electrodes and separator, facilitating efficient lithium‐ion transport while maintaining high structural rigidity and a stable solid electrolyte interphase (SEI), as verified by microscopic and electrochemical analyses. Consequently, the fabricated SB achieves an outstanding energy density of 46.6 Wh kg</w:t>
      </w:r>
      <w:r>
        <w:t xml:space="preserve"> </w:t>
      </w:r>
      <w:r>
        <w:t>−1</w:t>
      </w:r>
      <w:r>
        <w:t xml:space="preserve"> </w:t>
      </w:r>
      <w:r>
        <w:t>at 0.1 C and retains 86% capacity after 100 cycles at 0.2 C, while exhibiting a tensile strength and modulus of 214 MPa and 24 GPa, respectively. Notably, by optimizing the electrode mass loading and carbon fiber current collector, the mechanical properties can be further enhanced to 270 and 357 MPa. This work provides a promising strategy to simultaneously enhance the electrochemical‐mechanical properties of SBs while showing the practical scalability and design flexibility.</w:t>
      </w:r>
    </w:p>
    <w:p>
      <w:pPr>
        <w:spacing w:before="120" w:after="120"/>
      </w:pPr>
      <w:r>
        <w:rPr>
          <w:sz w:val="18"/>
        </w:rPr>
        <w:t>——————————————————————————————————————————————————————————————————————</w:t>
      </w:r>
    </w:p>
    <w:p>
      <w:pPr>
        <w:spacing w:before="160" w:after="40" w:line="240" w:lineRule="auto"/>
      </w:pPr>
      <w:r>
        <w:rPr>
          <w:b/>
        </w:rPr>
        <w:t xml:space="preserve">[3] </w:t>
      </w:r>
      <w:hyperlink r:id="rId115">
        <w:r>
          <w:rPr>
            <w:color w:val="1155CC"/>
            <w:u w:val="single"/>
          </w:rPr>
          <w:t>电池安全：机制、监控和机器智能</w:t>
        </w:r>
      </w:hyperlink>
    </w:p>
    <w:p>
      <w:pPr>
        <w:spacing w:before="0" w:after="80"/>
      </w:pPr>
      <w:r>
        <w:rPr>
          <w:i/>
          <w:sz w:val="20"/>
        </w:rPr>
        <w:t>EN: Battery Safety: Mechanisms, Monitoring, and Machine Intelligence</w:t>
      </w:r>
    </w:p>
    <w:p>
      <w:pPr>
        <w:spacing w:before="0" w:after="120"/>
      </w:pPr>
      <w:r>
        <w:rPr>
          <w:b/>
        </w:rPr>
        <w:t xml:space="preserve">Source: </w:t>
      </w:r>
      <w:r>
        <w:t>Wiley: Advanced Energy Materials: Table of Contents</w:t>
      </w:r>
      <w:r>
        <w:t xml:space="preserve">    </w:t>
      </w:r>
      <w:r>
        <w:rPr>
          <w:b/>
        </w:rPr>
        <w:t xml:space="preserve">Pub date: </w:t>
      </w:r>
      <w:r>
        <w:t>2026-05-30 07:38:38+00:00</w:t>
      </w:r>
      <w:r>
        <w:t xml:space="preserve">    </w:t>
      </w:r>
      <w:r>
        <w:rPr>
          <w:b/>
        </w:rPr>
        <w:t xml:space="preserve">DOI: </w:t>
      </w:r>
      <w:hyperlink r:id="rId116">
        <w:r>
          <w:rPr>
            <w:color w:val="1155CC"/>
            <w:u w:val="single"/>
          </w:rPr>
          <w:t>10.1002/aenm.71093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池是电子设备和电气化交通的基础。然而，老化和突发故障可能会引发热失控，使电池安全成为全球关注的问题。这篇综述从多物理耦合和多尺度失效传播的角度阐明了失效触发和演化，重点关注下一代电池系统中化学特定的异质性。为了减轻这些风险，系统地检查本质安全材料和结构设计，并对其成熟度进行分级评估。进一步讨论了系统级主动保护，强调了基于云的电池管理系统在数据治理和云边缘协作监控中的作用。在此架构的基础上，人工智能赋能的监测和控制框架在四个维度上综合起来：（1）感知，利用多模态融合克服单变量监测的局限性，实现内部状态的整体映射； （2）算法，采用自监督学习等数据高效范式来解决极端故障场景中的数据稀缺问题； （3）机制，将物理信息神经网络和数字孪生相结合，以增强可解释性和物理一致性； (4)部署，利用边缘计算和联邦学习，在隐私限制下实现云边缘协作和群体智能。最后，这篇评论概述了下一代安全测试的前景</w:t>
      </w:r>
    </w:p>
    <w:p>
      <w:pPr>
        <w:spacing w:before="0" w:after="200" w:lineRule="auto" w:line="276"/>
      </w:pPr>
      <w:r>
        <w:rPr>
          <w:b/>
        </w:rPr>
        <w:t xml:space="preserve">Abstract (EN): </w:t>
      </w:r>
      <w:r>
        <w:t>Batteries constitute the foundation of electronic devices and electrified transportation. Nevertheless, aging and sudden faults can precipitate thermal runaway, making battery safety a global concern. This review elucidates failure triggering and evolution from the perspectives of multiphysics coupling and multiscale failure propagation, with emphasis on chemistry‐specific heterogeneity in next‐generation battery systems. To mitigate these risks, intrinsic‐safety materials and structural designs are systematically examined, together with a graded evaluation of their maturity. System‐level active protection is further discussed, highlighting the role of cloud‐based Battery Management Systems in data governance and cloud‐edge collaborative monitoring and control. Building on this architecture, an artificial intelligence‐empowered monitoring and control framework is synthesized across four dimensions: (1) perception, which uses multimodal fusion to overcome the limitations of single‐variable monitoring and enable holistic mapping of internal states; (2) algorithms, which adopt data‐efficient paradigms such as self‐supervised learning to address data scarcity in extreme fault scenarios; (3) mechanisms, which integrate physics‐informed neural networks and digital twins to enhance interpretability and physical consistency; and (4) deployment, which leverages edge computing and federated learning to enable cloud‐edge collaboration and swarm intelligence under privacy constraints. Finally, this review outlines prospects for next‐generation safety testing standards, autonomous closed‐loop safety management, self‐healing technologies, and cross‐domain safety management.</w:t>
      </w:r>
    </w:p>
    <w:p>
      <w:pPr>
        <w:spacing w:before="120" w:after="120"/>
      </w:pPr>
      <w:r>
        <w:rPr>
          <w:sz w:val="18"/>
        </w:rPr>
        <w:t>——————————————————————————————————————————————————————————————————————</w:t>
      </w:r>
    </w:p>
    <w:p>
      <w:pPr>
        <w:spacing w:before="160" w:after="40" w:line="240" w:lineRule="auto"/>
      </w:pPr>
      <w:r>
        <w:rPr>
          <w:b/>
        </w:rPr>
        <w:t xml:space="preserve">[4] </w:t>
      </w:r>
      <w:hyperlink r:id="rId40">
        <w:r>
          <w:rPr>
            <w:color w:val="1155CC"/>
            <w:u w:val="single"/>
          </w:rPr>
          <w:t>3D交联Fe-N4-GC协同增强多硫化物催化转化和抗锂枝晶性能，用于低N/P比的稳定锂硫电池</w:t>
        </w:r>
      </w:hyperlink>
    </w:p>
    <w:p>
      <w:pPr>
        <w:spacing w:before="0" w:after="80"/>
      </w:pPr>
      <w:r>
        <w:rPr>
          <w:i/>
          <w:sz w:val="20"/>
        </w:rPr>
        <w:t>EN: Synergistic Enhancement to Polysulfide Catalytic Conversion and Lithium Dendrite Resistant by 3D Cross‐Linked Fe‐N4‐GCs for Stable Lithium‐Sulfur Batteries of Low‐N/P‐Ratio</w:t>
      </w:r>
    </w:p>
    <w:p>
      <w:pPr>
        <w:spacing w:before="0" w:after="120"/>
      </w:pPr>
      <w:r>
        <w:rPr>
          <w:b/>
        </w:rPr>
        <w:t xml:space="preserve">Source: </w:t>
      </w:r>
      <w:r>
        <w:t>Wiley: Advanced Energy Materials: Table of Contents</w:t>
      </w:r>
      <w:r>
        <w:t xml:space="preserve">    </w:t>
      </w:r>
      <w:r>
        <w:rPr>
          <w:b/>
        </w:rPr>
        <w:t xml:space="preserve">Pub date: </w:t>
      </w:r>
      <w:r>
        <w:t>2026-05-30 11:31:47+00:00</w:t>
      </w:r>
      <w:r>
        <w:t xml:space="preserve">    </w:t>
      </w:r>
      <w:r>
        <w:rPr>
          <w:b/>
        </w:rPr>
        <w:t xml:space="preserve">DOI: </w:t>
      </w:r>
      <w:hyperlink r:id="rId41">
        <w:r>
          <w:rPr>
            <w:color w:val="1155CC"/>
            <w:u w:val="single"/>
          </w:rPr>
          <w:t>10.1002/aenm.71134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多硫化锂（LiPS）严重的穿梭效应和缓慢的反应动力学以及锂枝晶的生长仍然是锂硫电池（LSB）的关键问题。在此，原子分散的 Fe-N</w:t>
      </w:r>
      <w:r>
        <w:rPr>
          <w:vertAlign w:val="subscript"/>
        </w:rPr>
        <w:t>4</w:t>
      </w:r>
      <w:r>
        <w:t>锚定在 3D 交联 N 掺杂石墨烯类多孔碳纳米片（Fe-N</w:t>
      </w:r>
      <w:r>
        <w:rPr>
          <w:vertAlign w:val="subscript"/>
        </w:rPr>
        <w:t>4</w:t>
      </w:r>
      <w:r>
        <w:t>据报道，GCs）作为高效的 LiPSs 催化剂和高性能 LSB 的 Li 调节剂。作为硫主体，Fe-N</w:t>
      </w:r>
      <w:r>
        <w:rPr>
          <w:vertAlign w:val="subscript"/>
        </w:rPr>
        <w:t>4</w:t>
      </w:r>
      <w:r>
        <w:t>‐GCs提供丰富的吸附位点并有效催化LiPSs转化。作为隔膜涂层，它们形成均匀的Li</w:t>
      </w:r>
      <w:r>
        <w:t xml:space="preserve"> </w:t>
      </w:r>
      <w:r>
        <w:t>+</w:t>
      </w:r>
      <w:r>
        <w:t xml:space="preserve"> </w:t>
      </w:r>
      <w:r>
        <w:t>传输通道，促进快速离子扩散，并引导稳定的锂沉积/剥离以抑制枝晶生长。含 S/Fe-N</w:t>
      </w:r>
      <w:r>
        <w:rPr>
          <w:vertAlign w:val="subscript"/>
        </w:rPr>
        <w:t>4</w:t>
      </w:r>
      <w:r>
        <w:t>‐GCs 阴极（2.5 mg cm</w:t>
      </w:r>
      <w:r>
        <w:t xml:space="preserve"> </w:t>
      </w:r>
      <w:r>
        <w:t>−2</w:t>
      </w:r>
      <w:r>
        <w:t xml:space="preserve"> </w:t>
      </w:r>
      <w:r>
        <w:t>S) 和 Fe-N</w:t>
      </w:r>
      <w:r>
        <w:rPr>
          <w:vertAlign w:val="subscript"/>
        </w:rPr>
        <w:t>4</w:t>
      </w:r>
      <w:r>
        <w:t>‐GCs/PP 隔膜，LSB 提供 1045.6 mAh g 的高初始容量</w:t>
      </w:r>
      <w:r>
        <w:t xml:space="preserve"> </w:t>
      </w:r>
      <w:r>
        <w:t>−1</w:t>
      </w:r>
      <w:r>
        <w:t xml:space="preserve"> </w:t>
      </w:r>
      <w:r>
        <w:t>在 1.0 C 下，可稳定循环超过 1000 个循环，每个循环的衰减低至 0.023%。硫负载量高达 7.2 mg cm</w:t>
      </w:r>
      <w:r>
        <w:t xml:space="preserve"> </w:t>
      </w:r>
      <w:r>
        <w:t>−2</w:t>
      </w:r>
      <w:r>
        <w:t xml:space="preserve"> </w:t>
      </w:r>
      <w:r>
        <w:t>，面积容量为 6.6 mAh cm</w:t>
      </w:r>
      <w:r>
        <w:t xml:space="preserve"> </w:t>
      </w:r>
      <w:r>
        <w:t>−2</w:t>
      </w:r>
      <w:r>
        <w:t xml:space="preserve"> </w:t>
      </w:r>
      <w:r>
        <w:t>已实现。值得注意的是，使用 N/P 比为 1.3 的 Cu@Li 阳极（27 µm Li 层）的全电池保留了 1025.8 mAh g 的高容量</w:t>
      </w:r>
      <w:r>
        <w:t xml:space="preserve"> </w:t>
      </w:r>
      <w:r>
        <w:t>−1</w:t>
      </w:r>
      <w:r>
        <w:t xml:space="preserve"> </w:t>
      </w:r>
      <w:r>
        <w:t>在</w:t>
      </w:r>
    </w:p>
    <w:p>
      <w:pPr>
        <w:spacing w:before="0" w:after="200" w:lineRule="auto" w:line="276"/>
      </w:pPr>
      <w:r>
        <w:rPr>
          <w:b/>
        </w:rPr>
        <w:t xml:space="preserve">Abstract (EN): </w:t>
      </w:r>
      <w:r>
        <w:t>The severe shuttle effect and sluggish reaction kinetics of lithium polysulfides (LiPSs) as well as Li dendrite growth are still the key issues for lithium‐sulfur batteries (LSBs). Herein, atomically dispersed Fe‐N</w:t>
      </w:r>
      <w:r>
        <w:rPr>
          <w:vertAlign w:val="subscript"/>
        </w:rPr>
        <w:t>4</w:t>
      </w:r>
      <w:r>
        <w:t>moieties anchored on 3D cross‐linked N‐doped graphene‐like porous carbon nanosheets (Fe‐N</w:t>
      </w:r>
      <w:r>
        <w:rPr>
          <w:vertAlign w:val="subscript"/>
        </w:rPr>
        <w:t>4</w:t>
      </w:r>
      <w:r>
        <w:t>‐GCs) as efficient LiPSs catalyst and Li regulator for high‐performance LSBs is reported. Serving as sulfur host, Fe‐N</w:t>
      </w:r>
      <w:r>
        <w:rPr>
          <w:vertAlign w:val="subscript"/>
        </w:rPr>
        <w:t>4</w:t>
      </w:r>
      <w:r>
        <w:t>‐GCs provide abundant adsorption sites and effectively catalyze LiPSs conversion. As separator coating, they form uniform Li</w:t>
      </w:r>
      <w:r>
        <w:t xml:space="preserve"> </w:t>
      </w:r>
      <w:r>
        <w:t>+</w:t>
      </w:r>
      <w:r>
        <w:t xml:space="preserve"> </w:t>
      </w:r>
      <w:r>
        <w:t>transport channels, promote fast ion diffusion, and guide stable Li plating/stripping to suppress dendrite growth. With S/Fe‐N</w:t>
      </w:r>
      <w:r>
        <w:rPr>
          <w:vertAlign w:val="subscript"/>
        </w:rPr>
        <w:t>4</w:t>
      </w:r>
      <w:r>
        <w:t>‐GCs cathode (2.5 mg cm</w:t>
      </w:r>
      <w:r>
        <w:t xml:space="preserve"> </w:t>
      </w:r>
      <w:r>
        <w:t>−2</w:t>
      </w:r>
      <w:r>
        <w:t xml:space="preserve"> </w:t>
      </w:r>
      <w:r>
        <w:t>S) and Fe‐N</w:t>
      </w:r>
      <w:r>
        <w:rPr>
          <w:vertAlign w:val="subscript"/>
        </w:rPr>
        <w:t>4</w:t>
      </w:r>
      <w:r>
        <w:t>‐GCs/PP separator, LSB delivers a high initial capacity of 1045.6 mAh g</w:t>
      </w:r>
      <w:r>
        <w:t xml:space="preserve"> </w:t>
      </w:r>
      <w:r>
        <w:t>−1</w:t>
      </w:r>
      <w:r>
        <w:t xml:space="preserve"> </w:t>
      </w:r>
      <w:r>
        <w:t>at 1.0 C, along with stable cycling over 1000 cycles with a low decay of 0.023% per cycle. At a high S loading of 7.2 mg cm</w:t>
      </w:r>
      <w:r>
        <w:t xml:space="preserve"> </w:t>
      </w:r>
      <w:r>
        <w:t>−2</w:t>
      </w:r>
      <w:r>
        <w:t xml:space="preserve"> </w:t>
      </w:r>
      <w:r>
        <w:t>, an areal capacity of 6.6 mAh cm</w:t>
      </w:r>
      <w:r>
        <w:t xml:space="preserve"> </w:t>
      </w:r>
      <w:r>
        <w:t>−2</w:t>
      </w:r>
      <w:r>
        <w:t xml:space="preserve"> </w:t>
      </w:r>
      <w:r>
        <w:t>is achieved. Remarkably, a full cell using Cu@Li anode (27 µm Li layer) with a low N/P ratio of 1.3 retains a high capacity of 1025.8 mAh g</w:t>
      </w:r>
      <w:r>
        <w:t xml:space="preserve"> </w:t>
      </w:r>
      <w:r>
        <w:t>−1</w:t>
      </w:r>
      <w:r>
        <w:t xml:space="preserve"> </w:t>
      </w:r>
      <w:r>
        <w:t>at 1.0 C and stable cycling over 400 cycles with a low decay of 0.026% per cycle. This work offers an effective strategy toward high‐energy, long‐life LSBs.</w:t>
      </w:r>
    </w:p>
    <w:p>
      <w:pPr>
        <w:spacing w:before="120" w:after="120"/>
      </w:pPr>
      <w:r>
        <w:rPr>
          <w:sz w:val="18"/>
        </w:rPr>
        <w:t>——————————————————————————————————————————————————————————————————————</w:t>
      </w:r>
    </w:p>
    <w:p>
      <w:pPr>
        <w:spacing w:before="160" w:after="40" w:line="240" w:lineRule="auto"/>
      </w:pPr>
      <w:r>
        <w:rPr>
          <w:b/>
        </w:rPr>
        <w:t xml:space="preserve">[5] </w:t>
      </w:r>
      <w:hyperlink r:id="rId117">
        <w:r>
          <w:rPr>
            <w:color w:val="1155CC"/>
            <w:u w:val="single"/>
          </w:rPr>
          <w:t>从太阳能无人机任务感知多目标储能管理演示中进行深度强化学习</w:t>
        </w:r>
      </w:hyperlink>
    </w:p>
    <w:p>
      <w:pPr>
        <w:spacing w:before="0" w:after="80"/>
      </w:pPr>
      <w:r>
        <w:rPr>
          <w:i/>
          <w:sz w:val="20"/>
        </w:rPr>
        <w:t>EN: Deep reinforcement learning from demonstrations for mission-aware multi-objective energy storage management of solar-powered UAVs</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18">
        <w:r>
          <w:rPr>
            <w:color w:val="1155CC"/>
            <w:u w:val="single"/>
          </w:rPr>
          <w:t>先进的健康状态估计集成了磷酸铁锂电池自适应扩展卡尔曼滤波器中基于部分容量的初始化和电阻通知的协方差校正</w:t>
        </w:r>
      </w:hyperlink>
    </w:p>
    <w:p>
      <w:pPr>
        <w:spacing w:before="0" w:after="80"/>
      </w:pPr>
      <w:r>
        <w:rPr>
          <w:i/>
          <w:sz w:val="20"/>
        </w:rPr>
        <w:t>EN: Advanced state-of-health estimation integrating partial capacity-based initialization and resistance-informed covariance correction in adaptive extended Kalman filter for lithium iron phosphate batteries</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19">
        <w:r>
          <w:rPr>
            <w:color w:val="1155CC"/>
            <w:u w:val="single"/>
          </w:rPr>
          <w:t>通过 MXene 膜中电压诱导的亚纳米通道可塑性进行自适应纳米流体离子筛分</w:t>
        </w:r>
      </w:hyperlink>
    </w:p>
    <w:p>
      <w:pPr>
        <w:spacing w:before="0" w:after="80"/>
      </w:pPr>
      <w:r>
        <w:rPr>
          <w:i/>
          <w:sz w:val="20"/>
        </w:rPr>
        <w:t>EN: Adaptive nanofluidic ion sieving via voltage-induced sub-nanometer channel plasticity in MXene membranes</w:t>
      </w:r>
    </w:p>
    <w:p>
      <w:pPr>
        <w:spacing w:before="0" w:after="120"/>
      </w:pPr>
      <w:r>
        <w:rPr>
          <w:b/>
        </w:rPr>
        <w:t xml:space="preserve">Source: </w:t>
      </w:r>
      <w:r>
        <w:t>Matter</w:t>
      </w:r>
      <w:r>
        <w:t xml:space="preserve">    </w:t>
      </w:r>
      <w:r>
        <w:rPr>
          <w:b/>
        </w:rPr>
        <w:t xml:space="preserve">Pub date: </w:t>
      </w:r>
      <w:r>
        <w:t>2026-06-01 00:00:00+00:00</w:t>
      </w:r>
      <w:r>
        <w:t xml:space="preserve">    </w:t>
      </w:r>
      <w:r>
        <w:rPr>
          <w:b/>
        </w:rPr>
        <w:t xml:space="preserve">DOI: </w:t>
      </w:r>
      <w:hyperlink r:id="rId120">
        <w:r>
          <w:rPr>
            <w:color w:val="1155CC"/>
            <w:u w:val="single"/>
          </w:rPr>
          <w:t>10.1016/j.matt.2026.102854</w:t>
        </w:r>
      </w:hyperlink>
    </w:p>
    <w:p>
      <w:pPr>
        <w:spacing w:before="0" w:after="120"/>
      </w:pPr>
      <w:r>
        <w:rPr>
          <w:b/>
        </w:rPr>
        <w:t xml:space="preserve">Notes: </w:t>
      </w:r>
      <w:r>
        <w:t>abstract_source=rss_cell</w:t>
      </w:r>
    </w:p>
    <w:p>
      <w:pPr>
        <w:spacing w:before="0" w:after="80" w:lineRule="auto" w:line="276"/>
      </w:pPr>
      <w:r>
        <w:rPr>
          <w:b/>
        </w:rPr>
        <w:t xml:space="preserve">摘要（ZH）: </w:t>
      </w:r>
      <w:r>
        <w:t>大多数膜通过固定通道分离离子，这限制了它们区分相似离子种类的精度。在这里，电压引起 MXene 膜通道收缩，形成一条自适应通路，允许锂离子通过，同时阻止镁离子。这项工作引入了电编程通道可塑性的概念，用于构建更智能的分离膜，并应用于锂回收、水处理和其他离子选择性技术。</w:t>
      </w:r>
    </w:p>
    <w:p>
      <w:pPr>
        <w:spacing w:before="0" w:after="200" w:lineRule="auto" w:line="276"/>
      </w:pPr>
      <w:r>
        <w:rPr>
          <w:b/>
        </w:rPr>
        <w:t xml:space="preserve">Abstract (EN): </w:t>
      </w:r>
      <w:r>
        <w:t>Most membranes separate ions via fixed channels, which limits the precision with which they can distinguish similar ionic species. Here, voltage induces the shrinkage of MXene membrane channels, creating an adaptive pathway that allows lithium ions to pass while blocking magnesium ions. This work introduces the concept of electrically programmed channel plasticity for constructing smarter separation membranes, with applications in lithium recovery, water treatment, and other ion-selective technologies.</w:t>
      </w:r>
    </w:p>
    <w:p>
      <w:pPr>
        <w:spacing w:before="120" w:after="120"/>
      </w:pPr>
      <w:r>
        <w:rPr>
          <w:sz w:val="18"/>
        </w:rPr>
        <w:t>——————————————————————————————————————————————————————————————————————</w:t>
      </w:r>
    </w:p>
    <w:p>
      <w:pPr>
        <w:spacing w:before="160" w:after="40" w:line="240" w:lineRule="auto"/>
      </w:pPr>
      <w:r>
        <w:rPr>
          <w:b/>
        </w:rPr>
        <w:t xml:space="preserve">[8] </w:t>
      </w:r>
      <w:hyperlink r:id="rId121">
        <w:r>
          <w:rPr>
            <w:color w:val="1155CC"/>
            <w:u w:val="single"/>
          </w:rPr>
          <w:t>交流原生电池系统</w:t>
        </w:r>
      </w:hyperlink>
    </w:p>
    <w:p>
      <w:pPr>
        <w:spacing w:before="0" w:after="80"/>
      </w:pPr>
      <w:r>
        <w:rPr>
          <w:i/>
          <w:sz w:val="20"/>
        </w:rPr>
        <w:t>EN: AC-native battery systems</w:t>
      </w:r>
    </w:p>
    <w:p>
      <w:pPr>
        <w:spacing w:before="0" w:after="120"/>
      </w:pPr>
      <w:r>
        <w:rPr>
          <w:b/>
        </w:rPr>
        <w:t xml:space="preserve">Source: </w:t>
      </w:r>
      <w:r>
        <w:t>Joule</w:t>
      </w:r>
      <w:r>
        <w:t xml:space="preserve">    </w:t>
      </w:r>
      <w:r>
        <w:rPr>
          <w:b/>
        </w:rPr>
        <w:t xml:space="preserve">Pub date: </w:t>
      </w:r>
      <w:r>
        <w:t>2026-06-03 00:00:00+00:00</w:t>
      </w:r>
      <w:r>
        <w:t xml:space="preserve">    </w:t>
      </w:r>
      <w:r>
        <w:rPr>
          <w:b/>
        </w:rPr>
        <w:t xml:space="preserve">DOI: </w:t>
      </w:r>
      <w:hyperlink r:id="rId122">
        <w:r>
          <w:rPr>
            <w:color w:val="1155CC"/>
            <w:u w:val="single"/>
          </w:rPr>
          <w:t>10.1016/j.joule.2026.102496</w:t>
        </w:r>
      </w:hyperlink>
    </w:p>
    <w:p>
      <w:pPr>
        <w:spacing w:before="0" w:after="120"/>
      </w:pPr>
      <w:r>
        <w:rPr>
          <w:b/>
        </w:rPr>
        <w:t xml:space="preserve">Notes: </w:t>
      </w:r>
      <w:r>
        <w:t>abstract_source=rss_cell</w:t>
      </w:r>
    </w:p>
    <w:p>
      <w:pPr>
        <w:spacing w:before="0" w:after="80" w:lineRule="auto" w:line="276"/>
      </w:pPr>
      <w:r>
        <w:rPr>
          <w:b/>
        </w:rPr>
        <w:t xml:space="preserve">摘要（ZH）: </w:t>
      </w:r>
      <w:r>
        <w:t>交流原生电池系统将电池从被动直流能源重新构建为主动能源处理平台。通过重新定位电池模块或电池组内的可控电源转换功能，它们有望实现内部交流波形合成、拓扑感知电流路由、增强的状态可观测性、可控应力重新分布和主动故障隔离。更广泛的意义在于新的架构设计空间，其中电池、电力电子、嵌入式传感和实时控制融合在一起，而实际采用仍然由成本、可靠性、资格和系统级权衡决定。</w:t>
      </w:r>
    </w:p>
    <w:p>
      <w:pPr>
        <w:spacing w:before="0" w:after="200" w:lineRule="auto" w:line="276"/>
      </w:pPr>
      <w:r>
        <w:rPr>
          <w:b/>
        </w:rPr>
        <w:t xml:space="preserve">Abstract (EN): </w:t>
      </w:r>
      <w:r>
        <w:t>AC-native battery systems reframe batteries from passive DC energy sources into active energy-processing platforms. By relocating controllable power-conversion capability inside the battery module or pack, they hold promise in enabling internal AC waveform synthesis, topology-aware current routing, enhanced state observability, controllable stress redistribution, and active fault isolation. The broader significance lies in a new architectural design space where batteries, power electronics, embedded sensing, and real-time control converge, while practical adoption remains shaped by cost, reliability, qualification, and system-level trade-offs.</w:t>
      </w:r>
    </w:p>
    <w:p>
      <w:pPr>
        <w:spacing w:before="120" w:after="120"/>
      </w:pPr>
      <w:r>
        <w:rPr>
          <w:sz w:val="18"/>
        </w:rPr>
        <w:t>——————————————————————————————————————————————————————————————————————</w:t>
      </w:r>
    </w:p>
    <w:p>
      <w:pPr>
        <w:spacing w:before="160" w:after="40" w:line="240" w:lineRule="auto"/>
      </w:pPr>
      <w:r>
        <w:rPr>
          <w:b/>
        </w:rPr>
        <w:t xml:space="preserve">[9] </w:t>
      </w:r>
      <w:hyperlink r:id="rId123">
        <w:r>
          <w:rPr>
            <w:color w:val="1155CC"/>
            <w:u w:val="single"/>
          </w:rPr>
          <w:t>通过可解释、轻量级且稳健的电化学相变预测和控制架构，预测和控制退役 LFP 电池放电预处理中的镀铜</w:t>
        </w:r>
      </w:hyperlink>
    </w:p>
    <w:p>
      <w:pPr>
        <w:spacing w:before="0" w:after="80"/>
      </w:pPr>
      <w:r>
        <w:rPr>
          <w:i/>
          <w:sz w:val="20"/>
        </w:rPr>
        <w:t>EN: Prediction and control of copper plating in retired LFP battery discharge pretreatment via an explainable, lightweight, and robust electrochemical phase transition prediction and control architecture</w:t>
      </w:r>
    </w:p>
    <w:p>
      <w:pPr>
        <w:spacing w:before="0" w:after="120"/>
      </w:pPr>
      <w:r>
        <w:rPr>
          <w:b/>
        </w:rPr>
        <w:t xml:space="preserve">Source: </w:t>
      </w:r>
      <w:r>
        <w:t>ScienceDirect Publication: Applied Energy</w:t>
      </w:r>
      <w:r>
        <w:t xml:space="preserve">    </w:t>
      </w:r>
      <w:r>
        <w:rPr>
          <w:b/>
        </w:rPr>
        <w:t xml:space="preserve">Pub date: </w:t>
      </w:r>
      <w:r>
        <w:t>2026-06-03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24">
        <w:r>
          <w:rPr>
            <w:color w:val="1155CC"/>
            <w:u w:val="single"/>
          </w:rPr>
          <w:t>圆柱形锂离子电池侧壁破裂引起的热失控传播综合分析</w:t>
        </w:r>
      </w:hyperlink>
    </w:p>
    <w:p>
      <w:pPr>
        <w:spacing w:before="0" w:after="80"/>
      </w:pPr>
      <w:r>
        <w:rPr>
          <w:i/>
          <w:sz w:val="20"/>
        </w:rPr>
        <w:t>EN: Comprehensive analysis of sidewall-rupture-induced thermal runaway propagation in cylindrical lithium-ion batteries</w:t>
      </w:r>
    </w:p>
    <w:p>
      <w:pPr>
        <w:spacing w:before="0" w:after="120"/>
      </w:pPr>
      <w:r>
        <w:rPr>
          <w:b/>
        </w:rPr>
        <w:t xml:space="preserve">Source: </w:t>
      </w:r>
      <w:r>
        <w:t>ScienceDirect Publication: Applied Energy</w:t>
      </w:r>
      <w:r>
        <w:t xml:space="preserve">    </w:t>
      </w:r>
      <w:r>
        <w:rPr>
          <w:b/>
        </w:rPr>
        <w:t xml:space="preserve">Pub date: </w:t>
      </w:r>
      <w:r>
        <w:t>2026-06-04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125">
        <w:r>
          <w:rPr>
            <w:color w:val="1155CC"/>
            <w:u w:val="single"/>
          </w:rPr>
          <w:t>COP-Fe3O4 界面上吡啶异构驱动的自旋工程用于高性能氧还原电催化</w:t>
        </w:r>
      </w:hyperlink>
    </w:p>
    <w:p>
      <w:pPr>
        <w:spacing w:before="0" w:after="80"/>
      </w:pPr>
      <w:r>
        <w:rPr>
          <w:i/>
          <w:sz w:val="20"/>
        </w:rPr>
        <w:t>EN: Pyridine‐Isomerism‐Driven Spin Engineering at a COP‐Fe3O4 Interface for High‐Performance Oxygen Reduction Electrocatalysis</w:t>
      </w:r>
    </w:p>
    <w:p>
      <w:pPr>
        <w:spacing w:before="0" w:after="120"/>
      </w:pPr>
      <w:r>
        <w:rPr>
          <w:b/>
        </w:rPr>
        <w:t xml:space="preserve">Source: </w:t>
      </w:r>
      <w:r>
        <w:t>Wiley: Advanced Energy Materials: Table of Contents</w:t>
      </w:r>
      <w:r>
        <w:t xml:space="preserve">    </w:t>
      </w:r>
      <w:r>
        <w:rPr>
          <w:b/>
        </w:rPr>
        <w:t xml:space="preserve">Pub date: </w:t>
      </w:r>
      <w:r>
        <w:t>2026-05-30 07:41:44+00:00</w:t>
      </w:r>
      <w:r>
        <w:t xml:space="preserve">    </w:t>
      </w:r>
      <w:r>
        <w:rPr>
          <w:b/>
        </w:rPr>
        <w:t xml:space="preserve">DOI: </w:t>
      </w:r>
      <w:hyperlink r:id="rId126">
        <w:r>
          <w:rPr>
            <w:color w:val="1155CC"/>
            <w:u w:val="single"/>
          </w:rPr>
          <w:t>10.1002/aenm.71130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地球上丰富的过渡金属（TMO）氧化物的氧还原反应（ORR）活性受到低效的界面电荷转移和不利的表面吸附的限制。在这里，我们报告了共价有机聚合物（COP）-Fe中吡啶异构驱动的界面自旋工程</w:t>
      </w:r>
      <w:r>
        <w:rPr>
          <w:vertAlign w:val="subscript"/>
        </w:rPr>
        <w:t>3</w:t>
      </w:r>
      <w:r>
        <w:t>氧</w:t>
      </w:r>
      <w:r>
        <w:rPr>
          <w:vertAlign w:val="subscript"/>
        </w:rPr>
        <w:t>4</w:t>
      </w:r>
      <w:r>
        <w:t>杂化物，其中分子定义的吡啶环境对 Fe 的电子/自旋结构进行编程</w:t>
      </w:r>
      <w:r>
        <w:rPr>
          <w:vertAlign w:val="subscript"/>
        </w:rPr>
        <w:t>3</w:t>
      </w:r>
      <w:r>
        <w:t>氧</w:t>
      </w:r>
      <w:r>
        <w:rPr>
          <w:vertAlign w:val="subscript"/>
        </w:rPr>
        <w:t>4</w:t>
      </w:r>
      <w:r>
        <w:t>纳米晶体。使用 2,3- 和 3,4-二氨基吡啶作为异构体构建单元，我们构建了富含吡啶的 COPs 来锚定 Fe</w:t>
      </w:r>
      <w:r>
        <w:rPr>
          <w:vertAlign w:val="subscript"/>
        </w:rPr>
        <w:t>3</w:t>
      </w:r>
      <w:r>
        <w:t>氧</w:t>
      </w:r>
      <w:r>
        <w:rPr>
          <w:vertAlign w:val="subscript"/>
        </w:rPr>
        <w:t>4</w:t>
      </w:r>
      <w:r>
        <w:t>并选择性地调节金属-聚合物相互作用。 2,3-COP 将吡啶 N 定位在 ─C=C─N─ 连接附近，从而增强 COP-Fe</w:t>
      </w:r>
      <w:r>
        <w:rPr>
          <w:vertAlign w:val="subscript"/>
        </w:rPr>
        <w:t>3</w:t>
      </w:r>
      <w:r>
        <w:t>氧</w:t>
      </w:r>
      <w:r>
        <w:rPr>
          <w:vertAlign w:val="subscript"/>
        </w:rPr>
        <w:t>4</w:t>
      </w:r>
      <w:r>
        <w:t>相互作用，增强界面吸电子，并诱导 Fe 物质的低至中自旋转变。光谱分析证实了这种重新配置，它使 Fe d 带中心上移，富集不成对电子，并优化 Fe-O 共价性，从而降低 OOH* 激活的势垒，促进选择性四电子 ORR 途径的稳定性提高。因此，设计的2,3-COP-Fe</w:t>
      </w:r>
      <w:r>
        <w:rPr>
          <w:vertAlign w:val="subscript"/>
        </w:rPr>
        <w:t>3</w:t>
      </w:r>
      <w:r>
        <w:t>氧</w:t>
      </w:r>
      <w:r>
        <w:rPr>
          <w:vertAlign w:val="subscript"/>
        </w:rPr>
        <w:t>4</w:t>
      </w:r>
      <w:r>
        <w:t>电催化剂展品</w:t>
      </w:r>
    </w:p>
    <w:p>
      <w:pPr>
        <w:spacing w:before="0" w:after="200" w:lineRule="auto" w:line="276"/>
      </w:pPr>
      <w:r>
        <w:rPr>
          <w:b/>
        </w:rPr>
        <w:t xml:space="preserve">Abstract (EN): </w:t>
      </w:r>
      <w:r>
        <w:t>The oxygen reduction reaction (ORR) activity of earth‐abundant transition‐metal (TMOs) oxides is limited by inefficient interfacial charge transfer and unfavorable surface adsorption. Here, we report pyridine‐isomerism‐driven interfacial spin‐engineering in covalent organic polymer (COP)‐Fe</w:t>
      </w:r>
      <w:r>
        <w:rPr>
          <w:vertAlign w:val="subscript"/>
        </w:rPr>
        <w:t>3</w:t>
      </w:r>
      <w:r>
        <w:t>O</w:t>
      </w:r>
      <w:r>
        <w:rPr>
          <w:vertAlign w:val="subscript"/>
        </w:rPr>
        <w:t>4</w:t>
      </w:r>
      <w:r>
        <w:t>hybrids, where molecularly defined pyridinic environments program the electronic/spin structure of Fe</w:t>
      </w:r>
      <w:r>
        <w:rPr>
          <w:vertAlign w:val="subscript"/>
        </w:rPr>
        <w:t>3</w:t>
      </w:r>
      <w:r>
        <w:t>O</w:t>
      </w:r>
      <w:r>
        <w:rPr>
          <w:vertAlign w:val="subscript"/>
        </w:rPr>
        <w:t>4</w:t>
      </w:r>
      <w:r>
        <w:t>nanocrystals. Using 2,3‐ and 3,4‐diaminopyridine as isomeric building blocks, we construct pyridinic‐rich COPs that anchor Fe</w:t>
      </w:r>
      <w:r>
        <w:rPr>
          <w:vertAlign w:val="subscript"/>
        </w:rPr>
        <w:t>3</w:t>
      </w:r>
      <w:r>
        <w:t>O</w:t>
      </w:r>
      <w:r>
        <w:rPr>
          <w:vertAlign w:val="subscript"/>
        </w:rPr>
        <w:t>4</w:t>
      </w:r>
      <w:r>
        <w:t>and selectively tune metal‐polymer interaction. The 2,3‐COP positions the pyridinic N adjacent to the ─C═C─N─ linkage, strengthening COP‐Fe</w:t>
      </w:r>
      <w:r>
        <w:rPr>
          <w:vertAlign w:val="subscript"/>
        </w:rPr>
        <w:t>3</w:t>
      </w:r>
      <w:r>
        <w:t>O</w:t>
      </w:r>
      <w:r>
        <w:rPr>
          <w:vertAlign w:val="subscript"/>
        </w:rPr>
        <w:t>4</w:t>
      </w:r>
      <w:r>
        <w:t>interactions, enhancing interfacial electron withdrawal, and inducing a low‐ to intermediate‐spin transition of Fe species. Spectroscopic analysis corroborates this reconfiguration, which upshifts the Fe d‐band center, enriches unpaired electrons, and optimizes Fe‐O covalency, thereby lowering the barrier for OOH* activation and promoting a selective four‐electron ORR pathway with improved stability. Consequently, the designed 2,3‐COP‐Fe</w:t>
      </w:r>
      <w:r>
        <w:rPr>
          <w:vertAlign w:val="subscript"/>
        </w:rPr>
        <w:t>3</w:t>
      </w:r>
      <w:r>
        <w:t>O</w:t>
      </w:r>
      <w:r>
        <w:rPr>
          <w:vertAlign w:val="subscript"/>
        </w:rPr>
        <w:t>4</w:t>
      </w:r>
      <w:r>
        <w:t>electrocatalyst exhibits a stable half‐wave potential of 0.890 V in alkaline electrolyte, outperforming the noble‐metal benchmark. Moreover, when implemented in aqueous Zn‐air batteries, it delivers a maximum power density of 315.4 mW cm</w:t>
      </w:r>
      <w:r>
        <w:t xml:space="preserve"> </w:t>
      </w:r>
      <w:r>
        <w:t>−2</w:t>
      </w:r>
      <w:r>
        <w:t xml:space="preserve"> </w:t>
      </w:r>
      <w:r>
        <w:t>and maintains stable operation for over 800 h at 10 mA cm</w:t>
      </w:r>
      <w:r>
        <w:t xml:space="preserve"> </w:t>
      </w:r>
      <w:r>
        <w:t>−2</w:t>
      </w:r>
      <w:r>
        <w:t xml:space="preserve"> </w:t>
      </w:r>
      <w:r>
        <w:t>, exceeding most reported systems. These findings establish pyridine‐isomerism‐directed spin‐engineering as a versatile and scalable platform for designing applicable high‐performance TMO‐based electrocatalysts.</w:t>
      </w:r>
    </w:p>
    <w:p>
      <w:pPr>
        <w:spacing w:before="120" w:after="120"/>
      </w:pPr>
      <w:r>
        <w:rPr>
          <w:sz w:val="18"/>
        </w:rPr>
        <w:t>——————————————————————————————————————————————————————————————————————</w:t>
      </w:r>
    </w:p>
    <w:p>
      <w:pPr>
        <w:spacing w:before="160" w:after="40" w:line="240" w:lineRule="auto"/>
      </w:pPr>
      <w:r>
        <w:rPr>
          <w:b/>
        </w:rPr>
        <w:t xml:space="preserve">[2] </w:t>
      </w:r>
      <w:hyperlink r:id="rId127">
        <w:r>
          <w:rPr>
            <w:color w:val="1155CC"/>
            <w:u w:val="single"/>
          </w:rPr>
          <w:t>推进锂氧电池：开创性的阴极催化剂创新和人工智能驱动的设计范式</w:t>
        </w:r>
      </w:hyperlink>
    </w:p>
    <w:p>
      <w:pPr>
        <w:spacing w:before="0" w:after="80"/>
      </w:pPr>
      <w:r>
        <w:rPr>
          <w:i/>
          <w:sz w:val="20"/>
        </w:rPr>
        <w:t>EN: Advancing Lithium–Oxygen Batteries: Pioneering Cathode Catalyst Innovation and Artificial Intelligence‐Driven Design Paradigms</w:t>
      </w:r>
    </w:p>
    <w:p>
      <w:pPr>
        <w:spacing w:before="0" w:after="120"/>
      </w:pPr>
      <w:r>
        <w:rPr>
          <w:b/>
        </w:rPr>
        <w:t xml:space="preserve">Source: </w:t>
      </w:r>
      <w:r>
        <w:t>Wiley: Advanced Materials: Table of Contents</w:t>
      </w:r>
      <w:r>
        <w:t xml:space="preserve">    </w:t>
      </w:r>
      <w:r>
        <w:rPr>
          <w:b/>
        </w:rPr>
        <w:t xml:space="preserve">Pub date: </w:t>
      </w:r>
      <w:r>
        <w:t>2026-06-01 07:11:24+00:00</w:t>
      </w:r>
      <w:r>
        <w:t xml:space="preserve">    </w:t>
      </w:r>
      <w:r>
        <w:rPr>
          <w:b/>
        </w:rPr>
        <w:t xml:space="preserve">DOI: </w:t>
      </w:r>
      <w:hyperlink r:id="rId128">
        <w:r>
          <w:rPr>
            <w:color w:val="1155CC"/>
            <w:u w:val="single"/>
          </w:rPr>
          <w:t>10.1002/adma.73460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锂氧电池（LOB）因其极高的理论能量密度而被认为是最有前途的下一代储能系统之一。然而，它们的实际应用仍然受到缓慢的氧还原和析出反应动力学、绝缘放电产物、大电压极化和较差的循环稳定性的严重阻碍。阴极催化剂在调节反应途径、加速界面动力学和提高反应可逆性方面发挥着关键作用。本文系统总结了非水LOB的基本工作原理和关键挑战，全面概述了阴极催化剂材料的最新进展，包括碳基催化剂、贵金属、过渡金属氧化物、硫化物、氮化物、碳化物和氧化还原介体。特别强调新兴的催化剂设计策略，例如单原子催化剂、金属有机骨架衍生材料、异质结构和界面工程、高熵催化剂和自旋相关的氧电催化。此外，还探讨了高通量计算和人工智能驱动的催化剂设计的最新进展，突出了数据辅助发现、多尺度结构-活性关系和机制引导优化的潜力。该综述最后解决了关键挑战，并概述了开发高效、耐用且实用的非水 LOB 阴极催化剂的未来方向。</w:t>
      </w:r>
    </w:p>
    <w:p>
      <w:pPr>
        <w:spacing w:before="0" w:after="200" w:lineRule="auto" w:line="276"/>
      </w:pPr>
      <w:r>
        <w:rPr>
          <w:b/>
        </w:rPr>
        <w:t xml:space="preserve">Abstract (EN): </w:t>
      </w:r>
      <w:r>
        <w:t>Lithium‐oxygen batteries (LOBs) are regarded as one of the most promising next‐generation energy storage systems, owing to their exceptionally high theoretical energy density. However, their practical application remains severely hindered by sluggish oxygen reduction and evolution reaction kinetics, insulating discharge products, large voltage polarization, and poor cycling stability. Cathode catalysts play a pivotal role in regulating reaction pathways, accelerating interfacial kinetics, and improving reaction reversibility. This review systematically summarizes the fundamental working principles and key challenges of nonaqueous LOBs, followed by a comprehensive overview of recent advances in cathode catalyst materials, including carbon‐based catalysts, noble metals, transition metal oxides, sulfides, nitrides, carbides, and redox mediators. Particular emphasis is placed on emerging catalyst design strategies, such as single‐atom catalysts, metal–organic frameworks‐derived materials, heterostructure and interfacial engineering, high‐entropy catalysts, and spin‐related oxygen electrocatalysis. In addition, recent progress in high‐throughput computation and artificial intelligence‐driven catalyst design is explored, highlighting the potential for data‐assisted discovery, multiscale structure‐activity relationships, and mechanism‐guided optimization. The review concludes by addressing the critical challenges and outlining future directions for the development of efficient, durable, and practically viable cathode catalysts for nonaqueous LOBs.</w:t>
      </w:r>
    </w:p>
    <w:p>
      <w:pPr>
        <w:spacing w:before="120" w:after="120"/>
      </w:pPr>
      <w:r>
        <w:rPr>
          <w:sz w:val="18"/>
        </w:rPr>
        <w:t>——————————————————————————————————————————————————————————————————————</w:t>
      </w:r>
    </w:p>
    <w:p>
      <w:pPr>
        <w:spacing w:before="160" w:after="40" w:line="240" w:lineRule="auto"/>
      </w:pPr>
      <w:r>
        <w:rPr>
          <w:b/>
        </w:rPr>
        <w:t xml:space="preserve">[3] </w:t>
      </w:r>
      <w:hyperlink r:id="rId129">
        <w:r>
          <w:rPr>
            <w:color w:val="1155CC"/>
            <w:u w:val="single"/>
          </w:rPr>
          <w:t>通过光耦合电极实现金属||空气电池的直接太阳能充电</w:t>
        </w:r>
      </w:hyperlink>
    </w:p>
    <w:p>
      <w:pPr>
        <w:spacing w:before="0" w:after="80"/>
      </w:pPr>
      <w:r>
        <w:rPr>
          <w:i/>
          <w:sz w:val="20"/>
        </w:rPr>
        <w:t>EN: Direct solar energy charging of metal||air batteries enabled by photo-coupled electrodes</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在可充电电池中实现太阳能充电一直是几代科学家的梦想，标志着可持续能源存储的转变。关键的挑战是光充电电极需要同时具备高光伏效率和循环稳定性。在此，通过直接光激发对sp2杂化碳网络进行动态重构，我们提出了氮取代石墨二炔作为无金属光电极，用于可充电电池中的集成太阳能充电。氮取代石墨二炔通过光激发下改进的中间体吸附和空穴介导氧化的协同效应加速析氧反应动力学。氮取代石墨二炔基光耦合正极适用于多种金属||空气电池（Zn||空气、Li||O2、Mg||空气、Fe||空气和Al||空气），包括1.33 V的低充电电压和96.9%的Zn||空气电池能量效率，以及在100 mA cm−2下超过230次循环的稳定性。 Li||O2电池的效率达到96.3%，而Mg||空气、Fe||空气和Al||空气系统的充电电压降低。这项研究开创了一类光电极，其活性位点由光直接动态定义，为高效太阳能驱动的能量转换和存储开辟了途径。</w:t>
      </w:r>
    </w:p>
    <w:p>
      <w:pPr>
        <w:spacing w:before="0" w:after="200" w:lineRule="auto" w:line="276"/>
      </w:pPr>
      <w:r>
        <w:rPr>
          <w:b/>
        </w:rPr>
        <w:t xml:space="preserve">Abstract (EN): </w:t>
      </w:r>
      <w:r>
        <w:t>The realization of solar-charging within rechargeable batteries has been a dream of several generations of scientists, marking a transformation in sustainable energy storage. The key challenge is that the photo-rechargeable electrodes need to simultaneously possess high photovoltaic efficiency and cycling stability. Herein, through dynamic reconfiguration of sp-hybridized carbon networks via direct photoexcitation, we present nitrogen-substituted graphdiyne as a metal-free photoelectrode for integrated solar-charging in rechargeable batteries. Nitrogen-substituted graphdiyne accelerates oxygen evolution reaction kinetics by the synergistic effect of improved intermediate adsorption and hole-mediated oxidation under light excitation. Nitrogen-substituted graphdiyne-based photo-coupled positive electrodes are applicable to multiple metal||air batteries (Zn||air, Li||O2, Mg||air, Fe||air, and Al||air), including a low charging voltage of 1.33 V and 96.9% energy efficiency in Zn||air batteries, along with stability over 230 cycles at 100 mA cm−2. The Li||O2 battery achieved an efficiency of 96.3%, while Mg||air, Fe||air, and Al||air systems exhibited reduced charging voltages. This research has pioneered a class of photoelectrodes whose active sites are directly and dynamically defined by light, opening avenues for high-efficiency solar-driven energy conversion and storage.</w:t>
      </w:r>
    </w:p>
    <w:p>
      <w:pPr>
        <w:spacing w:before="120" w:after="120"/>
      </w:pPr>
      <w:r>
        <w:rPr>
          <w:sz w:val="18"/>
        </w:rPr>
        <w:t>——————————————————————————————————————————————————————————————————————</w:t>
      </w:r>
    </w:p>
    <w:p>
      <w:pPr>
        <w:spacing w:before="160" w:after="40" w:line="240" w:lineRule="auto"/>
      </w:pPr>
      <w:r>
        <w:rPr>
          <w:b/>
        </w:rPr>
        <w:t xml:space="preserve">[4] </w:t>
      </w:r>
      <w:hyperlink r:id="rId130">
        <w:r>
          <w:rPr>
            <w:color w:val="1155CC"/>
            <w:u w:val="single"/>
          </w:rPr>
          <w:t>用于动物福利的机器学习辅助自供电耳标</w:t>
        </w:r>
      </w:hyperlink>
    </w:p>
    <w:p>
      <w:pPr>
        <w:spacing w:before="0" w:after="80"/>
      </w:pPr>
      <w:r>
        <w:rPr>
          <w:i/>
          <w:sz w:val="20"/>
        </w:rPr>
        <w:t>EN: Machine learning-assisted self-powered ear tag for animal welfare</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代谢健康是动物福利的重要指标，但集约化养殖饮食中的营养失衡往往会导致代谢失调。 ‌然而，在集约化生产系统中精确识别代谢异常的动物仍然具有挑战性。在这里，我们报告了一种机器学习辅助的自供电耳标，可以简化畜牧生产中的大规模部署，提供离子稳态的持续监测。耳标由基于摩擦纳米发电机和太阳能电池的混合能量收集模块供电，通过优化的占空比策略维持能量自主运行。该系统利用基于微针的多重生物传感模块，有助于对间质液中的 pH、K+ 和 Ca2+ 波动进行微创和时间分辨监测。通过实施机器学习管道来解码这些多离子标记的协调动态，该平台有效地区分五种不同的福利相关状态，平均分类准确度超过 95%。该性能通过来自三只独立动物的 5399 个采样窗口的留一动物交叉验证得到严格验证。通过将能源自主操作与智能代谢分析功能结合起来，自供电耳标为下一代精准牲畜健康监测和福利管理建立了可扩展的技术范例。</w:t>
      </w:r>
    </w:p>
    <w:p>
      <w:pPr>
        <w:spacing w:before="0" w:after="200" w:lineRule="auto" w:line="276"/>
      </w:pPr>
      <w:r>
        <w:rPr>
          <w:b/>
        </w:rPr>
        <w:t xml:space="preserve">Abstract (EN): </w:t>
      </w:r>
      <w:r>
        <w:t>Metabolic health serves as a crucial indicator of animal welfare, yet nutritional imbalances in intensive farming diets often induce metabolic dysregulation. ‌However, precise identification of metabolically abnormal animals within intensive production systems remains challenging. Here we report a machine learning-assisted self-powered ear tag that enables streamlined large-scale deployment in livestock production, providing continuous monitoring of ion homeostasis. The ear tag is powered by a hybrid energy harvesting module based on a triboelectric nanogenerator and a solar cell, sustaining energy-autonomous operation through an optimized duty-cycled strategy. Leveraging a microneedle-based multiplexed biosensing module, the system facilitates minimally invasive and time-resolved monitoring of pH, K+, and Ca2+ fluctuations in interstitial fluid. By implementing a machine learning pipeline to decode the coordinated dynamics of these multi-ionic markers, the platform effectively distinguishes among five distinct welfare-related states with an average classification accuracy over 95%. This performance is rigorously validated via leave-one-animal-out cross-validation across 5399 sampling windows from three independent animals. By bridging energy-autonomous operation with intelligent metabolic profiling capabilities, the self-powered ear tag establishes a scalable technological paradigm for next-generation precision livestock health monitoring and welfare management.</w:t>
      </w:r>
    </w:p>
    <w:p>
      <w:pPr>
        <w:spacing w:before="120" w:after="120"/>
      </w:pPr>
      <w:r>
        <w:rPr>
          <w:sz w:val="18"/>
        </w:rPr>
        <w:t>——————————————————————————————————————————————————————————————————————</w:t>
      </w:r>
    </w:p>
    <w:p>
      <w:pPr>
        <w:spacing w:before="160" w:after="40" w:line="240" w:lineRule="auto"/>
      </w:pPr>
      <w:r>
        <w:rPr>
          <w:b/>
        </w:rPr>
        <w:t xml:space="preserve">[5] </w:t>
      </w:r>
      <w:hyperlink r:id="rId131">
        <w:r>
          <w:rPr>
            <w:color w:val="1155CC"/>
            <w:u w:val="single"/>
          </w:rPr>
          <w:t>手性诱导的扭曲超分子组装在高温下解锁超高能量密度</w:t>
        </w:r>
      </w:hyperlink>
    </w:p>
    <w:p>
      <w:pPr>
        <w:spacing w:before="0" w:after="80"/>
      </w:pPr>
      <w:r>
        <w:rPr>
          <w:i/>
          <w:sz w:val="20"/>
        </w:rPr>
        <w:t>EN: Chirality‐Induced Twisted Supramolecular Assembly Unlocks Ultrahigh Energy Density at Elevated Temperatures</w:t>
      </w:r>
    </w:p>
    <w:p>
      <w:pPr>
        <w:spacing w:before="0" w:after="120"/>
      </w:pPr>
      <w:r>
        <w:rPr>
          <w:b/>
        </w:rPr>
        <w:t xml:space="preserve">Source: </w:t>
      </w:r>
      <w:r>
        <w:t>Wiley: Advanced Materials: Table of Contents</w:t>
      </w:r>
      <w:r>
        <w:t xml:space="preserve">    </w:t>
      </w:r>
      <w:r>
        <w:rPr>
          <w:b/>
        </w:rPr>
        <w:t xml:space="preserve">Pub date: </w:t>
      </w:r>
      <w:r>
        <w:t>2026-06-02 05:49:19+00:00</w:t>
      </w:r>
      <w:r>
        <w:t xml:space="preserve">    </w:t>
      </w:r>
      <w:r>
        <w:rPr>
          <w:b/>
        </w:rPr>
        <w:t xml:space="preserve">DOI: </w:t>
      </w:r>
      <w:hyperlink r:id="rId132">
        <w:r>
          <w:rPr>
            <w:color w:val="1155CC"/>
            <w:u w:val="single"/>
          </w:rPr>
          <w:t>10.1002/adma.73555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为了满足高功率密度电子产品的需求，耐高温聚合物电介质对于确保可靠运行至关重要。尽管分子半导体掺杂有效地提高了聚合物电介质的高温性能，但半导体通常以孤立的、不连续的分布存在。除了分散性差和界面不相容的固有问题外，这种形态还可能在过度掺杂下形成导电通路，导致介电性能严重退化。在此，我们将手性分子，例如(13bR)-5,6-二氢-5-(反式-4-丙基环己基)-4H-二萘并[2,1-f:1',2'-h][1,5]二恶英(R5011)及其手性对映体(S5011)引入聚醚砜(PES)中，构建超分子手性共组装结构。通过</w:t>
      </w:r>
      <w:r>
        <w:t xml:space="preserve"> </w:t>
      </w:r>
      <w:r>
        <w:t>π</w:t>
      </w:r>
      <w:r>
        <w:t xml:space="preserve"> </w:t>
      </w:r>
      <w:r>
        <w:t>–</w:t>
      </w:r>
      <w:r>
        <w:t xml:space="preserve"> </w:t>
      </w:r>
      <w:r>
        <w:t>π</w:t>
      </w:r>
      <w:r>
        <w:t xml:space="preserve"> </w:t>
      </w:r>
      <w:r>
        <w:t>通过堆积相互作用，手性分子在宏观聚合物链水平上产生放大和突现的手性表达。手性放大形成的局部扭曲结构导致砜侧苯环之间的扭转角增大并构建载流子陷阱，从而显着提高击穿强度。最终，共组装 PES 实现了 8.73 J cm 的高能量密度</w:t>
      </w:r>
      <w:r>
        <w:t xml:space="preserve"> </w:t>
      </w:r>
      <w:r>
        <w:t>−3</w:t>
      </w:r>
      <w:r>
        <w:t xml:space="preserve"> </w:t>
      </w:r>
      <w:r>
        <w:t>(150°C) 效率为 90%，最大放电能量密度为 10.08 J cm</w:t>
      </w:r>
      <w:r>
        <w:t xml:space="preserve"> </w:t>
      </w:r>
      <w:r>
        <w:t>−3</w:t>
      </w:r>
      <w:r>
        <w:t xml:space="preserve"> </w:t>
      </w:r>
      <w:r>
        <w:t>在150°C。此外，斯塔</w:t>
      </w:r>
    </w:p>
    <w:p>
      <w:pPr>
        <w:spacing w:before="0" w:after="200" w:lineRule="auto" w:line="276"/>
      </w:pPr>
      <w:r>
        <w:rPr>
          <w:b/>
        </w:rPr>
        <w:t xml:space="preserve">Abstract (EN): </w:t>
      </w:r>
      <w:r>
        <w:t>To meet the demands of high‐power‐density electronics, high‐temperature‐resistant polymer dielectrics are essential for ensuring reliable operation. Although doping with molecular semiconductors effectively improves the high‐temperature performance of polymer dielectrics, the semiconductors often exist in an isolated, discontinuous distribution. Beyond the inherent issues of poor dispersion and interfacial incompatibility, this morphology may also form conductive pathways under excessive doping, resulting in severe degradation of dielectric properties. Herein, we incorporated chiral molecules e.g., (13bR)‐5,6‐dihydro‐5‐(trans‐4‐propylcyclohexyl)‐4H‐dinaphtho[2,1‐f:1’,2’‐h][1,5]dioxonin (R5011) and its chiral enantiomer (S5011) into polyethersulfone (PES) to construct supramolecular chiral co‐assembly structure. Through</w:t>
      </w:r>
      <w:r>
        <w:t xml:space="preserve"> </w:t>
      </w:r>
      <w:r>
        <w:t>π</w:t>
      </w:r>
      <w:r>
        <w:t xml:space="preserve"> </w:t>
      </w:r>
      <w:r>
        <w:t>–</w:t>
      </w:r>
      <w:r>
        <w:t xml:space="preserve"> </w:t>
      </w:r>
      <w:r>
        <w:t>π</w:t>
      </w:r>
      <w:r>
        <w:t xml:space="preserve"> </w:t>
      </w:r>
      <w:r>
        <w:t>stacking interactions, the chiral molecules give rise to an amplified and emergent chiral expression at the macroscopic polymer chain level. The local twisted structure formed by chiral amplification leads to an enlarged torsional angle between the sulfone‐flanking phenyl rings and constructs carrier traps, thereby significantly enhancing the breakdown strength. Ultimately, the co‐assembly PES achieved high energy densities of 8.73 J cm</w:t>
      </w:r>
      <w:r>
        <w:t xml:space="preserve"> </w:t>
      </w:r>
      <w:r>
        <w:t>−3</w:t>
      </w:r>
      <w:r>
        <w:t xml:space="preserve"> </w:t>
      </w:r>
      <w:r>
        <w:t>(150°C) with efficiency of 90% and maximum discharge energy density of 10.08 J cm</w:t>
      </w:r>
      <w:r>
        <w:t xml:space="preserve"> </w:t>
      </w:r>
      <w:r>
        <w:t>−3</w:t>
      </w:r>
      <w:r>
        <w:t xml:space="preserve"> </w:t>
      </w:r>
      <w:r>
        <w:t>at 150°C. Furthermore, stacked film capacitors based on the PES composite films demonstrated excellent high‐temperature capacitance stability at 150°C. This work demonstrates a novel approach to designing advanced polymer dielectrics through supramolecular interactions.</w:t>
      </w:r>
    </w:p>
    <w:p>
      <w:pPr>
        <w:spacing w:before="120" w:after="120"/>
      </w:pPr>
      <w:r>
        <w:rPr>
          <w:sz w:val="18"/>
        </w:rPr>
        <w:t>——————————————————————————————————————————————————————————————————————</w:t>
      </w:r>
    </w:p>
    <w:p>
      <w:pPr>
        <w:spacing w:before="160" w:after="40" w:line="240" w:lineRule="auto"/>
      </w:pPr>
      <w:r>
        <w:rPr>
          <w:b/>
        </w:rPr>
        <w:t xml:space="preserve">[6] </w:t>
      </w:r>
      <w:hyperlink r:id="rId101">
        <w:r>
          <w:rPr>
            <w:color w:val="1155CC"/>
            <w:u w:val="single"/>
          </w:rPr>
          <w:t>量子相干类克拉尼共振：将离子编程为亚皮秒传导的物质波</w:t>
        </w:r>
      </w:hyperlink>
    </w:p>
    <w:p>
      <w:pPr>
        <w:spacing w:before="0" w:after="80"/>
      </w:pPr>
      <w:r>
        <w:rPr>
          <w:i/>
          <w:sz w:val="20"/>
        </w:rPr>
        <w:t>EN: Quantum coherent Chladni-like resonance: Programming ions as matter waves for subpicosecond conduction</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102">
        <w:r>
          <w:rPr>
            <w:color w:val="1155CC"/>
            <w:u w:val="single"/>
          </w:rPr>
          <w:t>10.1073/pnas.2604081123</w:t>
        </w:r>
      </w:hyperlink>
    </w:p>
    <w:p>
      <w:pPr>
        <w:spacing w:before="0" w:after="120"/>
      </w:pPr>
      <w:r>
        <w:rPr>
          <w:b/>
        </w:rPr>
        <w:t xml:space="preserve">Notes: </w:t>
      </w:r>
      <w:r>
        <w:t>abstract_source=crossref</w:t>
      </w:r>
    </w:p>
    <w:p>
      <w:pPr>
        <w:spacing w:before="0" w:after="80" w:lineRule="auto" w:line="276"/>
      </w:pPr>
      <w:r>
        <w:rPr>
          <w:b/>
        </w:rPr>
        <w:t xml:space="preserve">摘要（ZH）: </w:t>
      </w:r>
      <w:r>
        <w:t>类似于电子波导，实现固体中离子传输的相干控制仍然是一个基本挑战，因为离子运动通常受到缓慢的随机跳跃的限制。在这里，我们证明了二维电化学电池（硼烯/h-BN/石墨烯）具有集体离子本征模式，当它被“临界频率”电脉冲（10 kHz）共振激发时，将离子传导从扩散漂移转变为相干的弹道波。时间分辨泵浦探针光谱通过强烈的 28 THz 振荡（亚皮秒波状运动的光谱指纹）的出现直接揭示了这种转变。整个插层离子系综同相移动，以相干波包的形式在 300 fs 内穿过 80 nm 通道，相当于经典扩散速度提高了 1,000 倍以上。利用这种谐振控制原理，我们实现了一种可以用激光脉冲在皮秒内充电的电化学装置。这项工作表明，离子物质可以实现量子级的类克拉尼共振，从而建立了一条可编程、超快相干离子传导的通用途径。通过将无序粒子中的离子转化为可控物质波，我们解锁了皮秒级能量存储和神经形态计算的相干离子领域。</w:t>
      </w:r>
    </w:p>
    <w:p>
      <w:pPr>
        <w:spacing w:before="0" w:after="200" w:lineRule="auto" w:line="276"/>
      </w:pPr>
      <w:r>
        <w:rPr>
          <w:b/>
        </w:rPr>
        <w:t xml:space="preserve">Abstract (EN): </w:t>
      </w:r>
      <w:r>
        <w:t>Achieving coherent control of ionic transport in solids, analogous to electron waveguides, remains a fundamental challenge, as ionic motion is typically limited by slow, stochastic hopping. Here, we demonstrate that a two-dimensional electrochemical cell (borophene/h-BN/graphene) possesses a collective ionic eigenmode, which, when resonantly excited by a “critical-frequency” electrical pulse (10 kHz), transforms ionic conduction from diffusive drift into a coherent, ballistic wave. Time-resolved pump–probe spectroscopy directly reveals this transition through the emergence of a strong 28 THz oscillation, a spectroscopic fingerprint of subpicosecond, wavelike motion. The entire intercalated ion ensemble moves in phase, traversing the 80 nm channel as a coherent wave packet in under 300 fs, corresponding to &amp;gt;1,000-fold speed enhancement over classical diffusion. Leveraging this resonant control principle, we realize an electrochemical device that can be charged in picoseconds with a laser pulse. This work demonstrates that quantum-level, Chladni-like resonance is achievable for ionic matter, establishing a universal pathway to programmable, ultrafast coherent ionic conduction. By transforming ions from disordered particles into controllable matter-waves, we unlock the field of coherent ionics for picosecond-scale energy storage and neuromorphic computing.</w:t>
      </w:r>
    </w:p>
    <w:p>
      <w:pPr>
        <w:spacing w:before="120" w:after="120"/>
      </w:pPr>
      <w:r>
        <w:rPr>
          <w:sz w:val="18"/>
        </w:rPr>
        <w:t>——————————————————————————————————————————————————————————————————————</w:t>
      </w:r>
    </w:p>
    <w:p>
      <w:pPr>
        <w:spacing w:before="160" w:after="40" w:line="240" w:lineRule="auto"/>
      </w:pPr>
      <w:r>
        <w:rPr>
          <w:b/>
        </w:rPr>
        <w:t xml:space="preserve">[7] </w:t>
      </w:r>
      <w:hyperlink r:id="rId103">
        <w:r>
          <w:rPr>
            <w:color w:val="1155CC"/>
            <w:u w:val="single"/>
          </w:rPr>
          <w:t>基于光热增强水凝胶的热电化学电池，用于稳定、被动收集低品位热量</w:t>
        </w:r>
      </w:hyperlink>
    </w:p>
    <w:p>
      <w:pPr>
        <w:spacing w:before="0" w:after="80"/>
      </w:pPr>
      <w:r>
        <w:rPr>
          <w:i/>
          <w:sz w:val="20"/>
        </w:rPr>
        <w:t>EN: Photothermally Enhanced Hydrogel‐Based Thermoelectrochemical Cells for Stable, Passive Harvesting of Low‐Grade Heat</w:t>
      </w:r>
    </w:p>
    <w:p>
      <w:pPr>
        <w:spacing w:before="0" w:after="120"/>
      </w:pPr>
      <w:r>
        <w:rPr>
          <w:b/>
        </w:rPr>
        <w:t xml:space="preserve">Source: </w:t>
      </w:r>
      <w:r>
        <w:t>Wiley: Advanced Energy Materials: Table of Contents</w:t>
      </w:r>
      <w:r>
        <w:t xml:space="preserve">    </w:t>
      </w:r>
      <w:r>
        <w:rPr>
          <w:b/>
        </w:rPr>
        <w:t xml:space="preserve">Pub date: </w:t>
      </w:r>
      <w:r>
        <w:t>2026-06-02 07:07:24+00:00</w:t>
      </w:r>
      <w:r>
        <w:t xml:space="preserve">    </w:t>
      </w:r>
      <w:r>
        <w:rPr>
          <w:b/>
        </w:rPr>
        <w:t xml:space="preserve">DOI: </w:t>
      </w:r>
      <w:hyperlink r:id="rId104">
        <w:r>
          <w:rPr>
            <w:color w:val="1155CC"/>
            <w:u w:val="single"/>
          </w:rPr>
          <w:t>10.1002/aenm.71155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品位废热（&lt;100°C）是一种丰富但未得到充分利用的能源，因为它的火用低且传统转换技术在小温度梯度和被动操作下效率低下。在这里，报道了一种光热增强热电化学电池（PTEC），它是由高离子电导率的双网络水凝胶电解质实现的，该电解质结合了胍增强的铁/铁氰化物氧化还原电对。光热碳电极与准固体结构的集成在热和太阳激发下建立了稳定的温度梯度，无需主动冷却或液体电解质。 PTEC 提供 4.5 mV K 的瞬时热电势</w:t>
      </w:r>
      <w:r>
        <w:t xml:space="preserve"> </w:t>
      </w:r>
      <w:r>
        <w:t>-</w:t>
      </w:r>
      <w:r>
        <w:rPr>
          <w:vertAlign w:val="subscript"/>
        </w:rPr>
        <w:t>1</w:t>
      </w:r>
      <w:r>
        <w:t>标准化功率密度为 5 mW m</w:t>
      </w:r>
      <w:r>
        <w:t xml:space="preserve"> </w:t>
      </w:r>
      <w:r>
        <w:t>-</w:t>
      </w:r>
      <w:r>
        <w:rPr>
          <w:vertAlign w:val="subscript"/>
        </w:rPr>
        <w:t>2</w:t>
      </w:r>
      <w:r>
        <w:t>K</w:t>
      </w:r>
      <w:r>
        <w:t xml:space="preserve"> </w:t>
      </w:r>
      <w:r>
        <w:t>-</w:t>
      </w:r>
      <w:r>
        <w:rPr>
          <w:vertAlign w:val="subscript"/>
        </w:rPr>
        <w:t>2</w:t>
      </w:r>
      <w:r>
        <w:t>在被动冷却下，超越了现有的基于水凝胶的热电化学电池并接近最先进的液体系统。长期运行揭示了在稳定电流密度下稳定的扩散限制衰减，阻抗分析将质量传输确定为主要瓶颈。脉冲负载操作减轻了离子损耗，相对于连续放电，累积电荷提取提高了 2.5 倍，平均功率提高了 60% 以上。九电池阵列仅使用低品位热量直接为电化学系统充电（</w:t>
      </w:r>
      <w:r>
        <w:t xml:space="preserve"> </w:t>
      </w:r>
      <w:r>
        <w:t>时间</w:t>
      </w:r>
      <w:r>
        <w:t xml:space="preserve"> </w:t>
      </w:r>
      <w:r>
        <w:t>H</w:t>
      </w:r>
    </w:p>
    <w:p>
      <w:pPr>
        <w:spacing w:before="0" w:after="200" w:lineRule="auto" w:line="276"/>
      </w:pPr>
      <w:r>
        <w:rPr>
          <w:b/>
        </w:rPr>
        <w:t xml:space="preserve">Abstract (EN): </w:t>
      </w:r>
      <w:r>
        <w:t>Low‐grade waste heat (&amp;lt;100°C) is an abundant yet underutilized energy resource due to its low exergy and the inefficiency of conventional conversion technologies under small temperature gradients and passive operation. Here, a photothermally enhanced thermoelectrochemical cell (PTEC) is reported, enabled by a high‐ionic‐conductivity double‐network hydrogel electrolyte incorporating a guanidinium‐boosted ferro/ferricyanide redox couple. Integration of photothermal carbon electrodes with a quasi‐solid architecture establishes stable temperature gradients under both thermal and solar excitation, without active cooling or liquid electrolytes. The PTEC delivers an instantaneous thermopower of 4.5 mV K</w:t>
      </w:r>
      <w:r>
        <w:t xml:space="preserve"> </w:t>
      </w:r>
      <w:r>
        <w:t>−</w:t>
      </w:r>
      <w:r>
        <w:rPr>
          <w:vertAlign w:val="subscript"/>
        </w:rPr>
        <w:t>1</w:t>
      </w:r>
      <w:r>
        <w:t>and a normalized power density of 5 mW m</w:t>
      </w:r>
      <w:r>
        <w:t xml:space="preserve"> </w:t>
      </w:r>
      <w:r>
        <w:t>−</w:t>
      </w:r>
      <w:r>
        <w:rPr>
          <w:vertAlign w:val="subscript"/>
        </w:rPr>
        <w:t>2</w:t>
      </w:r>
      <w:r>
        <w:t>K</w:t>
      </w:r>
      <w:r>
        <w:t xml:space="preserve"> </w:t>
      </w:r>
      <w:r>
        <w:t>−</w:t>
      </w:r>
      <w:r>
        <w:rPr>
          <w:vertAlign w:val="subscript"/>
        </w:rPr>
        <w:t>2</w:t>
      </w:r>
      <w:r>
        <w:t>under passive cooling, surpassing prior hydrogel‐based thermoelectrochemical cells and approaching state‐of‐the‐art liquid systems. Long‐term operation reveals diffusion‐limited decay that stabilizes at steady current densities, with impedance analysis identifying mass transport as the dominant bottleneck. Pulsed‐load operation mitigates ion depletion, enhancing cumulative charge extraction by 2.5× and average power by &amp;gt;60% relative to continuous discharge. A nine‐cell array directly recharges an electrochemical system using only low‐grade heat (</w:t>
      </w:r>
      <w:r>
        <w:t xml:space="preserve"> </w:t>
      </w:r>
      <w:r>
        <w:t>T</w:t>
      </w:r>
      <w:r>
        <w:t xml:space="preserve"> </w:t>
      </w:r>
      <w:r>
        <w:t>H</w:t>
      </w:r>
      <w:r>
        <w:t xml:space="preserve"> </w:t>
      </w:r>
      <w:r>
        <w:t>=  50°C). This work elucidates key mechanisms governing sustained performance and demonstrates a robust, scalable platform for passive harvesting of ubiquitous low‐grade heat toward self‐powered distributed electronics.</w:t>
      </w:r>
    </w:p>
    <w:p>
      <w:pPr>
        <w:spacing w:before="120" w:after="120"/>
      </w:pPr>
      <w:r>
        <w:rPr>
          <w:sz w:val="18"/>
        </w:rPr>
        <w:t>——————————————————————————————————————————————————————————————————————</w:t>
      </w:r>
    </w:p>
    <w:p>
      <w:pPr>
        <w:spacing w:before="160" w:after="40" w:line="240" w:lineRule="auto"/>
      </w:pPr>
      <w:r>
        <w:rPr>
          <w:b/>
        </w:rPr>
        <w:t xml:space="preserve">[8] </w:t>
      </w:r>
      <w:hyperlink r:id="rId133">
        <w:r>
          <w:rPr>
            <w:color w:val="1155CC"/>
            <w:u w:val="single"/>
          </w:rPr>
          <w:t>边缘配位 CQD@MXene 中的电子离域限制耦合可实现超快质子传输的氢键调制</w:t>
        </w:r>
      </w:hyperlink>
    </w:p>
    <w:p>
      <w:pPr>
        <w:spacing w:before="0" w:after="80"/>
      </w:pPr>
      <w:r>
        <w:rPr>
          <w:i/>
          <w:sz w:val="20"/>
        </w:rPr>
        <w:t>EN: Electronic Delocalization‐Confinement Coupling in Edge‐Coordinated CQDs@MXene Enables Hydrogen‐Bond Modulation for Ultrafast Proton Transport</w:t>
      </w:r>
    </w:p>
    <w:p>
      <w:pPr>
        <w:spacing w:before="0" w:after="120"/>
      </w:pPr>
      <w:r>
        <w:rPr>
          <w:b/>
        </w:rPr>
        <w:t xml:space="preserve">Source: </w:t>
      </w:r>
      <w:r>
        <w:t>Wiley: Advanced Materials: Table of Contents</w:t>
      </w:r>
      <w:r>
        <w:t xml:space="preserve">    </w:t>
      </w:r>
      <w:r>
        <w:rPr>
          <w:b/>
        </w:rPr>
        <w:t xml:space="preserve">Pub date: </w:t>
      </w:r>
      <w:r>
        <w:t>2026-06-02 07:08:32+00:00</w:t>
      </w:r>
      <w:r>
        <w:t xml:space="preserve">    </w:t>
      </w:r>
      <w:r>
        <w:rPr>
          <w:b/>
        </w:rPr>
        <w:t xml:space="preserve">DOI: </w:t>
      </w:r>
      <w:hyperlink r:id="rId134">
        <w:r>
          <w:rPr>
            <w:color w:val="1155CC"/>
            <w:u w:val="single"/>
          </w:rPr>
          <w:t>10.1002/adma.73570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二维受限电极中的有效质子传输关键取决于界面氢键网络的灵活性。然而，界面问题在二维有限空间中变得更加明显。受限水分子和 MXene 表面 ─O 末端之间的强氢键固定质子并阻碍电荷存储动力学。在这里，我们引入了一种边缘协调策略来实现 Ti 中的精确电子离域调制</w:t>
      </w:r>
      <w:r>
        <w:rPr>
          <w:vertAlign w:val="subscript"/>
        </w:rPr>
        <w:t>3</w:t>
      </w:r>
      <w:r>
        <w:t>C</w:t>
      </w:r>
      <w:r>
        <w:rPr>
          <w:vertAlign w:val="subscript"/>
        </w:rPr>
        <w:t>2</w:t>
      </w:r>
      <w:r>
        <w:t>时间</w:t>
      </w:r>
      <w:r>
        <w:t xml:space="preserve"> </w:t>
      </w:r>
      <w:r>
        <w:t>x</w:t>
      </w:r>
      <w:r>
        <w:t xml:space="preserve"> </w:t>
      </w:r>
      <w:r>
        <w:t>MXene 通过将羧基功能化碳量子点 (CQD) 锚定在带正电的边缘。 CQD 在表面 ─O 位点上诱导大量电子离域，同时削弱刚性氢键并促进界面电荷转移。这种调节建立了一个动态氢键网络，支持有限通道内连续的 Grotthuss 型质子迁移。因此，优化后的 CQDs@MXene 电极的体积电容为 2507.2 F cm</w:t>
      </w:r>
      <w:r>
        <w:t xml:space="preserve"> </w:t>
      </w:r>
      <w:r>
        <w:t>−3</w:t>
      </w:r>
      <w:r>
        <w:t xml:space="preserve"> </w:t>
      </w:r>
      <w:r>
        <w:t>，在 1000 mV s 时保留 65.8%</w:t>
      </w:r>
      <w:r>
        <w:t xml:space="preserve"> </w:t>
      </w:r>
      <w:r>
        <w:t>−1</w:t>
      </w:r>
      <w:r>
        <w:t xml:space="preserve"> </w:t>
      </w:r>
      <w:r>
        <w:t>，并在 10 000 次循环中保持近 100% 的稳定性。原位振动光谱和密度泛函理论揭示电子离域驱动弱氢键界面，电荷转移耦合控制质子传输动力学。这项工作是</w:t>
      </w:r>
    </w:p>
    <w:p>
      <w:pPr>
        <w:spacing w:before="0" w:after="200" w:lineRule="auto" w:line="276"/>
      </w:pPr>
      <w:r>
        <w:rPr>
          <w:b/>
        </w:rPr>
        <w:t xml:space="preserve">Abstract (EN): </w:t>
      </w:r>
      <w:r>
        <w:t>Efficient proton transport in 2D confined electrodes critically depends on the flexibility of interfacial hydrogen‐bond networks. However, the interfacial issue becomes more pronounced in the 2D confined space. The strong hydrogen bonds between confined water molecules and surface ─O terminations of MXenes immobilize protons and hinder charge storage kinetics. Here, we introduce an edge‐coordination strategy to achieve precise electronic delocalization modulation in Ti</w:t>
      </w:r>
      <w:r>
        <w:rPr>
          <w:vertAlign w:val="subscript"/>
        </w:rPr>
        <w:t>3</w:t>
      </w:r>
      <w:r>
        <w:t>C</w:t>
      </w:r>
      <w:r>
        <w:rPr>
          <w:vertAlign w:val="subscript"/>
        </w:rPr>
        <w:t>2</w:t>
      </w:r>
      <w:r>
        <w:t>T</w:t>
      </w:r>
      <w:r>
        <w:t xml:space="preserve"> </w:t>
      </w:r>
      <w:r>
        <w:t>x</w:t>
      </w:r>
      <w:r>
        <w:t xml:space="preserve"> </w:t>
      </w:r>
      <w:r>
        <w:t>MXene by anchoring carboxyl‐functionalized carbon quantum dots (CQDs) at positively charged edges. The CQDs induce substantial electron delocalization on surface ─O sites, which simultaneously weakens rigid hydrogen bonds and facilitates interfacial charge transfer. This regulation establishes a dynamic hydrogen‐bond network that supports continuous Grotthuss‐type proton migration within the confined channels. Consequently, the optimized CQDs@MXene electrode delivers a volumetric capacitance of 2507.2 F cm</w:t>
      </w:r>
      <w:r>
        <w:t xml:space="preserve"> </w:t>
      </w:r>
      <w:r>
        <w:t>−3</w:t>
      </w:r>
      <w:r>
        <w:t xml:space="preserve"> </w:t>
      </w:r>
      <w:r>
        <w:t>, retains 65.8% at 1000 mV s</w:t>
      </w:r>
      <w:r>
        <w:t xml:space="preserve"> </w:t>
      </w:r>
      <w:r>
        <w:t>−1</w:t>
      </w:r>
      <w:r>
        <w:t xml:space="preserve"> </w:t>
      </w:r>
      <w:r>
        <w:t>, and maintains nearly 100% stability over 10 000 cycles. In situ vibrational spectroscopy and density functional theory reveal that the electron delocalization drives the weak hydrogen‐bond interface and charge transfer coupling governs proton transport kinetics. This work establishes electronic delocalization as an effective paradigm for manipulating hydrogen‐bond dynamics and interfacial charge transport for ultrafast ion transport in confined electrochemical systems.</w:t>
      </w:r>
    </w:p>
    <w:p>
      <w:pPr>
        <w:spacing w:before="120" w:after="120"/>
      </w:pPr>
      <w:r>
        <w:rPr>
          <w:sz w:val="18"/>
        </w:rPr>
        <w:t>——————————————————————————————————————————————————————————————————————</w:t>
      </w:r>
    </w:p>
    <w:p>
      <w:pPr>
        <w:spacing w:before="160" w:after="40" w:line="240" w:lineRule="auto"/>
      </w:pPr>
      <w:r>
        <w:rPr>
          <w:b/>
        </w:rPr>
        <w:t xml:space="preserve">[9] </w:t>
      </w:r>
      <w:hyperlink r:id="rId135">
        <w:r>
          <w:rPr>
            <w:color w:val="1155CC"/>
            <w:u w:val="single"/>
          </w:rPr>
          <w:t>为 Zn-ORR/CER 电池定制铁基金属有机框架</w:t>
        </w:r>
      </w:hyperlink>
    </w:p>
    <w:p>
      <w:pPr>
        <w:spacing w:before="0" w:after="80"/>
      </w:pPr>
      <w:r>
        <w:rPr>
          <w:i/>
          <w:sz w:val="20"/>
        </w:rPr>
        <w:t>EN: Tailoring an iron-based metal–organic framework for a Zn-ORR/CER battery</w:t>
      </w:r>
    </w:p>
    <w:p>
      <w:pPr>
        <w:spacing w:before="0" w:after="120"/>
      </w:pPr>
      <w:r>
        <w:rPr>
          <w:b/>
        </w:rPr>
        <w:t xml:space="preserve">Source: </w:t>
      </w:r>
      <w:r>
        <w:t>RSC - Energy Environ. Sci. latest articles</w:t>
      </w:r>
      <w:r>
        <w:t xml:space="preserve">    </w:t>
      </w:r>
      <w:r>
        <w:rPr>
          <w:b/>
        </w:rPr>
        <w:t xml:space="preserve">Pub date: </w:t>
      </w:r>
      <w:r>
        <w:t>2026-06-02 23:00:00+00:00</w:t>
      </w:r>
    </w:p>
    <w:p>
      <w:pPr>
        <w:spacing w:before="0" w:after="120"/>
      </w:pPr>
      <w:r>
        <w:rPr>
          <w:b/>
        </w:rPr>
        <w:t xml:space="preserve">Notes: </w:t>
      </w:r>
      <w:r>
        <w:t>abstract_source=rsc_html</w:t>
      </w:r>
    </w:p>
    <w:p>
      <w:pPr>
        <w:spacing w:before="0" w:after="80" w:lineRule="auto" w:line="276"/>
      </w:pPr>
      <w:r>
        <w:rPr>
          <w:b/>
        </w:rPr>
        <w:t xml:space="preserve">摘要（ZH）: </w:t>
      </w:r>
      <w:r>
        <w:t>氯 (Cl2) 是从废物中提取的重要工业产品。用 HCl 的电化学转化代替不可持续的工业合成 Cl2 提供了一种更绿色的替代方案。此外，将 Cl2 合成与锌基电池相结合有助于满足不断增长的能源需求。在此，我们将放电过程中的氧还原反应（ORR）和充电过程中的氯析出反应（CER）耦合起来，开发了一种 Zn-ORR/CER 电池，该电池利用铁基金属有机骨架（Fe-Tp）作为强大的双功能电催化剂。这种方法有利于“一击命中三个目标”的策略。废物修复、增值 Cl2 生产以及能量存储和转换。除了在腐蚀反应条件下提供稳定的电池性能外，本报告还通过光谱电化学研究对 CER 期间的催化剂更新进行了分析。此外，通过详细的微电化学分析考虑了局部pH变化。组装电池具有快速充电能力，充电 10 分钟后可为 35 个 LED 供电 8 小时，这表明这是一款可行的电池。</w:t>
      </w:r>
    </w:p>
    <w:p>
      <w:pPr>
        <w:spacing w:before="0" w:after="200" w:lineRule="auto" w:line="276"/>
      </w:pPr>
      <w:r>
        <w:rPr>
          <w:b/>
        </w:rPr>
        <w:t xml:space="preserve">Abstract (EN): </w:t>
      </w:r>
      <w:r>
        <w:t>Chlorine (Cl2) is a vital industrial product obtained from waste. Replacing the non-sustainable industrial synthesis of Cl2 with the electrochemical conversion of HCl provides a greener alternative. Moreover, integrating Cl2 synthesis with Zn-based batteries helps to meet growing energy demands. Herein, we coupled the oxygen reduction reaction (ORR) during discharge and the chlorine evolution reaction (CER) during charge to develop a Zn-ORR/CER battery that utilizes an Fe-based metal organic framework (Fe-Tp) as a robust bifunctional electrocatalyst. This approach facilitates a ‘hitting three targets with one shot’ strategy viz. waste remediation, production of value-added Cl2, and energy storage and conversion. Apart from providing stable battery performance under corrosive reaction conditions, this report provides an analysis of catalyst renewal during the CER via spectro-electrochemical studies. Moreover, the local pH changes were taken into consideration through detailed microelectrochemical analysis. The assembled battery has fast-charging capability, as demonstrated by powering 35 LEDs for 8 h after 10 minutes of charging, making this a viable battery.</w:t>
      </w:r>
    </w:p>
    <w:p>
      <w:pPr>
        <w:spacing w:before="120" w:after="120"/>
      </w:pPr>
      <w:r>
        <w:rPr>
          <w:sz w:val="18"/>
        </w:rPr>
        <w:t>——————————————————————————————————————————————————————————————————————</w:t>
      </w:r>
    </w:p>
    <w:p>
      <w:pPr>
        <w:spacing w:before="160" w:after="40" w:line="240" w:lineRule="auto"/>
      </w:pPr>
      <w:r>
        <w:rPr>
          <w:b/>
        </w:rPr>
        <w:t xml:space="preserve">[10] </w:t>
      </w:r>
      <w:hyperlink r:id="rId136">
        <w:r>
          <w:rPr>
            <w:color w:val="1155CC"/>
            <w:u w:val="single"/>
          </w:rPr>
          <w:t>低温二价钒 V(II) 沉淀的化学演化使宽温度范围钒液流电池成为可能</w:t>
        </w:r>
      </w:hyperlink>
    </w:p>
    <w:p>
      <w:pPr>
        <w:spacing w:before="0" w:after="80"/>
      </w:pPr>
      <w:r>
        <w:rPr>
          <w:i/>
          <w:sz w:val="20"/>
        </w:rPr>
        <w:t>EN: Chemistry Evolution of Low‐Temperature Divalent Vanadium V(II) Precipitation Enables Wide Temperature Range Vanadium Flow Batteries</w:t>
      </w:r>
    </w:p>
    <w:p>
      <w:pPr>
        <w:spacing w:before="0" w:after="120"/>
      </w:pPr>
      <w:r>
        <w:rPr>
          <w:b/>
        </w:rPr>
        <w:t xml:space="preserve">Source: </w:t>
      </w:r>
      <w:r>
        <w:t>Wiley: Angewandte Chemie International Edition: Table of Contents</w:t>
      </w:r>
      <w:r>
        <w:t xml:space="preserve">    </w:t>
      </w:r>
      <w:r>
        <w:rPr>
          <w:b/>
        </w:rPr>
        <w:t xml:space="preserve">Pub date: </w:t>
      </w:r>
      <w:r>
        <w:t>2026-06-04 08:55:59+00:00</w:t>
      </w:r>
      <w:r>
        <w:t xml:space="preserve">    </w:t>
      </w:r>
      <w:r>
        <w:rPr>
          <w:b/>
        </w:rPr>
        <w:t xml:space="preserve">DOI: </w:t>
      </w:r>
      <w:hyperlink r:id="rId137">
        <w:r>
          <w:rPr>
            <w:color w:val="1155CC"/>
            <w:u w:val="single"/>
          </w:rPr>
          <w:t>10.1002/anie.4197481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钒液流电池（VFB）是大规模储能的有前景的技术。然而，低温下负极电解质中二价钒[V(II)]物种的沉淀阻碍了其进一步应用。目前，该沉淀物的微观结构和形成机制仍不清楚。 在此，单晶 X 射线衍射 (SCXRD) 揭示了低温沉淀物的晶体结构为 VSO</w:t>
      </w:r>
      <w:r>
        <w:rPr>
          <w:vertAlign w:val="subscript"/>
        </w:rPr>
        <w:t>4</w:t>
      </w:r>
      <w:r>
        <w:t>·6小时</w:t>
      </w:r>
      <w:r>
        <w:rPr>
          <w:vertAlign w:val="subscript"/>
        </w:rPr>
        <w:t>2</w:t>
      </w:r>
      <w:r>
        <w:t>O.通过将原位变温拉曼光谱与密度泛函理论（DFT）计算相结合，阐明了沉淀机制。结果表明沉淀源于 H2SO4 去质子化的增强</w:t>
      </w:r>
      <w:r>
        <w:rPr>
          <w:vertAlign w:val="subscript"/>
        </w:rPr>
        <w:t>4</w:t>
      </w:r>
      <w:r>
        <w:t>-</w:t>
      </w:r>
      <w:r>
        <w:t>(HSO</w:t>
      </w:r>
      <w:r>
        <w:rPr>
          <w:vertAlign w:val="subscript"/>
        </w:rPr>
        <w:t>4</w:t>
      </w:r>
      <w:r>
        <w:t>-</w:t>
      </w:r>
      <w:r>
        <w:t>+ H</w:t>
      </w:r>
      <w:r>
        <w:rPr>
          <w:vertAlign w:val="subscript"/>
        </w:rPr>
        <w:t>2</w:t>
      </w:r>
      <w:r>
        <w:t>⇌H</w:t>
      </w:r>
      <w:r>
        <w:rPr>
          <w:vertAlign w:val="subscript"/>
        </w:rPr>
        <w:t>3</w:t>
      </w:r>
      <w:r>
        <w:t>氧</w:t>
      </w:r>
      <w:r>
        <w:t xml:space="preserve"> </w:t>
      </w:r>
      <w:r>
        <w:t>+</w:t>
      </w:r>
      <w:r>
        <w:t xml:space="preserve"> </w:t>
      </w:r>
      <w:r>
        <w:t>+ 所以</w:t>
      </w:r>
      <w:r>
        <w:rPr>
          <w:vertAlign w:val="subscript"/>
        </w:rPr>
        <w:t>4</w:t>
      </w:r>
      <w:r>
        <w:t>2−</w:t>
      </w:r>
      <w:r>
        <w:t>）在低温下。如此</w:t>
      </w:r>
      <w:r>
        <w:rPr>
          <w:vertAlign w:val="subscript"/>
        </w:rPr>
        <w:t>4</w:t>
      </w:r>
      <w:r>
        <w:t>2−</w:t>
      </w:r>
      <w:r>
        <w:t>作为阴离子桥，直接诱导两个V(H</w:t>
      </w:r>
      <w:r>
        <w:rPr>
          <w:vertAlign w:val="subscript"/>
        </w:rPr>
        <w:t>2</w:t>
      </w:r>
      <w:r>
        <w:t>哦）</w:t>
      </w:r>
      <w:r>
        <w:rPr>
          <w:vertAlign w:val="subscript"/>
        </w:rPr>
        <w:t>6</w:t>
      </w:r>
      <w:r>
        <w:t>2+</w:t>
      </w:r>
      <w:r>
        <w:t xml:space="preserve"> </w:t>
      </w:r>
      <w:r>
        <w:t>通过氢键结合单元，进而引发沉淀。此外，我们提出了双位点溶剂化工程策略，其中</w:t>
      </w:r>
    </w:p>
    <w:p>
      <w:pPr>
        <w:spacing w:before="0" w:after="200" w:lineRule="auto" w:line="276"/>
      </w:pPr>
      <w:r>
        <w:rPr>
          <w:b/>
        </w:rPr>
        <w:t xml:space="preserve">Abstract (EN): </w:t>
      </w:r>
      <w:r>
        <w:t>Vanadium flow batteries (VFBs) are promising technologies for large‐scale energy storage. However, the precipitation of divalent vanadium [V(II)] species in the negative electrolyte at low temperatures hinders their further application. At present, the microscopic structure and formation mechanism of this precipitate remain unclear. Herein, single‐crystal X‐ray diffraction (SCXRD) reveals the crystal structure of the low‐temperature precipitate as VSO</w:t>
      </w:r>
      <w:r>
        <w:rPr>
          <w:vertAlign w:val="subscript"/>
        </w:rPr>
        <w:t>4</w:t>
      </w:r>
      <w:r>
        <w:t>·6H</w:t>
      </w:r>
      <w:r>
        <w:rPr>
          <w:vertAlign w:val="subscript"/>
        </w:rPr>
        <w:t>2</w:t>
      </w:r>
      <w:r>
        <w:t>O. The precipitation mechanism was clarified by combining in situ variable‐temperature Raman spectroscopy with density functional theory (DFT) calculations. The results indicate that the precipitation originates from the enhanced deprotonation of HSO</w:t>
      </w:r>
      <w:r>
        <w:rPr>
          <w:vertAlign w:val="subscript"/>
        </w:rPr>
        <w:t>4</w:t>
      </w:r>
      <w:r>
        <w:t>−</w:t>
      </w:r>
      <w:r>
        <w:t>(HSO</w:t>
      </w:r>
      <w:r>
        <w:rPr>
          <w:vertAlign w:val="subscript"/>
        </w:rPr>
        <w:t>4</w:t>
      </w:r>
      <w:r>
        <w:t>−</w:t>
      </w:r>
      <w:r>
        <w:t>+ H</w:t>
      </w:r>
      <w:r>
        <w:rPr>
          <w:vertAlign w:val="subscript"/>
        </w:rPr>
        <w:t>2</w:t>
      </w:r>
      <w:r>
        <w:t>O ⇌ H</w:t>
      </w:r>
      <w:r>
        <w:rPr>
          <w:vertAlign w:val="subscript"/>
        </w:rPr>
        <w:t>3</w:t>
      </w:r>
      <w:r>
        <w:t>O</w:t>
      </w:r>
      <w:r>
        <w:t xml:space="preserve"> </w:t>
      </w:r>
      <w:r>
        <w:t>+</w:t>
      </w:r>
      <w:r>
        <w:t xml:space="preserve"> </w:t>
      </w:r>
      <w:r>
        <w:t>+ SO</w:t>
      </w:r>
      <w:r>
        <w:rPr>
          <w:vertAlign w:val="subscript"/>
        </w:rPr>
        <w:t>4</w:t>
      </w:r>
      <w:r>
        <w:t>2−</w:t>
      </w:r>
      <w:r>
        <w:t>) at low temperatures. The SO</w:t>
      </w:r>
      <w:r>
        <w:rPr>
          <w:vertAlign w:val="subscript"/>
        </w:rPr>
        <w:t>4</w:t>
      </w:r>
      <w:r>
        <w:t>2−</w:t>
      </w:r>
      <w:r>
        <w:t>acts as an anionic bridge, directly inducing the dimerization of two V(H</w:t>
      </w:r>
      <w:r>
        <w:rPr>
          <w:vertAlign w:val="subscript"/>
        </w:rPr>
        <w:t>2</w:t>
      </w:r>
      <w:r>
        <w:t>O)</w:t>
      </w:r>
      <w:r>
        <w:rPr>
          <w:vertAlign w:val="subscript"/>
        </w:rPr>
        <w:t>6</w:t>
      </w:r>
      <w:r>
        <w:t>2+</w:t>
      </w:r>
      <w:r>
        <w:t xml:space="preserve"> </w:t>
      </w:r>
      <w:r>
        <w:t>units via hydrogen bonding, which in turn triggers precipitation. Furthermore, we propose a dual‐site solvation engineering strategy, where the co‐introduction of acetonitrile (ACN) and HCl precisely modulates both the primary solvation shell of V(II) (forming [V(H</w:t>
      </w:r>
      <w:r>
        <w:rPr>
          <w:vertAlign w:val="subscript"/>
        </w:rPr>
        <w:t>2</w:t>
      </w:r>
      <w:r>
        <w:t>O)</w:t>
      </w:r>
      <w:r>
        <w:rPr>
          <w:vertAlign w:val="subscript"/>
        </w:rPr>
        <w:t>5</w:t>
      </w:r>
      <w:r>
        <w:t>ACN]</w:t>
      </w:r>
      <w:r>
        <w:t xml:space="preserve"> </w:t>
      </w:r>
      <w:r>
        <w:t>2+</w:t>
      </w:r>
      <w:r>
        <w:t xml:space="preserve"> </w:t>
      </w:r>
      <w:r>
        <w:t>) and its secondary solvation environment (reducing SO</w:t>
      </w:r>
      <w:r>
        <w:rPr>
          <w:vertAlign w:val="subscript"/>
        </w:rPr>
        <w:t>4</w:t>
      </w:r>
      <w:r>
        <w:t>2−</w:t>
      </w:r>
      <w:r>
        <w:t>). The designed electrolyte enables stable operation of a VFB for over 500 cycles (∼30 days) at −10 °C and 40 mA cm</w:t>
      </w:r>
      <w:r>
        <w:t xml:space="preserve"> </w:t>
      </w:r>
      <w:r>
        <w:t>−2</w:t>
      </w:r>
      <w:r>
        <w:t xml:space="preserve"> </w:t>
      </w:r>
      <w:r>
        <w:t>, with energy efficiency (EE) &amp;gt; 80%, demonstrating its potential in freezing regions.</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138">
        <w:r>
          <w:rPr>
            <w:color w:val="1155CC"/>
            <w:u w:val="single"/>
          </w:rPr>
          <w:t>通过热再生电化学循环利用低品位热能：关键见解、性能优化策略和跨领域应用</w:t>
        </w:r>
      </w:hyperlink>
    </w:p>
    <w:p>
      <w:pPr>
        <w:spacing w:before="0" w:after="80"/>
      </w:pPr>
      <w:r>
        <w:rPr>
          <w:i/>
          <w:sz w:val="20"/>
        </w:rPr>
        <w:t>EN: Harnessing low-grade thermal energy via thermally regenerative electrochemical cycle: critical insights, performance optimization strategies, and cross-domain applications</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39">
        <w:r>
          <w:rPr>
            <w:color w:val="1155CC"/>
            <w:u w:val="single"/>
          </w:rPr>
          <w:t>使用人工智能在有机朗肯循环中的性能预测、设计优化和操作控制的应用：综述</w:t>
        </w:r>
      </w:hyperlink>
    </w:p>
    <w:p>
      <w:pPr>
        <w:spacing w:before="0" w:after="80"/>
      </w:pPr>
      <w:r>
        <w:rPr>
          <w:i/>
          <w:sz w:val="20"/>
        </w:rPr>
        <w:t>EN: Applications of performance prediction, design optimization, and operational control using artificial intelligence for organic Rankine cycle: A review</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40">
        <w:r>
          <w:rPr>
            <w:color w:val="1155CC"/>
            <w:u w:val="single"/>
          </w:rPr>
          <w:t>RbAg4I5 具有非凡的隔热性能</w:t>
        </w:r>
      </w:hyperlink>
    </w:p>
    <w:p>
      <w:pPr>
        <w:spacing w:before="0" w:after="80"/>
      </w:pPr>
      <w:r>
        <w:rPr>
          <w:i/>
          <w:sz w:val="20"/>
        </w:rPr>
        <w:t>EN: Extraordinary heat insulation in RbAg4I5</w:t>
      </w:r>
    </w:p>
    <w:p>
      <w:pPr>
        <w:spacing w:before="0" w:after="120"/>
      </w:pPr>
      <w:r>
        <w:rPr>
          <w:b/>
        </w:rPr>
        <w:t xml:space="preserve">Source: </w:t>
      </w:r>
      <w:r>
        <w:t>National Science Review Advance Access</w:t>
      </w:r>
      <w:r>
        <w:t xml:space="preserve">    </w:t>
      </w:r>
      <w:r>
        <w:rPr>
          <w:b/>
        </w:rPr>
        <w:t xml:space="preserve">Pub date: </w:t>
      </w:r>
      <w:r>
        <w:t>2026-05-30 00:00:00+00:00</w:t>
      </w:r>
      <w:r>
        <w:t xml:space="preserve">    </w:t>
      </w:r>
      <w:r>
        <w:rPr>
          <w:b/>
        </w:rPr>
        <w:t xml:space="preserve">DOI: </w:t>
      </w:r>
      <w:hyperlink r:id="rId141">
        <w:r>
          <w:rPr>
            <w:color w:val="1155CC"/>
            <w:u w:val="single"/>
          </w:rPr>
          <w:t>10.1093/nsr/nwag318</w:t>
        </w:r>
      </w:hyperlink>
    </w:p>
    <w:p>
      <w:pPr>
        <w:spacing w:before="0" w:after="120"/>
      </w:pPr>
      <w:r>
        <w:rPr>
          <w:b/>
        </w:rPr>
        <w:t xml:space="preserve">Notes: </w:t>
      </w:r>
      <w:r>
        <w:t>abstract_source=rss_oup</w:t>
      </w:r>
    </w:p>
    <w:p>
      <w:pPr>
        <w:spacing w:before="0" w:after="80" w:lineRule="auto" w:line="276"/>
      </w:pPr>
      <w:r>
        <w:rPr>
          <w:b/>
        </w:rPr>
        <w:t xml:space="preserve">摘要（ZH）: </w:t>
      </w:r>
      <w:r>
        <w:t>超离子导体的特点是高度移动的带电离子，反映了其晶体结构中存在松散键合和部分占据的物质。这些结构特征对于实现高性能隔热也至关重要。然而，用于隔热的传统骨架材料，例如SiO2，缺乏这样的晶体学属性。因此，全致密和 3% 致密 SiO2 的室温热导率 (κ) 值分别保持在 1400 和 15 mW m−1 K−1 左右。这项工作展示了超离子导体作为隔热新范例的使用。单晶 RbAg4I5 在室温下表现出 130 mW m−1 K−1 的极低 κ。此外，密度为 3.6% 的 RbAg4I5 多孔形式实现了仅 6 mW m−1 K−1 的创纪录低 κ，大大优于现有的多孔绝热体。当用作传统 Bi2Te3 热电器件中的填料时，这种多孔绝缘体可抑制气体介导的传热，从而使器件性能提高 10%。此外，该材料有效隔离CPU热量，使相邻闪存温度下降5.3K，启动速度提升16%。这里介绍的设计策略预计将为推进热管理技术开辟新的途径。</w:t>
      </w:r>
    </w:p>
    <w:p>
      <w:pPr>
        <w:spacing w:before="0" w:after="200" w:lineRule="auto" w:line="276"/>
      </w:pPr>
      <w:r>
        <w:rPr>
          <w:b/>
        </w:rPr>
        <w:t xml:space="preserve">Abstract (EN): </w:t>
      </w:r>
      <w:r>
        <w:t>Superionic conductors are characterized by highly mobile charged ions, reflecting the presence of loosely bonded and partially occupied species within their crystal structures. These structural features are also essential for achieving high-performance thermal insulation. However, conventional skeleton materials used for thermal insulation, such as SiO2, lack such crystallographic attributes. As a result, room-temperature thermal conductivity (κ) values for fully dense and 3%-dense SiO2 remain around 1400 and 15 mW m−1 K−1, respectively. This work demonstrates the use of superionic conductors as a new paradigm for thermal insulation. Single-crystalline RbAg4I5 is shown to exhibit an exceptionally low κ of 130 mW m−1 K−1 at room temperature. Furthermore, a 3.6%-dense porous form of RbAg4I5 achieves a record-low κ of only 6 mW m−1 K−1 substantially outperforming existing porous thermal insulators. When applied as filler in a conventional Bi2Te3 thermoelectric device, this porous insulator suppresses gas-mediated heat transfer, leading to a 10% improvement in device performance. In addition, this material effectively isolates heat from a CPU to enable a temperature drop of 5.3 K for the adjacent flash memory thus a 16% improvement in its startup speed. The design strategy introduced here is expected to open new pathways for advancing thermal management technologies.</w:t>
      </w:r>
    </w:p>
    <w:p>
      <w:pPr>
        <w:spacing w:before="120" w:after="120"/>
      </w:pPr>
      <w:r>
        <w:rPr>
          <w:sz w:val="18"/>
        </w:rPr>
        <w:t>——————————————————————————————————————————————————————————————————————</w:t>
      </w:r>
    </w:p>
    <w:p>
      <w:pPr>
        <w:spacing w:before="160" w:after="40" w:line="240" w:lineRule="auto"/>
      </w:pPr>
      <w:r>
        <w:rPr>
          <w:b/>
        </w:rPr>
        <w:t xml:space="preserve">[4] </w:t>
      </w:r>
      <w:hyperlink r:id="rId142">
        <w:r>
          <w:rPr>
            <w:color w:val="1155CC"/>
            <w:u w:val="single"/>
          </w:rPr>
          <w:t>共价熔合纳米纤维气凝胶具有卓越的机械鲁棒性和隔热性，适用于可部署空间系统</w:t>
        </w:r>
      </w:hyperlink>
    </w:p>
    <w:p>
      <w:pPr>
        <w:spacing w:before="0" w:after="80"/>
      </w:pPr>
      <w:r>
        <w:rPr>
          <w:i/>
          <w:sz w:val="20"/>
        </w:rPr>
        <w:t>EN: Covalently Fused Nanofiber Aerogels With Exceptional Mechanical Robustness and Thermal Insulation for Deployable Space Systems</w:t>
      </w:r>
    </w:p>
    <w:p>
      <w:pPr>
        <w:spacing w:before="0" w:after="120"/>
      </w:pPr>
      <w:r>
        <w:rPr>
          <w:b/>
        </w:rPr>
        <w:t xml:space="preserve">Source: </w:t>
      </w:r>
      <w:r>
        <w:t>Wiley: Advanced Materials: Table of Contents</w:t>
      </w:r>
      <w:r>
        <w:t xml:space="preserve">    </w:t>
      </w:r>
      <w:r>
        <w:rPr>
          <w:b/>
        </w:rPr>
        <w:t xml:space="preserve">Pub date: </w:t>
      </w:r>
      <w:r>
        <w:t>2026-05-30 04:34:24+00:00</w:t>
      </w:r>
      <w:r>
        <w:t xml:space="preserve">    </w:t>
      </w:r>
      <w:r>
        <w:rPr>
          <w:b/>
        </w:rPr>
        <w:t xml:space="preserve">DOI: </w:t>
      </w:r>
      <w:hyperlink r:id="rId143">
        <w:r>
          <w:rPr>
            <w:color w:val="1155CC"/>
            <w:u w:val="single"/>
          </w:rPr>
          <w:t>10.1002/adma.73564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纳米纤维气凝胶具有超低的堆积密度，使其成为轻质航空航天结构的理想选择。然而，这些材料往往受到固有的物理脆性的阻碍，导致在复杂的机械载荷下出现严重的结构故障。为了应对这一挑战，我们开发了一种混合气凝胶，具有通过硅氧烷键共价融合的核壳纤维间连接，通过聚（乙烯基倍半硅氧烷）（PVSQ）在连续交联的天然细菌纤维素（BC）网络上的原位气相聚合制备而成。这种独特的结构赋予气凝胶（BC-PVSQ）出色的机械适应性和韧性，包括 &gt;99% 的压缩性、弯曲回弹性（曲率 &gt; 20 mm）</w:t>
      </w:r>
      <w:r>
        <w:t xml:space="preserve"> </w:t>
      </w:r>
      <w:r>
        <w:t>−1</w:t>
      </w:r>
      <w:r>
        <w:t xml:space="preserve"> </w:t>
      </w:r>
      <w:r>
        <w:t>）、强大的拉伸强度和超过 10,000 次剪切循环的结构完整性。值得注意的是，它保持低密度（16.1 mg cm</w:t>
      </w:r>
      <w:r>
        <w:t xml:space="preserve"> </w:t>
      </w:r>
      <w:r>
        <w:t>−3</w:t>
      </w:r>
      <w:r>
        <w:t xml:space="preserve"> </w:t>
      </w:r>
      <w:r>
        <w:t>）和导热系数（27.0 ± 0.2 mW m</w:t>
      </w:r>
      <w:r>
        <w:t xml:space="preserve"> </w:t>
      </w:r>
      <w:r>
        <w:t>−1</w:t>
      </w:r>
      <w:r>
        <w:t xml:space="preserve"> </w:t>
      </w:r>
      <w:r>
        <w:t>K</w:t>
      </w:r>
      <w:r>
        <w:t xml:space="preserve"> </w:t>
      </w:r>
      <w:r>
        <w:t>−1</w:t>
      </w:r>
      <w:r>
        <w:t xml:space="preserve"> </w:t>
      </w:r>
      <w:r>
        <w:t>）。作为概念证明，我们展示了该材料在可空间部署的阻力增强离轨球体方面的实际潜力，可实现可逆折叠压实和可靠部署，以及灵活的栖息地隔热，在模拟火星大气条件下，该材料相对于传统航空航天隔热材料表现出卓越的隔热性能。这项工作成功解决了长期存在的问题</w:t>
      </w:r>
    </w:p>
    <w:p>
      <w:pPr>
        <w:spacing w:before="0" w:after="200" w:lineRule="auto" w:line="276"/>
      </w:pPr>
      <w:r>
        <w:rPr>
          <w:b/>
        </w:rPr>
        <w:t xml:space="preserve">Abstract (EN): </w:t>
      </w:r>
      <w:r>
        <w:t>Nanofibrous aerogels exhibit an ultralow bulk density, making them highly desirable for lightweight aerospace structures. Nevertheless, these materials are often hampered by inherent physical brittleness, leading to severe structural failure under complex mechanical loads. To address this challenge, we developed a hybrid aerogel featuring core‐shell inter‐fiber junctions covalently fused via siloxane bonds, fabricated by in‐situ vapor‐phase polymerization of poly(vinylsilsesquioxane) (PVSQ) on a continuous and crosslinked native bacterial cellulose (BC) network. This unique architecture endows the aerogel (BC‐PVSQ) with outstanding mechanical adaptability and toughness, including &amp;gt;99% compressibility, bending resilience (curvature &amp;gt; 20 mm</w:t>
      </w:r>
      <w:r>
        <w:t xml:space="preserve"> </w:t>
      </w:r>
      <w:r>
        <w:t>−1</w:t>
      </w:r>
      <w:r>
        <w:t xml:space="preserve"> </w:t>
      </w:r>
      <w:r>
        <w:t>), robust tensile strength, and structural integrity over 10,000 shearing cycles. Significantly, it maintains low density (16.1 mg cm</w:t>
      </w:r>
      <w:r>
        <w:t xml:space="preserve"> </w:t>
      </w:r>
      <w:r>
        <w:t>−3</w:t>
      </w:r>
      <w:r>
        <w:t xml:space="preserve"> </w:t>
      </w:r>
      <w:r>
        <w:t>) and thermal conductivity (27.0 ± 0.2 mW m</w:t>
      </w:r>
      <w:r>
        <w:t xml:space="preserve"> </w:t>
      </w:r>
      <w:r>
        <w:t>−1</w:t>
      </w:r>
      <w:r>
        <w:t xml:space="preserve"> </w:t>
      </w:r>
      <w:r>
        <w:t>K</w:t>
      </w:r>
      <w:r>
        <w:t xml:space="preserve"> </w:t>
      </w:r>
      <w:r>
        <w:t>−1</w:t>
      </w:r>
      <w:r>
        <w:t xml:space="preserve"> </w:t>
      </w:r>
      <w:r>
        <w:t>). As a proof of concept, we demonstrate the practical potential of the material for space‐deployable drag‐augmentation deorbiting spheres, enabling reversible folding compaction and reliable deployment, and for flexible habitat insulation, where it shows superior thermal insulation performance relative to conventional aerospace insulation materials under simulated Martian atmospheric conditions. This work successfully resolves the longstanding trade‐off between mechanical robustness and thermal insulation, laying a multifunctional technological foundation for next‐generation lightweight deployable systems designed for space environments.</w:t>
      </w:r>
    </w:p>
    <w:p>
      <w:pPr>
        <w:spacing w:before="120" w:after="120"/>
      </w:pPr>
      <w:r>
        <w:rPr>
          <w:sz w:val="18"/>
        </w:rPr>
        <w:t>——————————————————————————————————————————————————————————————————————</w:t>
      </w:r>
    </w:p>
    <w:p>
      <w:pPr>
        <w:spacing w:before="160" w:after="40" w:line="240" w:lineRule="auto"/>
      </w:pPr>
      <w:r>
        <w:rPr>
          <w:b/>
        </w:rPr>
        <w:t xml:space="preserve">[5] </w:t>
      </w:r>
      <w:hyperlink r:id="rId144">
        <w:r>
          <w:rPr>
            <w:color w:val="1155CC"/>
            <w:u w:val="single"/>
          </w:rPr>
          <w:t>超声波振动驱动的废塑料冷升级：实现高效海水蒸馏</w:t>
        </w:r>
      </w:hyperlink>
    </w:p>
    <w:p>
      <w:pPr>
        <w:spacing w:before="0" w:after="80"/>
      </w:pPr>
      <w:r>
        <w:rPr>
          <w:i/>
          <w:sz w:val="20"/>
        </w:rPr>
        <w:t>EN: Ultrasonic Vibration‐Driven Cold Upcycling of Waste Plastics: Enabling High‐Efficiency Seawater Distillation</w:t>
      </w:r>
    </w:p>
    <w:p>
      <w:pPr>
        <w:spacing w:before="0" w:after="120"/>
      </w:pPr>
      <w:r>
        <w:rPr>
          <w:b/>
        </w:rPr>
        <w:t xml:space="preserve">Source: </w:t>
      </w:r>
      <w:r>
        <w:t>Wiley: Advanced Materials: Table of Contents</w:t>
      </w:r>
      <w:r>
        <w:t xml:space="preserve">    </w:t>
      </w:r>
      <w:r>
        <w:rPr>
          <w:b/>
        </w:rPr>
        <w:t xml:space="preserve">Pub date: </w:t>
      </w:r>
      <w:r>
        <w:t>2026-05-30 04:38:16+00:00</w:t>
      </w:r>
      <w:r>
        <w:t xml:space="preserve">    </w:t>
      </w:r>
      <w:r>
        <w:rPr>
          <w:b/>
        </w:rPr>
        <w:t xml:space="preserve">DOI: </w:t>
      </w:r>
      <w:hyperlink r:id="rId145">
        <w:r>
          <w:rPr>
            <w:color w:val="1155CC"/>
            <w:u w:val="single"/>
          </w:rPr>
          <w:t>10.1002/adma.73562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塑料污染已成为一种普遍的环境危机，加剧了温室气体排放，污染土壤，并可能加剧心血管风险。焚烧、填埋和机械加工等普遍的回收策略仍然受到效率低下、污染和能源需求过多的限制，导致回收材料的可重复利用性有限。因此，开发一种环保、高性能的技术将塑料废物转化为宝贵的资源势在必行。在此，我们报告了一种新颖的废塑料升级回收策略，利用超声波振动冷加工将废聚对苯二甲酸乙二醇酯转化为碳材料。通过超声波振动和溶解方法相结合的方法处理聚对苯二甲酸乙二醇酯，生产出具有高光热效率的高度碳化的多孔材料，从而实现高性能海水蒸馏。高频应力处理促进聚合物快速断链、脱氧和芳构化，促进无热源碳化。我们进一步发现，多孔碳化材料表现出卓越的宽带光热转换效率超过 95%。在海水蒸馏中，生成的物质为 2.19 kg m</w:t>
      </w:r>
      <w:r>
        <w:t xml:space="preserve"> </w:t>
      </w:r>
      <w:r>
        <w:t>−2</w:t>
      </w:r>
      <w:r>
        <w:t xml:space="preserve"> </w:t>
      </w:r>
      <w:r>
        <w:t>小时</w:t>
      </w:r>
      <w:r>
        <w:t xml:space="preserve"> </w:t>
      </w:r>
      <w:r>
        <w:t>−1</w:t>
      </w:r>
      <w:r>
        <w:t xml:space="preserve"> </w:t>
      </w:r>
      <w:r>
        <w:t>太阳能蒸汽并在高盐条件下保持稳定性。利用这些多孔碳的灵活制造能力，我们构建了</w:t>
      </w:r>
    </w:p>
    <w:p>
      <w:pPr>
        <w:spacing w:before="0" w:after="200" w:lineRule="auto" w:line="276"/>
      </w:pPr>
      <w:r>
        <w:rPr>
          <w:b/>
        </w:rPr>
        <w:t xml:space="preserve">Abstract (EN): </w:t>
      </w:r>
      <w:r>
        <w:t>Plastic pollution has become a pervasive environmental crisis, intensifying greenhouse gas emissions, contaminating soils, and potentially aggravating cardiovascular risks. Prevailing recycling strategies such as incineration, landfilling, and mechanical processing remain constrained by inefficiency, contamination, and excessive energy demand, resulting in limited reusability of the recovered materials. Therefore, developing an eco‐friendly, high‐performance technology that transforms plastic waste into valuable resources is imperative. Herein, we report a novel waste plastic upcycling strategy utilizing ultrasonic vibration cold fabrication to convert waste polyethylene terephthalate into carbon materials. The polyethylene terephthalate was treated via a combination of ultrasonic vibration and dissolution methods to produce highly carbonized, porous materials with high photothermal efficiency that enable high‐performance seawater distillation. High‐frequency stress treatment promotes rapid polymer chain scission, deoxygenation, and aromatization, facilitating heat‐source‐free carbonization. We further revealed that porous carbonized materials exhibit exceptional broadband photothermal conversion with an efficiency exceeding 95%. In seawater distillation, the material generated 2.19 kg m</w:t>
      </w:r>
      <w:r>
        <w:t xml:space="preserve"> </w:t>
      </w:r>
      <w:r>
        <w:t>−2</w:t>
      </w:r>
      <w:r>
        <w:t xml:space="preserve"> </w:t>
      </w:r>
      <w:r>
        <w:t>h</w:t>
      </w:r>
      <w:r>
        <w:t xml:space="preserve"> </w:t>
      </w:r>
      <w:r>
        <w:t>−1</w:t>
      </w:r>
      <w:r>
        <w:t xml:space="preserve"> </w:t>
      </w:r>
      <w:r>
        <w:t>of solar steam and maintained stability in high‐salinity conditions. Leveraging the flexible fabrication capability of these porous carbons, we constructed a solar evaporation device and demonstrated a freshwater yield of 6.02 kg m</w:t>
      </w:r>
      <w:r>
        <w:t xml:space="preserve"> </w:t>
      </w:r>
      <w:r>
        <w:t>−2</w:t>
      </w:r>
      <w:r>
        <w:t xml:space="preserve"> </w:t>
      </w:r>
      <w:r>
        <w:t>in 10 h of outdoor testing, which is 5.2 times that of natural evaporation.</w:t>
      </w:r>
    </w:p>
    <w:p>
      <w:pPr>
        <w:spacing w:before="120" w:after="120"/>
      </w:pPr>
      <w:r>
        <w:rPr>
          <w:sz w:val="18"/>
        </w:rPr>
        <w:t>——————————————————————————————————————————————————————————————————————</w:t>
      </w:r>
    </w:p>
    <w:p>
      <w:pPr>
        <w:spacing w:before="160" w:after="40" w:line="240" w:lineRule="auto"/>
      </w:pPr>
      <w:r>
        <w:rPr>
          <w:b/>
        </w:rPr>
        <w:t xml:space="preserve">[6] </w:t>
      </w:r>
      <w:hyperlink r:id="rId146">
        <w:r>
          <w:rPr>
            <w:color w:val="1155CC"/>
            <w:u w:val="single"/>
          </w:rPr>
          <w:t>模块化可逆固体氧化物电池-热电池集成系统的实验与数值研究</w:t>
        </w:r>
      </w:hyperlink>
    </w:p>
    <w:p>
      <w:pPr>
        <w:spacing w:before="0" w:after="80"/>
      </w:pPr>
      <w:r>
        <w:rPr>
          <w:i/>
          <w:sz w:val="20"/>
        </w:rPr>
        <w:t>EN: Experimental and numerical study of a modular reversible solid oxide cell – thermal battery integrated system</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47">
        <w:r>
          <w:rPr>
            <w:color w:val="1155CC"/>
            <w:u w:val="single"/>
          </w:rPr>
          <w:t>生物质、垃圾和燃煤发电厂锅炉的工程挑战：灾难性故障限制了能源效率的提高</w:t>
        </w:r>
      </w:hyperlink>
    </w:p>
    <w:p>
      <w:pPr>
        <w:spacing w:before="0" w:after="80"/>
      </w:pPr>
      <w:r>
        <w:rPr>
          <w:i/>
          <w:sz w:val="20"/>
        </w:rPr>
        <w:t>EN: Engineering challenges of boilers in biomass, waste, and coal power plants: catastrophic failures limiting energy efficiency improvement</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48">
        <w:r>
          <w:rPr>
            <w:color w:val="1155CC"/>
            <w:u w:val="single"/>
          </w:rPr>
          <w:t>显热潜热联合储热系统的生命周期分析</w:t>
        </w:r>
      </w:hyperlink>
    </w:p>
    <w:p>
      <w:pPr>
        <w:spacing w:before="0" w:after="80"/>
      </w:pPr>
      <w:r>
        <w:rPr>
          <w:i/>
          <w:sz w:val="20"/>
        </w:rPr>
        <w:t>EN: Life cycle analysis of a combined sensible and latent heat thermal energy storage system</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49">
        <w:r>
          <w:rPr>
            <w:color w:val="1155CC"/>
            <w:u w:val="single"/>
          </w:rPr>
          <w:t>光谱选择性日间辐射冷却涂层</w:t>
        </w:r>
      </w:hyperlink>
    </w:p>
    <w:p>
      <w:pPr>
        <w:spacing w:before="0" w:after="80"/>
      </w:pPr>
      <w:r>
        <w:rPr>
          <w:i/>
          <w:sz w:val="20"/>
        </w:rPr>
        <w:t>EN: Spectrally Selective Daytime Radiative Cooling Coating</w:t>
      </w:r>
    </w:p>
    <w:p>
      <w:pPr>
        <w:spacing w:before="0" w:after="120"/>
      </w:pPr>
      <w:r>
        <w:rPr>
          <w:b/>
        </w:rPr>
        <w:t xml:space="preserve">Source: </w:t>
      </w:r>
      <w:r>
        <w:t>Wiley: Advanced Materials: Table of Contents</w:t>
      </w:r>
      <w:r>
        <w:t xml:space="preserve">    </w:t>
      </w:r>
      <w:r>
        <w:rPr>
          <w:b/>
        </w:rPr>
        <w:t xml:space="preserve">Pub date: </w:t>
      </w:r>
      <w:r>
        <w:t>2026-06-01 11:29:39+00:00</w:t>
      </w:r>
      <w:r>
        <w:t xml:space="preserve">    </w:t>
      </w:r>
      <w:r>
        <w:rPr>
          <w:b/>
        </w:rPr>
        <w:t xml:space="preserve">DOI: </w:t>
      </w:r>
      <w:hyperlink r:id="rId150">
        <w:r>
          <w:rPr>
            <w:color w:val="1155CC"/>
            <w:u w:val="single"/>
          </w:rPr>
          <w:t>10.1002/adma.73578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被动式日间辐射冷却提供了一条无碳路线，可缓解城市热岛效应并减少建筑能源使用。然而，传统的宽带发射器会受到来自热地面和邻近建筑物的环境热辐射的寄生吸收，严重影响密集城市环境中的净冷却。我们提出了一种可扩展的光谱选择性辐射冷却涂层，可以克服这种城市问题。通过将相转化衍生的微纳米多孔聚氟乙烯 (PVF) 层与反射银基板相结合，我们的发射器实现了创纪录的 1.37 光谱选择性，其中 97.5% 的太阳反射率和 94.4% 的中红外发射率严格限制在大气窗口 (8_13 µm) 内。在模拟城市峡谷测试中，选择性发射器比宽带同类发射器温度低 1.9°C，有效地抵消了周围基础设施产生的热量。该涂层还具有优异的延展性、附着力、自清洁能力和化学耐久性。通过连接性能、可制造性和弹性，这项工作为在可持续城市发展中采用辐射冷却提供了一条可行的途径。</w:t>
      </w:r>
    </w:p>
    <w:p>
      <w:pPr>
        <w:spacing w:before="0" w:after="200" w:lineRule="auto" w:line="276"/>
      </w:pPr>
      <w:r>
        <w:rPr>
          <w:b/>
        </w:rPr>
        <w:t xml:space="preserve">Abstract (EN): </w:t>
      </w:r>
      <w:r>
        <w:t>Passive daytime radiative cooling offers a carbon‑free route to mitigate urban heat islands and reduce building energy use. Conventional broadband emitters, however, suffer from parasitic absorption of ambient thermal radiation from hot ground and adjacent buildings, severely compromising net cooling in dense urban settings. We present a scalable, spectrally selective radiative cooling coating that overcomes this urban penalty. By combining a phase‑inversion‑derived micro‑nano porous poly (vinyl fluoride) (PVF) layer with a reflective silver substrate, our emitter achieves a record spectral selectivity of 1.37, with 97.5% solar reflectance and 94.4% mid‑infrared emittance strictly confined to the atmospheric window (8_13 µm). In simulated urban canyon tests, the selective emitter stayed 1.9°C cooler than a broadband counterpart, effectively neutralizing heat gain from surrounding infrastructure. The coating also exhibits excellent scalability, adhesion, self‑cleaning ability, and chemical durability. By bridging performance, manufacturability, and resilience, this work offers a viable pathway for adopting radiative cooling in sustainable urban development.</w:t>
      </w:r>
    </w:p>
    <w:p>
      <w:pPr>
        <w:spacing w:before="120" w:after="120"/>
      </w:pPr>
      <w:r>
        <w:rPr>
          <w:sz w:val="18"/>
        </w:rPr>
        <w:t>——————————————————————————————————————————————————————————————————————</w:t>
      </w:r>
    </w:p>
    <w:p>
      <w:pPr>
        <w:spacing w:before="160" w:after="40" w:line="240" w:lineRule="auto"/>
      </w:pPr>
      <w:r>
        <w:rPr>
          <w:b/>
        </w:rPr>
        <w:t xml:space="preserve">[10] </w:t>
      </w:r>
      <w:hyperlink r:id="rId151">
        <w:r>
          <w:rPr>
            <w:color w:val="1155CC"/>
            <w:u w:val="single"/>
          </w:rPr>
          <w:t>制冷剂循环建模如何对城区集中供热系统与分散供热系统进行技术经济分析</w:t>
        </w:r>
      </w:hyperlink>
    </w:p>
    <w:p>
      <w:pPr>
        <w:spacing w:before="0" w:after="80"/>
      </w:pPr>
      <w:r>
        <w:rPr>
          <w:i/>
          <w:sz w:val="20"/>
        </w:rPr>
        <w:t>EN: How refrigerant cycle modeling shapes the techno-economic analysis of centralized vs. decentralized heat supply systems for city districts</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03">
        <w:r>
          <w:rPr>
            <w:color w:val="1155CC"/>
            <w:u w:val="single"/>
          </w:rPr>
          <w:t>基于光热增强水凝胶的热电化学电池，用于稳定、被动收集低品位热量</w:t>
        </w:r>
      </w:hyperlink>
    </w:p>
    <w:p>
      <w:pPr>
        <w:spacing w:before="0" w:after="80"/>
      </w:pPr>
      <w:r>
        <w:rPr>
          <w:i/>
          <w:sz w:val="20"/>
        </w:rPr>
        <w:t>EN: Photothermally Enhanced Hydrogel‐Based Thermoelectrochemical Cells for Stable, Passive Harvesting of Low‐Grade Heat</w:t>
      </w:r>
    </w:p>
    <w:p>
      <w:pPr>
        <w:spacing w:before="0" w:after="120"/>
      </w:pPr>
      <w:r>
        <w:rPr>
          <w:b/>
        </w:rPr>
        <w:t xml:space="preserve">Source: </w:t>
      </w:r>
      <w:r>
        <w:t>Wiley: Advanced Energy Materials: Table of Contents</w:t>
      </w:r>
      <w:r>
        <w:t xml:space="preserve">    </w:t>
      </w:r>
      <w:r>
        <w:rPr>
          <w:b/>
        </w:rPr>
        <w:t xml:space="preserve">Pub date: </w:t>
      </w:r>
      <w:r>
        <w:t>2026-06-02 07:07:24+00:00</w:t>
      </w:r>
      <w:r>
        <w:t xml:space="preserve">    </w:t>
      </w:r>
      <w:r>
        <w:rPr>
          <w:b/>
        </w:rPr>
        <w:t xml:space="preserve">DOI: </w:t>
      </w:r>
      <w:hyperlink r:id="rId104">
        <w:r>
          <w:rPr>
            <w:color w:val="1155CC"/>
            <w:u w:val="single"/>
          </w:rPr>
          <w:t>10.1002/aenm.71155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品位废热（&lt;100°C）是一种丰富但未得到充分利用的能源，因为它的火用低且传统转换技术在小温度梯度和被动操作下效率低下。在这里，报道了一种光热增强热电化学电池（PTEC），它是由高离子电导率的双网络水凝胶电解质实现的，该电解质结合了胍增强的铁/铁氰化物氧化还原电对。光热碳电极与准固体结构的集成在热和太阳激发下建立了稳定的温度梯度，无需主动冷却或液体电解质。 PTEC 提供 4.5 mV K 的瞬时热电势</w:t>
      </w:r>
      <w:r>
        <w:t xml:space="preserve"> </w:t>
      </w:r>
      <w:r>
        <w:t>-</w:t>
      </w:r>
      <w:r>
        <w:rPr>
          <w:vertAlign w:val="subscript"/>
        </w:rPr>
        <w:t>1</w:t>
      </w:r>
      <w:r>
        <w:t>标准化功率密度为 5 mW m</w:t>
      </w:r>
      <w:r>
        <w:t xml:space="preserve"> </w:t>
      </w:r>
      <w:r>
        <w:t>-</w:t>
      </w:r>
      <w:r>
        <w:rPr>
          <w:vertAlign w:val="subscript"/>
        </w:rPr>
        <w:t>2</w:t>
      </w:r>
      <w:r>
        <w:t>K</w:t>
      </w:r>
      <w:r>
        <w:t xml:space="preserve"> </w:t>
      </w:r>
      <w:r>
        <w:t>-</w:t>
      </w:r>
      <w:r>
        <w:rPr>
          <w:vertAlign w:val="subscript"/>
        </w:rPr>
        <w:t>2</w:t>
      </w:r>
      <w:r>
        <w:t>在被动冷却下，超越了现有的基于水凝胶的热电化学电池并接近最先进的液体系统。长期运行揭示了在稳定电流密度下稳定的扩散限制衰减，阻抗分析将质量传输确定为主要瓶颈。脉冲负载操作减轻了离子损耗，相对于连续放电，累积电荷提取提高了 2.5 倍，平均功率提高了 60% 以上。九电池阵列仅使用低品位热量直接为电化学系统充电（</w:t>
      </w:r>
      <w:r>
        <w:t xml:space="preserve"> </w:t>
      </w:r>
      <w:r>
        <w:t>时间</w:t>
      </w:r>
      <w:r>
        <w:t xml:space="preserve"> </w:t>
      </w:r>
      <w:r>
        <w:t>H</w:t>
      </w:r>
    </w:p>
    <w:p>
      <w:pPr>
        <w:spacing w:before="0" w:after="200" w:lineRule="auto" w:line="276"/>
      </w:pPr>
      <w:r>
        <w:rPr>
          <w:b/>
        </w:rPr>
        <w:t xml:space="preserve">Abstract (EN): </w:t>
      </w:r>
      <w:r>
        <w:t>Low‐grade waste heat (&amp;lt;100°C) is an abundant yet underutilized energy resource due to its low exergy and the inefficiency of conventional conversion technologies under small temperature gradients and passive operation. Here, a photothermally enhanced thermoelectrochemical cell (PTEC) is reported, enabled by a high‐ionic‐conductivity double‐network hydrogel electrolyte incorporating a guanidinium‐boosted ferro/ferricyanide redox couple. Integration of photothermal carbon electrodes with a quasi‐solid architecture establishes stable temperature gradients under both thermal and solar excitation, without active cooling or liquid electrolytes. The PTEC delivers an instantaneous thermopower of 4.5 mV K</w:t>
      </w:r>
      <w:r>
        <w:t xml:space="preserve"> </w:t>
      </w:r>
      <w:r>
        <w:t>−</w:t>
      </w:r>
      <w:r>
        <w:rPr>
          <w:vertAlign w:val="subscript"/>
        </w:rPr>
        <w:t>1</w:t>
      </w:r>
      <w:r>
        <w:t>and a normalized power density of 5 mW m</w:t>
      </w:r>
      <w:r>
        <w:t xml:space="preserve"> </w:t>
      </w:r>
      <w:r>
        <w:t>−</w:t>
      </w:r>
      <w:r>
        <w:rPr>
          <w:vertAlign w:val="subscript"/>
        </w:rPr>
        <w:t>2</w:t>
      </w:r>
      <w:r>
        <w:t>K</w:t>
      </w:r>
      <w:r>
        <w:t xml:space="preserve"> </w:t>
      </w:r>
      <w:r>
        <w:t>−</w:t>
      </w:r>
      <w:r>
        <w:rPr>
          <w:vertAlign w:val="subscript"/>
        </w:rPr>
        <w:t>2</w:t>
      </w:r>
      <w:r>
        <w:t>under passive cooling, surpassing prior hydrogel‐based thermoelectrochemical cells and approaching state‐of‐the‐art liquid systems. Long‐term operation reveals diffusion‐limited decay that stabilizes at steady current densities, with impedance analysis identifying mass transport as the dominant bottleneck. Pulsed‐load operation mitigates ion depletion, enhancing cumulative charge extraction by 2.5× and average power by &amp;gt;60% relative to continuous discharge. A nine‐cell array directly recharges an electrochemical system using only low‐grade heat (</w:t>
      </w:r>
      <w:r>
        <w:t xml:space="preserve"> </w:t>
      </w:r>
      <w:r>
        <w:t>T</w:t>
      </w:r>
      <w:r>
        <w:t xml:space="preserve"> </w:t>
      </w:r>
      <w:r>
        <w:t>H</w:t>
      </w:r>
      <w:r>
        <w:t xml:space="preserve"> </w:t>
      </w:r>
      <w:r>
        <w:t>=  50°C). This work elucidates key mechanisms governing sustained performance and demonstrates a robust, scalable platform for passive harvesting of ubiquitous low‐grade heat toward self‐powered distributed electronics.</w:t>
      </w:r>
    </w:p>
    <w:p>
      <w:pPr>
        <w:spacing w:before="120" w:after="120"/>
      </w:pPr>
      <w:r>
        <w:rPr>
          <w:sz w:val="18"/>
        </w:rPr>
        <w:t>——————————————————————————————————————————————————————————————————————</w:t>
      </w:r>
    </w:p>
    <w:p>
      <w:pPr>
        <w:spacing w:before="160" w:after="40" w:line="240" w:lineRule="auto"/>
      </w:pPr>
      <w:r>
        <w:rPr>
          <w:b/>
        </w:rPr>
        <w:t xml:space="preserve">[12] </w:t>
      </w:r>
      <w:hyperlink r:id="rId152">
        <w:r>
          <w:rPr>
            <w:color w:val="1155CC"/>
            <w:u w:val="single"/>
          </w:rPr>
          <w:t>通过结构改变和质子转移运行的增压分子马达</w:t>
        </w:r>
      </w:hyperlink>
    </w:p>
    <w:p>
      <w:pPr>
        <w:spacing w:before="0" w:after="80"/>
      </w:pPr>
      <w:r>
        <w:rPr>
          <w:i/>
          <w:sz w:val="20"/>
        </w:rPr>
        <w:t>EN: A supercharged molecular motor operating by constitutional alteration and proton transfer</w:t>
      </w:r>
    </w:p>
    <w:p>
      <w:pPr>
        <w:spacing w:before="0" w:after="120"/>
      </w:pPr>
      <w:r>
        <w:rPr>
          <w:b/>
        </w:rPr>
        <w:t xml:space="preserve">Source: </w:t>
      </w:r>
      <w:r>
        <w:t>Nature Chemistry</w:t>
      </w:r>
      <w:r>
        <w:t xml:space="preserve">    </w:t>
      </w:r>
      <w:r>
        <w:rPr>
          <w:b/>
        </w:rPr>
        <w:t xml:space="preserve">Pub date: </w:t>
      </w:r>
      <w:r>
        <w:t>2026-06-03 00:00:00+00:00</w:t>
      </w:r>
      <w:r>
        <w:t xml:space="preserve">    </w:t>
      </w:r>
      <w:r>
        <w:rPr>
          <w:b/>
        </w:rPr>
        <w:t xml:space="preserve">DOI: </w:t>
      </w:r>
      <w:hyperlink r:id="rId153">
        <w:r>
          <w:rPr>
            <w:color w:val="1155CC"/>
            <w:u w:val="single"/>
          </w:rPr>
          <w:t>10.1038/s41557-026-02141-6</w:t>
        </w:r>
      </w:hyperlink>
    </w:p>
    <w:p>
      <w:pPr>
        <w:spacing w:before="0" w:after="120"/>
      </w:pPr>
      <w:r>
        <w:rPr>
          <w:b/>
        </w:rPr>
        <w:t xml:space="preserve">Notes: </w:t>
      </w:r>
      <w:r>
        <w:t>abstract_source=nature_html</w:t>
      </w:r>
    </w:p>
    <w:p>
      <w:pPr>
        <w:spacing w:before="0" w:after="80" w:lineRule="auto" w:line="276"/>
      </w:pPr>
      <w:r>
        <w:rPr>
          <w:b/>
        </w:rPr>
        <w:t xml:space="preserve">摘要（ZH）: </w:t>
      </w:r>
      <w:r>
        <w:t>光驱动分子马达在输入外部能量时进行定向运动，代表典型的分子机器。到目前为止，此类电机通过光诱导的键旋转发挥作用，其中方向性由固定的不对称源决定。在操作周期期间，除了旋转本身之外，不会发生进一步的结构变化。在这里，我们公开了一种高效的光驱动电机旋转机制，涉及结构改变和可逆质子转移。与这种不寻常的机制相关的是电机保留的入射光能量含量特别高。这一特性在低温分子太阳能热能存储应用中得到进一步利用，其中太阳能可以以受控方式存储和释放，并用肉眼逐步跟踪。有了这些发现，设计和使用具有迄今为止未知的作用和功率模式的分子马达就出现了独特的可能性。该图像的替代文本可能是使用人工智能生成的。</w:t>
      </w:r>
    </w:p>
    <w:p>
      <w:pPr>
        <w:spacing w:before="0" w:after="200" w:lineRule="auto" w:line="276"/>
      </w:pPr>
      <w:r>
        <w:rPr>
          <w:b/>
        </w:rPr>
        <w:t xml:space="preserve">Abstract (EN): </w:t>
      </w:r>
      <w:r>
        <w:t>Light-driven molecular motors undergo directional motions upon the input of external energy and represent archetypical molecular machines. So far, such motors have functioned via light-induced bond rotations, where directionality is dictated by a fixed source of asymmetry. During the operation cycle, no further structural changes occur, other than the rotation itself. Here we disclose a highly effective mechanism for light-driven motor rotation involving constitutional alteration and reversible proton transfer. Associated with this unusual mechanism is a particularly high energy content from the incident light that the motor retains. This feature is further exploited in a low-temperature molecular solar thermal energy storage application, where solar energy can be stored and released in a controlled fashion and tracked step by step with the naked eye. With these findings, unique possibilities emerge for the design and use of molecular motors with hitherto unknown modes of action and power.The alternative text for this image may have been generated using AI.</w:t>
      </w:r>
    </w:p>
    <w:p>
      <w:pPr>
        <w:spacing w:before="120" w:after="120"/>
      </w:pPr>
      <w:r>
        <w:rPr>
          <w:sz w:val="18"/>
        </w:rPr>
        <w:t>——————————————————————————————————————————————————————————————————————</w:t>
      </w:r>
    </w:p>
    <w:p>
      <w:pPr>
        <w:spacing w:before="160" w:after="40" w:line="240" w:lineRule="auto"/>
      </w:pPr>
      <w:r>
        <w:rPr>
          <w:b/>
        </w:rPr>
        <w:t xml:space="preserve">[13] </w:t>
      </w:r>
      <w:hyperlink r:id="rId154">
        <w:r>
          <w:rPr>
            <w:color w:val="1155CC"/>
            <w:u w:val="single"/>
          </w:rPr>
          <w:t>从归因和后果角度对家禽垫料热化学转化途径进行能源和环境可持续性评估</w:t>
        </w:r>
      </w:hyperlink>
    </w:p>
    <w:p>
      <w:pPr>
        <w:spacing w:before="0" w:after="80"/>
      </w:pPr>
      <w:r>
        <w:rPr>
          <w:i/>
          <w:sz w:val="20"/>
        </w:rPr>
        <w:t>EN: Energy and environmental sustainability assessment of thermochemical conversion pathways for poultry litter from the attributional and consequential perspectives</w:t>
      </w:r>
    </w:p>
    <w:p>
      <w:pPr>
        <w:spacing w:before="0" w:after="120"/>
      </w:pPr>
      <w:r>
        <w:rPr>
          <w:b/>
        </w:rPr>
        <w:t xml:space="preserve">Source: </w:t>
      </w:r>
      <w:r>
        <w:t>ScienceDirect Publication: Applied Energy</w:t>
      </w:r>
      <w:r>
        <w:t xml:space="preserve">    </w:t>
      </w:r>
      <w:r>
        <w:rPr>
          <w:b/>
        </w:rPr>
        <w:t xml:space="preserve">Pub date: </w:t>
      </w:r>
      <w:r>
        <w:t>2026-06-03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55">
        <w:r>
          <w:rPr>
            <w:color w:val="1155CC"/>
            <w:u w:val="single"/>
          </w:rPr>
          <w:t>海洋热源加剧大陆热浪</w:t>
        </w:r>
      </w:hyperlink>
    </w:p>
    <w:p>
      <w:pPr>
        <w:spacing w:before="0" w:after="80"/>
      </w:pPr>
      <w:r>
        <w:rPr>
          <w:i/>
          <w:sz w:val="20"/>
        </w:rPr>
        <w:t>EN: Oceanic heat sources exacerbate continental heatwaves</w:t>
      </w:r>
    </w:p>
    <w:p>
      <w:pPr>
        <w:spacing w:before="0" w:after="120"/>
      </w:pPr>
      <w:r>
        <w:rPr>
          <w:b/>
        </w:rPr>
        <w:t xml:space="preserve">Source: </w:t>
      </w:r>
      <w:r>
        <w:t>One Earth</w:t>
      </w:r>
      <w:r>
        <w:t xml:space="preserve">    </w:t>
      </w:r>
      <w:r>
        <w:rPr>
          <w:b/>
        </w:rPr>
        <w:t xml:space="preserve">Pub date: </w:t>
      </w:r>
      <w:r>
        <w:t>2026-06-03 00:00:00+00:00</w:t>
      </w:r>
      <w:r>
        <w:t xml:space="preserve">    </w:t>
      </w:r>
      <w:r>
        <w:rPr>
          <w:b/>
        </w:rPr>
        <w:t xml:space="preserve">DOI: </w:t>
      </w:r>
      <w:hyperlink r:id="rId156">
        <w:r>
          <w:rPr>
            <w:color w:val="1155CC"/>
            <w:u w:val="single"/>
          </w:rPr>
          <w:t>10.1016/j.oneear.2026.101716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57">
        <w:r>
          <w:rPr>
            <w:color w:val="1155CC"/>
            <w:u w:val="single"/>
          </w:rPr>
          <w:t>波纹范德华间隙用于解耦层状热电中的热和电荷传输</w:t>
        </w:r>
      </w:hyperlink>
    </w:p>
    <w:p>
      <w:pPr>
        <w:spacing w:before="0" w:after="80"/>
      </w:pPr>
      <w:r>
        <w:rPr>
          <w:i/>
          <w:sz w:val="20"/>
        </w:rPr>
        <w:t>EN: Corrugating van der Waals gaps for decoupling heat and charge transport in layered thermoelectrics</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158">
        <w:r>
          <w:rPr>
            <w:color w:val="1155CC"/>
            <w:u w:val="single"/>
          </w:rPr>
          <w:t>10.1126/sciadv.aef9733</w:t>
        </w:r>
      </w:hyperlink>
    </w:p>
    <w:p>
      <w:pPr>
        <w:spacing w:before="0" w:after="120"/>
      </w:pPr>
      <w:r>
        <w:rPr>
          <w:b/>
        </w:rPr>
        <w:t xml:space="preserve">Notes: </w:t>
      </w:r>
      <w:r>
        <w:t>abstract_source=crossref</w:t>
      </w:r>
    </w:p>
    <w:p>
      <w:pPr>
        <w:spacing w:before="0" w:after="80" w:lineRule="auto" w:line="276"/>
      </w:pPr>
      <w:r>
        <w:rPr>
          <w:b/>
        </w:rPr>
        <w:t xml:space="preserve">摘要（ZH）: </w:t>
      </w:r>
      <w:r>
        <w:t>由于其各向异性的键合网络，层状热电材料在解开声子和电子传输方面面临着内在的挑战。在这里，我们引入了一种范德华间隙工程策略，该策略故意对 n 型碲化铋 (Bi</w:t>
      </w:r>
      <w:r>
        <w:rPr>
          <w:vertAlign w:val="subscript"/>
        </w:rPr>
        <w:t>2</w:t>
      </w:r>
      <w:r>
        <w:t>碲</w:t>
      </w:r>
      <w:r>
        <w:rPr>
          <w:vertAlign w:val="subscript"/>
        </w:rPr>
        <w:t>3</w:t>
      </w:r>
      <w:r>
        <w:t>）。选择性层间掺杂会产生局部电荷不平衡，进而驱动波纹状晶格波纹。这些结构起伏模拟基底引起的应变场，重新规范声子色散，并显着降低声子速度，从而抑制晶格热导率。波纹幅度远小于电子平均自由程，确保附加电子散射可以忽略不计。结果，材料达到了顶峰</w:t>
      </w:r>
      <w:r>
        <w:t xml:space="preserve"> </w:t>
      </w:r>
      <w:r>
        <w:t>zT</w:t>
      </w:r>
      <w:r>
        <w:t xml:space="preserve"> </w:t>
      </w:r>
      <w:r>
        <w:t>350 开尔文时的转换效率为 1.43，而制造的模块在 250 开尔文温度梯度下的转换效率为 7.5%，两者都代表了 n 型 Bi 的最先进性能</w:t>
      </w:r>
      <w:r>
        <w:rPr>
          <w:vertAlign w:val="subscript"/>
        </w:rPr>
        <w:t>2</w:t>
      </w:r>
      <w:r>
        <w:t>碲</w:t>
      </w:r>
      <w:r>
        <w:rPr>
          <w:vertAlign w:val="subscript"/>
        </w:rPr>
        <w:t>3</w:t>
      </w:r>
      <w:r>
        <w:t>系统。更广泛地说，这项工作将层间应力确立为操纵范德华固体中声子的通用策略，为高效热电材料提供了以前未知的设计原理。</w:t>
      </w:r>
    </w:p>
    <w:p>
      <w:pPr>
        <w:spacing w:before="0" w:after="200" w:lineRule="auto" w:line="276"/>
      </w:pPr>
      <w:r>
        <w:rPr>
          <w:b/>
        </w:rPr>
        <w:t xml:space="preserve">Abstract (EN): </w:t>
      </w:r>
      <w:r>
        <w:t>Layered thermoelectric materials face intrinsic challenges in disentangling phonon and electron transport due to their anisotropic bonding networks. Here, we introduce a van der Waals gap engineering strategy that deliberately imposes out-of-plane stress on n-type bismuth telluride (Bi</w:t>
      </w:r>
      <w:r>
        <w:rPr>
          <w:vertAlign w:val="subscript"/>
        </w:rPr>
        <w:t>2</w:t>
      </w:r>
      <w:r>
        <w:t>Te</w:t>
      </w:r>
      <w:r>
        <w:rPr>
          <w:vertAlign w:val="subscript"/>
        </w:rPr>
        <w:t>3</w:t>
      </w:r>
      <w:r>
        <w:t>). Selective interlayer doping creates local charge imbalance, which in turn drives ripple-like lattice corrugations. These structural undulations mimic substrate-induced strain fields, renormalize phonon dispersion, and substantially reduce phonon velocity, thereby suppressing lattice thermal conductivity. The corrugation amplitude is far smaller than the electronic mean free path, ensuring negligible additional electron scattering. As a result, the material reaches a peak</w:t>
      </w:r>
      <w:r>
        <w:t xml:space="preserve"> </w:t>
      </w:r>
      <w:r>
        <w:t>zT</w:t>
      </w:r>
      <w:r>
        <w:t xml:space="preserve"> </w:t>
      </w:r>
      <w:r>
        <w:t>of 1.43 at 350 kelvin, while the fabricated module delivers a conversion efficiency of 7.5% under a 250-kelvin temperature gradient—both representing state-of-the-art performances for n-type Bi</w:t>
      </w:r>
      <w:r>
        <w:rPr>
          <w:vertAlign w:val="subscript"/>
        </w:rPr>
        <w:t>2</w:t>
      </w:r>
      <w:r>
        <w:t>Te</w:t>
      </w:r>
      <w:r>
        <w:rPr>
          <w:vertAlign w:val="subscript"/>
        </w:rPr>
        <w:t>3</w:t>
      </w:r>
      <w:r>
        <w:t>systems. More broadly, this work establishes interlayer stress as a general strategy to manipulate phonons in van der Waals solids, providing previously unidentified design principles for high-efficiency thermoelectrics.</w:t>
      </w:r>
    </w:p>
    <w:p>
      <w:pPr>
        <w:spacing w:before="120" w:after="120"/>
      </w:pPr>
      <w:r>
        <w:rPr>
          <w:sz w:val="18"/>
        </w:rPr>
        <w:t>——————————————————————————————————————————————————————————————————————</w:t>
      </w:r>
    </w:p>
    <w:p>
      <w:pPr>
        <w:spacing w:before="160" w:after="40" w:line="240" w:lineRule="auto"/>
      </w:pPr>
      <w:r>
        <w:rPr>
          <w:b/>
        </w:rPr>
        <w:t xml:space="preserve">[16] </w:t>
      </w:r>
      <w:hyperlink r:id="rId159">
        <w:r>
          <w:rPr>
            <w:color w:val="1155CC"/>
            <w:u w:val="single"/>
          </w:rPr>
          <w:t>使用基于 GIS 的适宜性测绘、XAI 驱动的机器学习和网络约束物流对沼气厂选址进行多目标优化</w:t>
        </w:r>
      </w:hyperlink>
    </w:p>
    <w:p>
      <w:pPr>
        <w:spacing w:before="0" w:after="80"/>
      </w:pPr>
      <w:r>
        <w:rPr>
          <w:i/>
          <w:sz w:val="20"/>
        </w:rPr>
        <w:t>EN: Multi-objective optimization of biogas plant siting using GIS-based suitability mapping, XAI-driven machine learning and network-constrained logistics</w:t>
      </w:r>
    </w:p>
    <w:p>
      <w:pPr>
        <w:spacing w:before="0" w:after="120"/>
      </w:pPr>
      <w:r>
        <w:rPr>
          <w:b/>
        </w:rPr>
        <w:t xml:space="preserve">Source: </w:t>
      </w:r>
      <w:r>
        <w:t>ScienceDirect Publication: Applied Energy</w:t>
      </w:r>
      <w:r>
        <w:t xml:space="preserve">    </w:t>
      </w:r>
      <w:r>
        <w:rPr>
          <w:b/>
        </w:rPr>
        <w:t xml:space="preserve">Pub date: </w:t>
      </w:r>
      <w:r>
        <w:t>2026-06-04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160">
        <w:r>
          <w:rPr>
            <w:color w:val="1155CC"/>
            <w:u w:val="single"/>
          </w:rPr>
          <w:t>离子热电：一种软能量转换技术</w:t>
        </w:r>
      </w:hyperlink>
    </w:p>
    <w:p>
      <w:pPr>
        <w:spacing w:before="0" w:after="80"/>
      </w:pPr>
      <w:r>
        <w:rPr>
          <w:i/>
          <w:sz w:val="20"/>
        </w:rPr>
        <w:t>EN: Ionic thermoelectrics: a soft energy conversion technique</w:t>
      </w:r>
    </w:p>
    <w:p>
      <w:pPr>
        <w:spacing w:before="0" w:after="120"/>
      </w:pPr>
      <w:r>
        <w:rPr>
          <w:b/>
        </w:rPr>
        <w:t xml:space="preserve">Source: </w:t>
      </w:r>
      <w:r>
        <w:t>National Science Review Advance Access</w:t>
      </w:r>
      <w:r>
        <w:t xml:space="preserve">    </w:t>
      </w:r>
      <w:r>
        <w:rPr>
          <w:b/>
        </w:rPr>
        <w:t xml:space="preserve">Pub date: </w:t>
      </w:r>
      <w:r>
        <w:t>2026-06-04 00:00:00+00:00</w:t>
      </w:r>
      <w:r>
        <w:t xml:space="preserve">    </w:t>
      </w:r>
      <w:r>
        <w:rPr>
          <w:b/>
        </w:rPr>
        <w:t xml:space="preserve">DOI: </w:t>
      </w:r>
      <w:hyperlink r:id="rId161">
        <w:r>
          <w:rPr>
            <w:color w:val="1155CC"/>
            <w:u w:val="single"/>
          </w:rPr>
          <w:t>10.1093/nsr/nwag333</w:t>
        </w:r>
      </w:hyperlink>
    </w:p>
    <w:p>
      <w:pPr>
        <w:spacing w:before="0" w:after="120"/>
      </w:pPr>
      <w:r>
        <w:rPr>
          <w:b/>
        </w:rPr>
        <w:t xml:space="preserve">Notes: </w:t>
      </w:r>
      <w:r>
        <w:t>abstract_source=openalex</w:t>
      </w:r>
    </w:p>
    <w:p>
      <w:pPr>
        <w:spacing w:before="0" w:after="80" w:lineRule="auto" w:line="276"/>
      </w:pPr>
      <w:r>
        <w:rPr>
          <w:b/>
        </w:rPr>
        <w:t xml:space="preserve">摘要（ZH）: </w:t>
      </w:r>
      <w:r>
        <w:t>刘伟书，张晓刚，Nicholas X Fang；离子热电：一种软能量转换技术，国家科学评论，，nwag333，https://doi.org</w:t>
      </w:r>
    </w:p>
    <w:p>
      <w:pPr>
        <w:spacing w:before="0" w:after="200" w:lineRule="auto" w:line="276"/>
      </w:pPr>
      <w:r>
        <w:rPr>
          <w:b/>
        </w:rPr>
        <w:t xml:space="preserve">Abstract (EN): </w:t>
      </w:r>
      <w:r>
        <w:t>Weishu Liu, Xiaogang Zhang, Nicholas X Fang; Ionic thermoelectrics: a soft energy conversion technique, National Science Review, , nwag333, https://doi.org</w:t>
      </w:r>
    </w:p>
    <w:p>
      <w:pPr>
        <w:spacing w:before="120" w:after="120"/>
      </w:pPr>
      <w:r>
        <w:rPr>
          <w:sz w:val="18"/>
        </w:rPr>
        <w:t>——————————————————————————————————————————————————————————————————————</w:t>
      </w:r>
    </w:p>
    <w:p>
      <w:pPr>
        <w:spacing w:before="160" w:after="40" w:line="240" w:lineRule="auto"/>
      </w:pPr>
      <w:r>
        <w:rPr>
          <w:b/>
        </w:rPr>
        <w:t xml:space="preserve">[18] </w:t>
      </w:r>
      <w:hyperlink r:id="rId162">
        <w:r>
          <w:rPr>
            <w:color w:val="1155CC"/>
            <w:u w:val="single"/>
          </w:rPr>
          <w:t>超低铬掺杂可实现全 PbSe 热电冷却</w:t>
        </w:r>
      </w:hyperlink>
    </w:p>
    <w:p>
      <w:pPr>
        <w:spacing w:before="0" w:after="80"/>
      </w:pPr>
      <w:r>
        <w:rPr>
          <w:i/>
          <w:sz w:val="20"/>
        </w:rPr>
        <w:t>EN: Ultralow chromium doping enables all-PbSe thermoelectric cooling</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63">
        <w:r>
          <w:rPr>
            <w:color w:val="1155CC"/>
            <w:u w:val="single"/>
          </w:rPr>
          <w:t>10.1126/science.aeg8963</w:t>
        </w:r>
      </w:hyperlink>
    </w:p>
    <w:p>
      <w:pPr>
        <w:spacing w:before="0" w:after="120"/>
      </w:pPr>
      <w:r>
        <w:rPr>
          <w:b/>
        </w:rPr>
        <w:t xml:space="preserve">Notes: </w:t>
      </w:r>
      <w:r>
        <w:t>abstract_source=crossref</w:t>
      </w:r>
    </w:p>
    <w:p>
      <w:pPr>
        <w:spacing w:before="0" w:after="80" w:lineRule="auto" w:line="276"/>
      </w:pPr>
      <w:r>
        <w:rPr>
          <w:b/>
        </w:rPr>
        <w:t xml:space="preserve">摘要（ZH）: </w:t>
      </w:r>
      <w:r>
        <w:t>热电冷却对于固态热管理至关重要，但商用碲化铋器件中碲的稀缺性和成本阻碍了大规模部署。我们开发了一种基于全硒化铅 (PbSe) 的无碲热电冷却器，其中超低掺杂铬 (Cr) 栅极允许缺陷和施主工程来优化载流子传输，以匹配 n 型和 p 型腿的性能。我们制造了具有协同匹配特性的高性能 n 型 (PbSe + 0.005Cr) 和 p 型 (PbSe + 0.001Cr) 晶体。该器件表现出卓越的性能，具有更低的功耗和更高的冷却能力，实现了约 6 瓦/平方厘米的冷却密度，约 21 的峰值性能系数，以及在 363 开尔文热端温度下约 53 开尔文的最大温差。这些发现表明 PbSe 是大规模冷却应用的高效、可持续替代品。</w:t>
      </w:r>
    </w:p>
    <w:p>
      <w:pPr>
        <w:spacing w:before="0" w:after="200" w:lineRule="auto" w:line="276"/>
      </w:pPr>
      <w:r>
        <w:rPr>
          <w:b/>
        </w:rPr>
        <w:t xml:space="preserve">Abstract (EN): </w:t>
      </w:r>
      <w:r>
        <w:t>Thermoelectric cooling is pivotal for solid-state thermal management, yet large-scale deployment is hindered by the scarcity and cost of tellurium in commercial bismuth telluride devices. We developed a tellurium-free thermoelectric cooler based on all lead selenide (PbSe), in which an ultralow-dopant chromium (Cr) grid allows the engineering of defects and donors to optimize carrier transport to match the performance of the n-type and p-type legs. We fabricated high-performance n-type (PbSe + 0.005Cr) and p-type (PbSe + 0.001Cr) crystals with synergistically matched properties. The device exhibits exceptional performance with lower power consumption and higher cooling capacity, achieving a cooling density of approximately 6 watts per square centimeter, a peak coefficient of performance of approximately 21, and a maximum temperature difference of approximately 53 kelvin at a 363-kelvin hot-side temperature. These findings establish PbSe as a highly effective, sustainable alternative for large-scale cooling applications.</w:t>
      </w:r>
    </w:p>
    <w:p>
      <w:pPr>
        <w:spacing w:before="120" w:after="120"/>
      </w:pPr>
      <w:r>
        <w:rPr>
          <w:sz w:val="18"/>
        </w:rPr>
        <w:t>——————————————————————————————————————————————————————————————————————</w:t>
      </w:r>
    </w:p>
    <w:p>
      <w:pPr>
        <w:spacing w:before="160" w:after="120"/>
      </w:pPr>
      <w:r>
        <w:rPr>
          <w:b/>
          <w:sz w:val="28"/>
        </w:rPr>
        <w:t>【核能】</w:t>
      </w:r>
    </w:p>
    <w:p>
      <w:pPr>
        <w:spacing w:before="160" w:after="40" w:line="240" w:lineRule="auto"/>
      </w:pPr>
      <w:r>
        <w:rPr>
          <w:b/>
        </w:rPr>
        <w:t xml:space="preserve">[1] </w:t>
      </w:r>
      <w:hyperlink r:id="rId164">
        <w:r>
          <w:rPr>
            <w:color w:val="1155CC"/>
            <w:u w:val="single"/>
          </w:rPr>
          <w:t>美国墨西哥湾沿岸炼油厂利用核能和化石能源固碳的技术经济和环境比较分析</w:t>
        </w:r>
      </w:hyperlink>
    </w:p>
    <w:p>
      <w:pPr>
        <w:spacing w:before="0" w:after="80"/>
      </w:pPr>
      <w:r>
        <w:rPr>
          <w:i/>
          <w:sz w:val="20"/>
        </w:rPr>
        <w:t>EN: Comparative techno-economic and environmental analysis of using nuclear energy and fossil energy with carbon sequestration in U.S. Gulf Coast petroleum refineries</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65">
        <w:r>
          <w:rPr>
            <w:color w:val="1155CC"/>
            <w:u w:val="single"/>
          </w:rPr>
          <w:t>通过氢整合和政策支持重新思考美国核电的经济性和灵活性</w:t>
        </w:r>
      </w:hyperlink>
    </w:p>
    <w:p>
      <w:pPr>
        <w:spacing w:before="0" w:after="80"/>
      </w:pPr>
      <w:r>
        <w:rPr>
          <w:i/>
          <w:sz w:val="20"/>
        </w:rPr>
        <w:t>EN: Rethinking the economics and flexibility of U.S. nuclear power through hydrogen integration and policy support</w:t>
      </w:r>
    </w:p>
    <w:p>
      <w:pPr>
        <w:spacing w:before="0" w:after="120"/>
      </w:pPr>
      <w:r>
        <w:rPr>
          <w:b/>
        </w:rPr>
        <w:t xml:space="preserve">Source: </w:t>
      </w:r>
      <w:r>
        <w:t>Scientific community and society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核电提供可靠的低碳电力和高温热量，但现有核电站面临着越来越大的压力，需要在可再生能源渗透率不断提高的市场中更灵活地运营。通过高温电解将核反应堆与氢气生产结合起来可能会提高灵活性并创造附加价值，但其经济潜力仍然不确定。在这里，我们表明，将核发电与氢气生产和辅助服务参与相结合可以大大提高核能系统的经济性和运营灵活性。使用与生命周期技术经济分析相关的每小时优化模型，我们发现，在没有政策支持的情况下，通过高温电解改造现有反应堆可将平均净现值从约 10.6 亿美元增加到约 2.4 亿美元，同时将大多数反应堆的灵活输出扩大超过 115 MW。政策激励、成本降低和优化的市场参与进一步增强了核氢系统在降低成本和支持电网可靠性方面的价值。</w:t>
      </w:r>
    </w:p>
    <w:p>
      <w:pPr>
        <w:spacing w:before="0" w:after="200" w:lineRule="auto" w:line="276"/>
      </w:pPr>
      <w:r>
        <w:rPr>
          <w:b/>
        </w:rPr>
        <w:t xml:space="preserve">Abstract (EN): </w:t>
      </w:r>
      <w:r>
        <w:t>Nuclear power supplies reliable low-carbon electricity and high-temperature heat, but existing plants face growing pressure to operate more flexibly in markets with rising renewable penetration. Coupling nuclear reactors with hydrogen production through high-temperature electrolysis may improve flexibility and create additional value, yet its economic potential remains uncertain. Here we show that integrating nuclear generation with hydrogen production and ancillary service participation can substantially improve the economics and operational flexibility of nuclear energy systems. Using an hourly optimization model linked to lifecycle techno-economic analysis, we find that retrofitting existing reactors with high-temperature electrolysis increases average net present value from about -$1.06 billion to about $240 million without policy support, while expanding flexible output by more than 115 MW for most reactors. Policy incentives, cost reductions, and optimized market participation further strengthen the value of nuclear-hydrogen systems for reducing costs and supporting grid reliability.</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166">
        <w:r>
          <w:rPr>
            <w:color w:val="1155CC"/>
            <w:u w:val="single"/>
          </w:rPr>
          <w:t>高熵合金固态储氢材料大规模应用的前景与进展</w:t>
        </w:r>
      </w:hyperlink>
    </w:p>
    <w:p>
      <w:pPr>
        <w:spacing w:before="0" w:after="80"/>
      </w:pPr>
      <w:r>
        <w:rPr>
          <w:i/>
          <w:sz w:val="20"/>
        </w:rPr>
        <w:t>EN: Prospect and advancement of high-entropy alloys as solid-state hydrogen storage materials for large-scale applications</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67">
        <w:r>
          <w:rPr>
            <w:color w:val="1155CC"/>
            <w:u w:val="single"/>
          </w:rPr>
          <w:t>天然氢系统：了解积累并应对地下挑战</w:t>
        </w:r>
      </w:hyperlink>
    </w:p>
    <w:p>
      <w:pPr>
        <w:spacing w:before="0" w:after="80"/>
      </w:pPr>
      <w:r>
        <w:rPr>
          <w:i/>
          <w:sz w:val="20"/>
        </w:rPr>
        <w:t>EN: Natural hydrogen systems: understanding accumulation and confronting subsurface challenges</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68">
        <w:r>
          <w:rPr>
            <w:color w:val="1155CC"/>
            <w:u w:val="single"/>
          </w:rPr>
          <w:t>基于多时间分辨率不确定性探索氢能存储在电力系统中的灵活性</w:t>
        </w:r>
      </w:hyperlink>
    </w:p>
    <w:p>
      <w:pPr>
        <w:spacing w:before="0" w:after="80"/>
      </w:pPr>
      <w:r>
        <w:rPr>
          <w:i/>
          <w:sz w:val="20"/>
        </w:rPr>
        <w:t>EN: Exploring flexibility of hydrogen energy storage in power system via multi-time-resolution uncertainty</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69">
        <w:r>
          <w:rPr>
            <w:color w:val="1155CC"/>
            <w:u w:val="single"/>
          </w:rPr>
          <w:t>考虑 PEM 电解槽关键部件退化的电氢耦合系统的工作区域表征</w:t>
        </w:r>
      </w:hyperlink>
    </w:p>
    <w:p>
      <w:pPr>
        <w:spacing w:before="0" w:after="80"/>
      </w:pPr>
      <w:r>
        <w:rPr>
          <w:i/>
          <w:sz w:val="20"/>
        </w:rPr>
        <w:t>EN: Operating region characterization for electric-hydrogen coupling systems considering degradation of key components in PEM electrolyzers</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70">
        <w:r>
          <w:rPr>
            <w:color w:val="1155CC"/>
            <w:u w:val="single"/>
          </w:rPr>
          <w:t>激光制造的阳极流场微图案增强了质子交换膜水电解中的肋下质量传输和性能</w:t>
        </w:r>
      </w:hyperlink>
    </w:p>
    <w:p>
      <w:pPr>
        <w:spacing w:before="0" w:after="80"/>
      </w:pPr>
      <w:r>
        <w:rPr>
          <w:i/>
          <w:sz w:val="20"/>
        </w:rPr>
        <w:t>EN: Laser fabricated micropattern of anode flow field enhances under-rib mass transport and performance in PEM water electrolysis</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71">
        <w:r>
          <w:rPr>
            <w:color w:val="1155CC"/>
            <w:u w:val="single"/>
          </w:rPr>
          <w:t>储氢物理解决方案：概述</w:t>
        </w:r>
      </w:hyperlink>
    </w:p>
    <w:p>
      <w:pPr>
        <w:spacing w:before="0" w:after="80"/>
      </w:pPr>
      <w:r>
        <w:rPr>
          <w:i/>
          <w:sz w:val="20"/>
        </w:rPr>
        <w:t>EN: Physical solutions for hydrogen storage: An overview</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72">
        <w:r>
          <w:rPr>
            <w:color w:val="1155CC"/>
            <w:u w:val="single"/>
          </w:rPr>
          <w:t>用于氢氨混合微电网优化设计的新型需求响应框架</w:t>
        </w:r>
      </w:hyperlink>
    </w:p>
    <w:p>
      <w:pPr>
        <w:spacing w:before="0" w:after="80"/>
      </w:pPr>
      <w:r>
        <w:rPr>
          <w:i/>
          <w:sz w:val="20"/>
        </w:rPr>
        <w:t>EN: A novel demand response framework for the optimal design of hydrogen-ammonia hybrid microgrids</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73">
        <w:r>
          <w:rPr>
            <w:color w:val="1155CC"/>
            <w:u w:val="single"/>
          </w:rPr>
          <w:t>从单一基序到活性整体：MoS2 上的相控 Co8 簇催化氮电还原</w:t>
        </w:r>
      </w:hyperlink>
    </w:p>
    <w:p>
      <w:pPr>
        <w:spacing w:before="0" w:after="80"/>
      </w:pPr>
      <w:r>
        <w:rPr>
          <w:i/>
          <w:sz w:val="20"/>
        </w:rPr>
        <w:t>EN: From Single Motif to Active Ensembles: Phase‐Controlled Co8 Cluster Catalysis on MoS2 for Nitrogen Electroreduction</w:t>
      </w:r>
    </w:p>
    <w:p>
      <w:pPr>
        <w:spacing w:before="0" w:after="120"/>
      </w:pPr>
      <w:r>
        <w:rPr>
          <w:b/>
        </w:rPr>
        <w:t xml:space="preserve">Source: </w:t>
      </w:r>
      <w:r>
        <w:t>Wiley: Advanced Materials: Table of Contents</w:t>
      </w:r>
      <w:r>
        <w:t xml:space="preserve">    </w:t>
      </w:r>
      <w:r>
        <w:rPr>
          <w:b/>
        </w:rPr>
        <w:t xml:space="preserve">Pub date: </w:t>
      </w:r>
      <w:r>
        <w:t>2026-05-30 04:46:26+00:00</w:t>
      </w:r>
      <w:r>
        <w:t xml:space="preserve">    </w:t>
      </w:r>
      <w:r>
        <w:rPr>
          <w:b/>
        </w:rPr>
        <w:t xml:space="preserve">DOI: </w:t>
      </w:r>
      <w:hyperlink r:id="rId174">
        <w:r>
          <w:rPr>
            <w:color w:val="1155CC"/>
            <w:u w:val="single"/>
          </w:rPr>
          <w:t>10.1002/adma.73521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原子级金属簇弥合了纳米粒子和单原子催化剂之间的差距，表现出明显的结构敏感反应性，该反应性受到载体的强烈控制。在这里，我们揭示了二维载体的晶相——金属 1T 与半导体 2H MoS</w:t>
      </w:r>
      <w:r>
        <w:rPr>
          <w:vertAlign w:val="subscript"/>
        </w:rPr>
        <w:t>2</w:t>
      </w:r>
      <w:r>
        <w:t>-指导负载Co的结构和电化学氮还原（eNRR）性能</w:t>
      </w:r>
      <w:r>
        <w:rPr>
          <w:vertAlign w:val="subscript"/>
        </w:rPr>
        <w:t>8</w:t>
      </w:r>
      <w:r>
        <w:t>通过机器学习潜力加速的多尺度模拟进行聚类。 1T-MoS2上</w:t>
      </w:r>
      <w:r>
        <w:rPr>
          <w:vertAlign w:val="subscript"/>
        </w:rPr>
        <w:t>2</w:t>
      </w:r>
      <w:r>
        <w:t>，强金属-支撑相互作用充当结构收敛器，锁定 Co</w:t>
      </w:r>
      <w:r>
        <w:rPr>
          <w:vertAlign w:val="subscript"/>
        </w:rPr>
        <w:t>8</w:t>
      </w:r>
      <w:r>
        <w:t>成一个单一的主导操作主动主题。相比之下，2H-MoS</w:t>
      </w:r>
      <w:r>
        <w:rPr>
          <w:vertAlign w:val="subscript"/>
        </w:rPr>
        <w:t>2</w:t>
      </w:r>
      <w:r>
        <w:t>作为结构发散剂，在反应条件下稳定热力学广泛的活性基序整体。这种相控结构多样性直接转化为一个函数：Co</w:t>
      </w:r>
      <w:r>
        <w:rPr>
          <w:vertAlign w:val="subscript"/>
        </w:rPr>
        <w:t>8</w:t>
      </w:r>
      <w:r>
        <w:t>氮</w:t>
      </w:r>
      <w:r>
        <w:rPr>
          <w:vertAlign w:val="subscript"/>
        </w:rPr>
        <w:t>7</w:t>
      </w:r>
      <w:r>
        <w:t>H</w:t>
      </w:r>
      <w:r>
        <w:rPr>
          <w:vertAlign w:val="subscript"/>
        </w:rPr>
        <w:t>12</w:t>
      </w:r>
      <w:r>
        <w:t>/2H-MoS2</w:t>
      </w:r>
      <w:r>
        <w:rPr>
          <w:vertAlign w:val="subscript"/>
        </w:rPr>
        <w:t>2</w:t>
      </w:r>
      <w:r>
        <w:t>拥有更多的内在活性基序，并且氨生产率显着高于 Co</w:t>
      </w:r>
      <w:r>
        <w:rPr>
          <w:vertAlign w:val="subscript"/>
        </w:rPr>
        <w:t>8</w:t>
      </w:r>
      <w:r>
        <w:t>氮</w:t>
      </w:r>
      <w:r>
        <w:rPr>
          <w:vertAlign w:val="subscript"/>
        </w:rPr>
        <w:t>7</w:t>
      </w:r>
      <w:r>
        <w:t>H</w:t>
      </w:r>
      <w:r>
        <w:rPr>
          <w:vertAlign w:val="subscript"/>
        </w:rPr>
        <w:t>14</w:t>
      </w:r>
      <w:r>
        <w:t>/1T-MoS2</w:t>
      </w:r>
      <w:r>
        <w:rPr>
          <w:vertAlign w:val="subscript"/>
        </w:rPr>
        <w:t>2</w:t>
      </w:r>
      <w:r>
        <w:t>同时同意</w:t>
      </w:r>
    </w:p>
    <w:p>
      <w:pPr>
        <w:spacing w:before="0" w:after="200" w:lineRule="auto" w:line="276"/>
      </w:pPr>
      <w:r>
        <w:rPr>
          <w:b/>
        </w:rPr>
        <w:t xml:space="preserve">Abstract (EN): </w:t>
      </w:r>
      <w:r>
        <w:t>Atomic‐scale metal clusters, which bridge the gap between nanoparticles and single‐atom catalysts, show pronounced structure‐sensitive reactivity that is strongly governed by the support. Here, we reveal that the crystal phase of a two‐dimensional support—metallic 1T versus semiconducting 2H MoS</w:t>
      </w:r>
      <w:r>
        <w:rPr>
          <w:vertAlign w:val="subscript"/>
        </w:rPr>
        <w:t>2</w:t>
      </w:r>
      <w:r>
        <w:t>—directs the structure and electrochemical nitrogen reduction (eNRR) performance of supported Co</w:t>
      </w:r>
      <w:r>
        <w:rPr>
          <w:vertAlign w:val="subscript"/>
        </w:rPr>
        <w:t>8</w:t>
      </w:r>
      <w:r>
        <w:t>clusters via machine‐learning‐potential‐accelerated multiscale simulations. On 1T‐MoS</w:t>
      </w:r>
      <w:r>
        <w:rPr>
          <w:vertAlign w:val="subscript"/>
        </w:rPr>
        <w:t>2</w:t>
      </w:r>
      <w:r>
        <w:t>, strong metal–support interactions act as a structural converger, locking Co</w:t>
      </w:r>
      <w:r>
        <w:rPr>
          <w:vertAlign w:val="subscript"/>
        </w:rPr>
        <w:t>8</w:t>
      </w:r>
      <w:r>
        <w:t>into a single dominant operando active motif. In contrast, 2H‐MoS</w:t>
      </w:r>
      <w:r>
        <w:rPr>
          <w:vertAlign w:val="subscript"/>
        </w:rPr>
        <w:t>2</w:t>
      </w:r>
      <w:r>
        <w:t>behaves as a structural diverger, stabilizing a thermodynamically broad ensemble of active motifs under reaction conditions. This phase‐controlled structural diversity translates directly into a function: Co</w:t>
      </w:r>
      <w:r>
        <w:rPr>
          <w:vertAlign w:val="subscript"/>
        </w:rPr>
        <w:t>8</w:t>
      </w:r>
      <w:r>
        <w:t>N</w:t>
      </w:r>
      <w:r>
        <w:rPr>
          <w:vertAlign w:val="subscript"/>
        </w:rPr>
        <w:t>7</w:t>
      </w:r>
      <w:r>
        <w:t>H</w:t>
      </w:r>
      <w:r>
        <w:rPr>
          <w:vertAlign w:val="subscript"/>
        </w:rPr>
        <w:t>12</w:t>
      </w:r>
      <w:r>
        <w:t>/2H‐MoS</w:t>
      </w:r>
      <w:r>
        <w:rPr>
          <w:vertAlign w:val="subscript"/>
        </w:rPr>
        <w:t>2</w:t>
      </w:r>
      <w:r>
        <w:t>hosts a larger population of intrinsically active motifs and delivers an ammonia production rate significantly higher than that of Co</w:t>
      </w:r>
      <w:r>
        <w:rPr>
          <w:vertAlign w:val="subscript"/>
        </w:rPr>
        <w:t>8</w:t>
      </w:r>
      <w:r>
        <w:t>N</w:t>
      </w:r>
      <w:r>
        <w:rPr>
          <w:vertAlign w:val="subscript"/>
        </w:rPr>
        <w:t>7</w:t>
      </w:r>
      <w:r>
        <w:t>H</w:t>
      </w:r>
      <w:r>
        <w:rPr>
          <w:vertAlign w:val="subscript"/>
        </w:rPr>
        <w:t>14</w:t>
      </w:r>
      <w:r>
        <w:t>/1T‐MoS</w:t>
      </w:r>
      <w:r>
        <w:rPr>
          <w:vertAlign w:val="subscript"/>
        </w:rPr>
        <w:t>2</w:t>
      </w:r>
      <w:r>
        <w:t>while concurrently suppressing hydrogen evolution. Electronic structure analysis identified the total Bader charge of the cluster across different exposed active sites as a key descriptor that was exponentially correlated with the N</w:t>
      </w:r>
      <w:r>
        <w:rPr>
          <w:vertAlign w:val="subscript"/>
        </w:rPr>
        <w:t>2</w:t>
      </w:r>
      <w:r>
        <w:t>H</w:t>
      </w:r>
      <w:r>
        <w:rPr>
          <w:vertAlign w:val="subscript"/>
        </w:rPr>
        <w:t>2</w:t>
      </w:r>
      <w:r>
        <w:t>hydrogenation barrier and turnover frequency. These findings establish a crystal phase–structure–charge–function causal chain and highlight support phase engineering—specifically, the deliberate promotion of structural diversity—as a general strategy that can be extended to other catalytic reactions to increase activity.</w:t>
      </w:r>
    </w:p>
    <w:p>
      <w:pPr>
        <w:spacing w:before="120" w:after="120"/>
      </w:pPr>
      <w:r>
        <w:rPr>
          <w:sz w:val="18"/>
        </w:rPr>
        <w:t>——————————————————————————————————————————————————————————————————————</w:t>
      </w:r>
    </w:p>
    <w:p>
      <w:pPr>
        <w:spacing w:before="160" w:after="40" w:line="240" w:lineRule="auto"/>
      </w:pPr>
      <w:r>
        <w:rPr>
          <w:b/>
        </w:rPr>
        <w:t xml:space="preserve">[9] </w:t>
      </w:r>
      <w:hyperlink r:id="rId175">
        <w:r>
          <w:rPr>
            <w:color w:val="1155CC"/>
            <w:u w:val="single"/>
          </w:rPr>
          <w:t>通过基于物理的阻抗分析来处理瞬态水电解中的动力学-输运权衡</w:t>
        </w:r>
      </w:hyperlink>
    </w:p>
    <w:p>
      <w:pPr>
        <w:spacing w:before="0" w:after="80"/>
      </w:pPr>
      <w:r>
        <w:rPr>
          <w:i/>
          <w:sz w:val="20"/>
        </w:rPr>
        <w:t>EN: Navigating the Kinetic‐Transport Trade‐Off in Transient Water Electrolysis via Physics‐Informed Impedance Analysis</w:t>
      </w:r>
    </w:p>
    <w:p>
      <w:pPr>
        <w:spacing w:before="0" w:after="120"/>
      </w:pPr>
      <w:r>
        <w:rPr>
          <w:b/>
        </w:rPr>
        <w:t xml:space="preserve">Source: </w:t>
      </w:r>
      <w:r>
        <w:t>Wiley: Advanced Energy Materials: Table of Contents</w:t>
      </w:r>
      <w:r>
        <w:t xml:space="preserve">    </w:t>
      </w:r>
      <w:r>
        <w:rPr>
          <w:b/>
        </w:rPr>
        <w:t xml:space="preserve">Pub date: </w:t>
      </w:r>
      <w:r>
        <w:t>2026-05-30 11:35:40+00:00</w:t>
      </w:r>
      <w:r>
        <w:t xml:space="preserve">    </w:t>
      </w:r>
      <w:r>
        <w:rPr>
          <w:b/>
        </w:rPr>
        <w:t xml:space="preserve">DOI: </w:t>
      </w:r>
      <w:hyperlink r:id="rId176">
        <w:r>
          <w:rPr>
            <w:color w:val="1155CC"/>
            <w:u w:val="single"/>
          </w:rPr>
          <w:t>10.1002/aenm.71153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将海上可再生能源与水电解耦合对于可持续制氢至关重要，但电力间歇性挑战了系统的稳定性和效率。现有的控制方法通常无法考虑动态操作期间电极界面处的快速微观变化。 在这里，我们开发了一个源自电化学阻抗谱的动态等效电路模型，以解决波动负载下的这些瞬态行为。 我们的方法定量地将动力学因素与气泡屏蔽和孔隙闭塞引起的传输损失分开。这种区别可以精确识别催化剂降解和膜性能机制，而这些机制在非稳态期间通常会被掩盖。通过利用这些描述符，我们构建了一个动态状态图，以引导系统从运输受限区域转向最佳操作窗口。因此，我们无需修改硬件即可将单位能耗降低 8% 至 15%，碳强度降低 12%。这些见解促进了基于物理的控制协议的部署，将可再生间歇性从稳定性风险转变为工业氢气生产的优化参数。</w:t>
      </w:r>
    </w:p>
    <w:p>
      <w:pPr>
        <w:spacing w:before="0" w:after="200" w:lineRule="auto" w:line="276"/>
      </w:pPr>
      <w:r>
        <w:rPr>
          <w:b/>
        </w:rPr>
        <w:t xml:space="preserve">Abstract (EN): </w:t>
      </w:r>
      <w:r>
        <w:t>Coupling offshore renewable energy with water electrolysis is critical for sustainable hydrogen production, yet power intermittency challenges system stability and efficiency. Existing control methods often fail to account for rapid microscopic changes at the electrode interface during dynamic operation. Here, we develop a dynamic equivalent circuit model derived from electrochemical impedance spectroscopy to resolve these transient behaviors under fluctuating loads. Our approach quantitatively separates kinetic factors from transport losses induced by bubble shielding and pore occlusion. This distinction allows for the precise identification of catalyst degradation and membrane performance mechanisms that are typically obscured during unsteady states. By leveraging these descriptors, we construct a dynamic regime map to guide the system from transport‐limited zones toward an optimal operational window. Consequently, we achieve a reduction in specific energy consumption of 8 to 15 percent and a 12 percent decrease in carbon intensity without requiring hardware modifications. These insights facilitate the deployment of physics‐based control protocols that turn renewable intermittency from a stability risk into an optimization parameter for industrial hydrogen production.</w:t>
      </w:r>
    </w:p>
    <w:p>
      <w:pPr>
        <w:spacing w:before="120" w:after="120"/>
      </w:pPr>
      <w:r>
        <w:rPr>
          <w:sz w:val="18"/>
        </w:rPr>
        <w:t>——————————————————————————————————————————————————————————————————————</w:t>
      </w:r>
    </w:p>
    <w:p>
      <w:pPr>
        <w:spacing w:before="160" w:after="40" w:line="240" w:lineRule="auto"/>
      </w:pPr>
      <w:r>
        <w:rPr>
          <w:b/>
        </w:rPr>
        <w:t xml:space="preserve">[10] </w:t>
      </w:r>
      <w:hyperlink r:id="rId177">
        <w:r>
          <w:rPr>
            <w:color w:val="1155CC"/>
            <w:u w:val="single"/>
          </w:rPr>
          <w:t>通过钨电子缓冲剂调节和屏蔽铱活性位点用于析氧催化</w:t>
        </w:r>
      </w:hyperlink>
    </w:p>
    <w:p>
      <w:pPr>
        <w:spacing w:before="0" w:after="80"/>
      </w:pPr>
      <w:r>
        <w:rPr>
          <w:i/>
          <w:sz w:val="20"/>
        </w:rPr>
        <w:t>EN: Tuning and Shielding Iridium Active Sites Through Tungsten Electron Buffer for Oxygen Evolution Catalysis</w:t>
      </w:r>
    </w:p>
    <w:p>
      <w:pPr>
        <w:spacing w:before="0" w:after="120"/>
      </w:pPr>
      <w:r>
        <w:rPr>
          <w:b/>
        </w:rPr>
        <w:t xml:space="preserve">Source: </w:t>
      </w:r>
      <w:r>
        <w:t>Wiley: Angewandte Chemie International Edition: Table of Contents</w:t>
      </w:r>
      <w:r>
        <w:t xml:space="preserve">    </w:t>
      </w:r>
      <w:r>
        <w:rPr>
          <w:b/>
        </w:rPr>
        <w:t xml:space="preserve">Pub date: </w:t>
      </w:r>
      <w:r>
        <w:t>2026-05-30 11:45:18+00:00</w:t>
      </w:r>
      <w:r>
        <w:t xml:space="preserve">    </w:t>
      </w:r>
      <w:r>
        <w:rPr>
          <w:b/>
        </w:rPr>
        <w:t xml:space="preserve">DOI: </w:t>
      </w:r>
      <w:hyperlink r:id="rId178">
        <w:r>
          <w:rPr>
            <w:color w:val="1155CC"/>
            <w:u w:val="single"/>
          </w:rPr>
          <w:t>10.1002/anie.5294135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酸性条件下高效、耐用的析氧反应（OER）电催化剂对于质子交换膜水电解（PEMWE）至关重要，但铱基催化剂因容易过度氧化和腐蚀而导致活性与稳定性的权衡。在此，IrO</w:t>
      </w:r>
      <w:r>
        <w:t xml:space="preserve"> </w:t>
      </w:r>
      <w:r>
        <w:t>x</w:t>
      </w:r>
      <w:r>
        <w:t xml:space="preserve"> </w:t>
      </w:r>
      <w:r>
        <w:t>用W单原子（W SA）装饰并支撑在N掺杂石墨烯（定义为W-IrO</w:t>
      </w:r>
      <w:r>
        <w:t xml:space="preserve"> </w:t>
      </w:r>
      <w:r>
        <w:t>x</w:t>
      </w:r>
      <w:r>
        <w:t xml:space="preserve"> </w:t>
      </w:r>
      <w:r>
        <w:t>/NG) 通过溶剂热反应和 NH 合成</w:t>
      </w:r>
      <w:r>
        <w:rPr>
          <w:vertAlign w:val="subscript"/>
        </w:rPr>
        <w:t>3</w:t>
      </w:r>
      <w:r>
        <w:t>‐辅助热解过程。在W-IrO中</w:t>
      </w:r>
      <w:r>
        <w:t xml:space="preserve"> </w:t>
      </w:r>
      <w:r>
        <w:t>x</w:t>
      </w:r>
      <w:r>
        <w:t xml:space="preserve"> </w:t>
      </w:r>
      <w:r>
        <w:t>/NG，W SA 与 W–N</w:t>
      </w:r>
      <w:r>
        <w:rPr>
          <w:vertAlign w:val="subscript"/>
        </w:rPr>
        <w:t>3</w:t>
      </w:r>
      <w:r>
        <w:t>氧</w:t>
      </w:r>
      <w:r>
        <w:rPr>
          <w:vertAlign w:val="subscript"/>
        </w:rPr>
        <w:t>1</w:t>
      </w:r>
      <w:r>
        <w:t>配置附在 IrO 上</w:t>
      </w:r>
      <w:r>
        <w:t xml:space="preserve"> </w:t>
      </w:r>
      <w:r>
        <w:t>x</w:t>
      </w:r>
      <w:r>
        <w:t xml:space="preserve"> </w:t>
      </w:r>
      <w:r>
        <w:t>纳米团簇通过W─O─Ir连接体形成界面共价连接，实现高效的电荷转移。钨-氧化铁</w:t>
      </w:r>
      <w:r>
        <w:t xml:space="preserve"> </w:t>
      </w:r>
      <w:r>
        <w:t>x</w:t>
      </w:r>
      <w:r>
        <w:t xml:space="preserve"> </w:t>
      </w:r>
      <w:r>
        <w:t>/NG 提供 2998.91 A g 的超高质量活性</w:t>
      </w:r>
      <w:r>
        <w:t xml:space="preserve"> </w:t>
      </w:r>
      <w:r>
        <w:t>红外线</w:t>
      </w:r>
      <w:r>
        <w:t xml:space="preserve"> </w:t>
      </w:r>
      <w:r>
        <w:t>−1</w:t>
      </w:r>
      <w:r>
        <w:t xml:space="preserve"> </w:t>
      </w:r>
      <w:r>
        <w:t>在 300 mV 过电位下，在 1 A cm 电流下保持稳定运行超过 250 小时</w:t>
      </w:r>
      <w:r>
        <w:t xml:space="preserve"> </w:t>
      </w:r>
      <w:r>
        <w:t>−2</w:t>
      </w:r>
      <w:r>
        <w:t xml:space="preserve"> </w:t>
      </w:r>
      <w:r>
        <w:t>在具有超低 Ir 负载量（0.25 mg</w:t>
      </w:r>
      <w:r>
        <w:t xml:space="preserve"> </w:t>
      </w:r>
      <w:r>
        <w:t>红外线</w:t>
      </w:r>
      <w:r>
        <w:t xml:space="preserve"> </w:t>
      </w:r>
      <w:r>
        <w:t>厘米</w:t>
      </w:r>
      <w:r>
        <w:t xml:space="preserve"> </w:t>
      </w:r>
      <w:r>
        <w:t>−2</w:t>
      </w:r>
      <w:r>
        <w:t xml:space="preserve"> </w:t>
      </w:r>
      <w:r>
        <w:t>）。机理洞察分析发现，W 原子充当电子缓冲器，在 OER 过程中提供和存储电子来调节 Ir 的氧化态，从而</w:t>
      </w:r>
    </w:p>
    <w:p>
      <w:pPr>
        <w:spacing w:before="0" w:after="200" w:lineRule="auto" w:line="276"/>
      </w:pPr>
      <w:r>
        <w:rPr>
          <w:b/>
        </w:rPr>
        <w:t xml:space="preserve">Abstract (EN): </w:t>
      </w:r>
      <w:r>
        <w:t>Efficient and durable oxygen evolution reaction (OER) electrocatalysts under acidic conditions are pivotal for proton‐exchange‐membrane water electrolysis (PEMWE), yet Ir‐based catalysts suffer from activity‐stability trade‐offs caused by facile over‐oxidation and corrosion. Herein, IrO</w:t>
      </w:r>
      <w:r>
        <w:t xml:space="preserve"> </w:t>
      </w:r>
      <w:r>
        <w:t>x</w:t>
      </w:r>
      <w:r>
        <w:t xml:space="preserve"> </w:t>
      </w:r>
      <w:r>
        <w:t>nanoclusters decorated with W single atoms (W SAs) and supported on N‐doped graphene (defined as W‐IrO</w:t>
      </w:r>
      <w:r>
        <w:t xml:space="preserve"> </w:t>
      </w:r>
      <w:r>
        <w:t>x</w:t>
      </w:r>
      <w:r>
        <w:t xml:space="preserve"> </w:t>
      </w:r>
      <w:r>
        <w:t>/NG) are synthesized via solvothermal reaction and NH</w:t>
      </w:r>
      <w:r>
        <w:rPr>
          <w:vertAlign w:val="subscript"/>
        </w:rPr>
        <w:t>3</w:t>
      </w:r>
      <w:r>
        <w:t>‐assisted pyrolysis process. In W‐IrO</w:t>
      </w:r>
      <w:r>
        <w:t xml:space="preserve"> </w:t>
      </w:r>
      <w:r>
        <w:t>x</w:t>
      </w:r>
      <w:r>
        <w:t xml:space="preserve"> </w:t>
      </w:r>
      <w:r>
        <w:t>/NG, W SAs with W–N</w:t>
      </w:r>
      <w:r>
        <w:rPr>
          <w:vertAlign w:val="subscript"/>
        </w:rPr>
        <w:t>3</w:t>
      </w:r>
      <w:r>
        <w:t>O</w:t>
      </w:r>
      <w:r>
        <w:rPr>
          <w:vertAlign w:val="subscript"/>
        </w:rPr>
        <w:t>1</w:t>
      </w:r>
      <w:r>
        <w:t>configuration are attached onto IrO</w:t>
      </w:r>
      <w:r>
        <w:t xml:space="preserve"> </w:t>
      </w:r>
      <w:r>
        <w:t>x</w:t>
      </w:r>
      <w:r>
        <w:t xml:space="preserve"> </w:t>
      </w:r>
      <w:r>
        <w:t>nanoclusters through W─O─Ir linkers, forming interfacial covalent connections for efficient charge transfer. W‐IrO</w:t>
      </w:r>
      <w:r>
        <w:t xml:space="preserve"> </w:t>
      </w:r>
      <w:r>
        <w:t>x</w:t>
      </w:r>
      <w:r>
        <w:t xml:space="preserve"> </w:t>
      </w:r>
      <w:r>
        <w:t>/NG delivers an ultrahigh mass activity of 2998.91 A g</w:t>
      </w:r>
      <w:r>
        <w:t xml:space="preserve"> </w:t>
      </w:r>
      <w:r>
        <w:t>Ir</w:t>
      </w:r>
      <w:r>
        <w:t xml:space="preserve"> </w:t>
      </w:r>
      <w:r>
        <w:t>−1</w:t>
      </w:r>
      <w:r>
        <w:t xml:space="preserve"> </w:t>
      </w:r>
      <w:r>
        <w:t>at 300 mV overpotential and maintains stable operation for over 250 h at 1 A cm</w:t>
      </w:r>
      <w:r>
        <w:t xml:space="preserve"> </w:t>
      </w:r>
      <w:r>
        <w:t>−2</w:t>
      </w:r>
      <w:r>
        <w:t xml:space="preserve"> </w:t>
      </w:r>
      <w:r>
        <w:t>in a PEM electrolyzer with an ultralow Ir loading (0.25 mg</w:t>
      </w:r>
      <w:r>
        <w:t xml:space="preserve"> </w:t>
      </w:r>
      <w:r>
        <w:t>Ir</w:t>
      </w:r>
      <w:r>
        <w:t xml:space="preserve"> </w:t>
      </w:r>
      <w:r>
        <w:t>cm</w:t>
      </w:r>
      <w:r>
        <w:t xml:space="preserve"> </w:t>
      </w:r>
      <w:r>
        <w:t>−2</w:t>
      </w:r>
      <w:r>
        <w:t xml:space="preserve"> </w:t>
      </w:r>
      <w:r>
        <w:t>). Mechanistic insight analysis uncovers that W atoms serve as electron buffer, donating and storing electrons to regulate the oxidation state of Ir during OER, thereby suppressing irreversible over‐oxidation. Theoretical calculation demonstrates that W SAs with W─N</w:t>
      </w:r>
      <w:r>
        <w:rPr>
          <w:vertAlign w:val="subscript"/>
        </w:rPr>
        <w:t>3</w:t>
      </w:r>
      <w:r>
        <w:t>O</w:t>
      </w:r>
      <w:r>
        <w:rPr>
          <w:vertAlign w:val="subscript"/>
        </w:rPr>
        <w:t>1</w:t>
      </w:r>
      <w:r>
        <w:t>sites modulate the</w:t>
      </w:r>
      <w:r>
        <w:t xml:space="preserve"> </w:t>
      </w:r>
      <w:r>
        <w:t>d</w:t>
      </w:r>
      <w:r>
        <w:t xml:space="preserve"> </w:t>
      </w:r>
      <w:r>
        <w:t>‐band structure of Ir center, lowering the deprotonation barrier of *OH/*OOH intermediates and simultaneously weakening oxo‐species adsorption strength, thus accelerating OER kinetics.</w:t>
      </w:r>
    </w:p>
    <w:p>
      <w:pPr>
        <w:spacing w:before="120" w:after="120"/>
      </w:pPr>
      <w:r>
        <w:rPr>
          <w:sz w:val="18"/>
        </w:rPr>
        <w:t>——————————————————————————————————————————————————————————————————————</w:t>
      </w:r>
    </w:p>
    <w:p>
      <w:pPr>
        <w:spacing w:before="160" w:after="40" w:line="240" w:lineRule="auto"/>
      </w:pPr>
      <w:r>
        <w:rPr>
          <w:b/>
        </w:rPr>
        <w:t xml:space="preserve">[11] </w:t>
      </w:r>
      <w:hyperlink r:id="rId179">
        <w:r>
          <w:rPr>
            <w:color w:val="1155CC"/>
            <w:u w:val="single"/>
          </w:rPr>
          <w:t>用于低铂重负荷燃料电池的中型金属间化合物铂钴催化剂</w:t>
        </w:r>
      </w:hyperlink>
    </w:p>
    <w:p>
      <w:pPr>
        <w:spacing w:before="0" w:after="80"/>
      </w:pPr>
      <w:r>
        <w:rPr>
          <w:i/>
          <w:sz w:val="20"/>
        </w:rPr>
        <w:t>EN: Medium‐Sized Intermetallic PtCo Catalysts for Low‐Pt Heavy‐Duty Fuel Cells</w:t>
      </w:r>
    </w:p>
    <w:p>
      <w:pPr>
        <w:spacing w:before="0" w:after="120"/>
      </w:pPr>
      <w:r>
        <w:rPr>
          <w:b/>
        </w:rPr>
        <w:t xml:space="preserve">Source: </w:t>
      </w:r>
      <w:r>
        <w:t>Wiley: Angewandte Chemie International Edition: Table of Contents</w:t>
      </w:r>
      <w:r>
        <w:t xml:space="preserve">    </w:t>
      </w:r>
      <w:r>
        <w:rPr>
          <w:b/>
        </w:rPr>
        <w:t xml:space="preserve">Pub date: </w:t>
      </w:r>
      <w:r>
        <w:t>2026-05-30 11:52:13+00:00</w:t>
      </w:r>
      <w:r>
        <w:t xml:space="preserve">    </w:t>
      </w:r>
      <w:r>
        <w:rPr>
          <w:b/>
        </w:rPr>
        <w:t xml:space="preserve">DOI: </w:t>
      </w:r>
      <w:hyperlink r:id="rId180">
        <w:r>
          <w:rPr>
            <w:color w:val="1155CC"/>
            <w:u w:val="single"/>
          </w:rPr>
          <w:t>10.1002/anie.9440254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重型车辆正在成为质子交换膜燃料电池商业部署的主要焦点，但其严格的运行条件对燃料电池的寿命和效率提出了更高的要求。满足这些要求通常需要增加铂负载量，因为当前的阴极催化剂仍然面临着在减少铂用量的情况下平衡性能和耐用性的挑战。在这里，我们提出了一种催化剂设计和合成策略，通过双金属配合物的高温热解来克服这一限制，产生高度有序的 L1</w:t>
      </w:r>
      <w:r>
        <w:rPr>
          <w:vertAlign w:val="subscript"/>
        </w:rPr>
        <w:t>0</w:t>
      </w:r>
      <w:r>
        <w:t>PtCo 金属间纳米催化剂（~80% 有序度）由均匀分散的纳米颗粒组成，平均尺寸为~6 nm。这些结构特征实现了吉布斯-汤姆逊能、Pt─Co键焓和压缩应变的协同优化，赋予催化剂优异的结构和组成稳定性，同时表现出高活性。 0.1 mg 的低阴极负载</w:t>
      </w:r>
      <w:r>
        <w:t xml:space="preserve"> </w:t>
      </w:r>
      <w:r>
        <w:t>铂</w:t>
      </w:r>
      <w:r>
        <w:t xml:space="preserve"> </w:t>
      </w:r>
      <w:r>
        <w:t>厘米</w:t>
      </w:r>
      <w:r>
        <w:t xml:space="preserve"> </w:t>
      </w:r>
      <w:r>
        <w:t>−2</w:t>
      </w:r>
      <w:r>
        <w:t xml:space="preserve"> </w:t>
      </w:r>
      <w:r>
        <w:t>，所得催化剂的电流密度为 1.21 A cm</w:t>
      </w:r>
      <w:r>
        <w:t xml:space="preserve"> </w:t>
      </w:r>
      <w:r>
        <w:t>−2</w:t>
      </w:r>
      <w:r>
        <w:t xml:space="preserve"> </w:t>
      </w:r>
      <w:r>
        <w:t>90 000 次加速应力测试循环后，电压为 0.7 V，相当于 6.8 kW g 的 Pt 利用率</w:t>
      </w:r>
      <w:r>
        <w:t xml:space="preserve"> </w:t>
      </w:r>
      <w:r>
        <w:t>铂</w:t>
      </w:r>
      <w:r>
        <w:t xml:space="preserve"> </w:t>
      </w:r>
      <w:r>
        <w:t>−1</w:t>
      </w:r>
      <w:r>
        <w:t xml:space="preserve"> </w:t>
      </w:r>
      <w:r>
        <w:t>，比美国能源部目标（2.5 kW g</w:t>
      </w:r>
      <w:r>
        <w:t xml:space="preserve"> </w:t>
      </w:r>
      <w:r>
        <w:t>铂</w:t>
      </w:r>
      <w:r>
        <w:t xml:space="preserve"> </w:t>
      </w:r>
      <w:r>
        <w:t>−1</w:t>
      </w:r>
      <w:r>
        <w:t xml:space="preserve"> </w:t>
      </w:r>
      <w:r>
        <w:t>）</w:t>
      </w:r>
    </w:p>
    <w:p>
      <w:pPr>
        <w:spacing w:before="0" w:after="200" w:lineRule="auto" w:line="276"/>
      </w:pPr>
      <w:r>
        <w:rPr>
          <w:b/>
        </w:rPr>
        <w:t xml:space="preserve">Abstract (EN): </w:t>
      </w:r>
      <w:r>
        <w:t>Heavy‐duty vehicles are becoming the primary focus of commercial deployment for proton exchange membrane fuel cells, yet their stringent operating conditions place far greater demands on fuel cell lifetime and efficiency. Meeting these requirements often necessitates elevated Pt loadings, as current cathode catalysts continue to face the challenge of balancing performance and durability under reduced Pt usage. Here, we present a catalyst design and synthesis strategy that overcomes this limitation by high‐temperature pyrolysis of a bimetallic complex to yield a highly ordered L1</w:t>
      </w:r>
      <w:r>
        <w:rPr>
          <w:vertAlign w:val="subscript"/>
        </w:rPr>
        <w:t>0</w:t>
      </w:r>
      <w:r>
        <w:t>PtCo intermetallic nanocatalyst (∼80% ordering degree) composed of uniformly dispersed nanoparticles with an average size of ∼6 nm. These structural features enable the synergistic optimization of Gibbs–Thomson energy, Pt─Co bond enthalpy, and compressive strain, imparting the catalyst with outstanding structural and compositional stability while showing high activity. At a low cathode loading of 0.1 mg</w:t>
      </w:r>
      <w:r>
        <w:t xml:space="preserve"> </w:t>
      </w:r>
      <w:r>
        <w:t>Pt</w:t>
      </w:r>
      <w:r>
        <w:t xml:space="preserve"> </w:t>
      </w:r>
      <w:r>
        <w:t>cm</w:t>
      </w:r>
      <w:r>
        <w:t xml:space="preserve"> </w:t>
      </w:r>
      <w:r>
        <w:t>−2</w:t>
      </w:r>
      <w:r>
        <w:t xml:space="preserve"> </w:t>
      </w:r>
      <w:r>
        <w:t>, the resulting catalyst delivers a current density of 1.21 A cm</w:t>
      </w:r>
      <w:r>
        <w:t xml:space="preserve"> </w:t>
      </w:r>
      <w:r>
        <w:t>−2</w:t>
      </w:r>
      <w:r>
        <w:t xml:space="preserve"> </w:t>
      </w:r>
      <w:r>
        <w:t>at 0.7 V after 90 000 cycles of accelerated stress testing, corresponding to a Pt utilization of 6.8 kW g</w:t>
      </w:r>
      <w:r>
        <w:t xml:space="preserve"> </w:t>
      </w:r>
      <w:r>
        <w:t>Pt</w:t>
      </w:r>
      <w:r>
        <w:t xml:space="preserve"> </w:t>
      </w:r>
      <w:r>
        <w:t>−1</w:t>
      </w:r>
      <w:r>
        <w:t xml:space="preserve"> </w:t>
      </w:r>
      <w:r>
        <w:t>, more than two times higher than the U.S. Department of Energy target (2.5 kW g</w:t>
      </w:r>
      <w:r>
        <w:t xml:space="preserve"> </w:t>
      </w:r>
      <w:r>
        <w:t>Pt</w:t>
      </w:r>
      <w:r>
        <w:t xml:space="preserve"> </w:t>
      </w:r>
      <w:r>
        <w:t>−1</w:t>
      </w:r>
      <w:r>
        <w:t xml:space="preserve"> </w:t>
      </w:r>
      <w:r>
        <w:t>).</w:t>
      </w:r>
    </w:p>
    <w:p>
      <w:pPr>
        <w:spacing w:before="120" w:after="120"/>
      </w:pPr>
      <w:r>
        <w:rPr>
          <w:sz w:val="18"/>
        </w:rPr>
        <w:t>——————————————————————————————————————————————————————————————————————</w:t>
      </w:r>
    </w:p>
    <w:p>
      <w:pPr>
        <w:spacing w:before="160" w:after="40" w:line="240" w:lineRule="auto"/>
      </w:pPr>
      <w:r>
        <w:rPr>
          <w:b/>
        </w:rPr>
        <w:t xml:space="preserve">[12] </w:t>
      </w:r>
      <w:hyperlink r:id="rId181">
        <w:r>
          <w:rPr>
            <w:color w:val="1155CC"/>
            <w:u w:val="single"/>
          </w:rPr>
          <w:t>蓝氢和美国税收抵免政策：联邦政策变化下 45Q 和 45V 激励措施的经济评估</w:t>
        </w:r>
      </w:hyperlink>
    </w:p>
    <w:p>
      <w:pPr>
        <w:spacing w:before="0" w:after="80"/>
      </w:pPr>
      <w:r>
        <w:rPr>
          <w:i/>
          <w:sz w:val="20"/>
        </w:rPr>
        <w:t>EN: Blue hydrogen and U.S. tax credit policy: An economic assessment of 45Q and 45V incentives under a changing federal policy</w:t>
      </w:r>
    </w:p>
    <w:p>
      <w:pPr>
        <w:spacing w:before="0" w:after="120"/>
      </w:pPr>
      <w:r>
        <w:rPr>
          <w:b/>
        </w:rPr>
        <w:t xml:space="preserve">Source: </w:t>
      </w:r>
      <w:r>
        <w:t>ScienceDirect Publication: Energy Policy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182">
        <w:r>
          <w:rPr>
            <w:color w:val="1155CC"/>
            <w:u w:val="single"/>
          </w:rPr>
          <w:t>根据成本效益优先考虑电解氢的使用：十一条途径的比较分析</w:t>
        </w:r>
      </w:hyperlink>
    </w:p>
    <w:p>
      <w:pPr>
        <w:spacing w:before="0" w:after="80"/>
      </w:pPr>
      <w:r>
        <w:rPr>
          <w:i/>
          <w:sz w:val="20"/>
        </w:rPr>
        <w:t>EN: Prioritizing electrolytic hydrogen use based on cost-effectiveness: A comparative analysis of eleven pathways</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46">
        <w:r>
          <w:rPr>
            <w:color w:val="1155CC"/>
            <w:u w:val="single"/>
          </w:rPr>
          <w:t>模块化可逆固体氧化物电池-热电池集成系统的实验与数值研究</w:t>
        </w:r>
      </w:hyperlink>
    </w:p>
    <w:p>
      <w:pPr>
        <w:spacing w:before="0" w:after="80"/>
      </w:pPr>
      <w:r>
        <w:rPr>
          <w:i/>
          <w:sz w:val="20"/>
        </w:rPr>
        <w:t>EN: Experimental and numerical study of a modular reversible solid oxide cell – thermal battery integrated system</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83">
        <w:r>
          <w:rPr>
            <w:color w:val="1155CC"/>
            <w:u w:val="single"/>
          </w:rPr>
          <w:t>CO2 诱导 Pt/CeO2 上的反向晶格氧溢出可实现甲烷的抗硫干重整</w:t>
        </w:r>
      </w:hyperlink>
    </w:p>
    <w:p>
      <w:pPr>
        <w:spacing w:before="0" w:after="80"/>
      </w:pPr>
      <w:r>
        <w:rPr>
          <w:i/>
          <w:sz w:val="20"/>
        </w:rPr>
        <w:t>EN: CO2‐Induced Reverse Lattice Oxygen Spillover on Pt/CeO2 Enables Sulfur‐Resistant Dry Reforming of Methane</w:t>
      </w:r>
    </w:p>
    <w:p>
      <w:pPr>
        <w:spacing w:before="0" w:after="120"/>
      </w:pPr>
      <w:r>
        <w:rPr>
          <w:b/>
        </w:rPr>
        <w:t xml:space="preserve">Source: </w:t>
      </w:r>
      <w:r>
        <w:t>Wiley: Angewandte Chemie International Edition: Table of Contents</w:t>
      </w:r>
      <w:r>
        <w:t xml:space="preserve">    </w:t>
      </w:r>
      <w:r>
        <w:rPr>
          <w:b/>
        </w:rPr>
        <w:t xml:space="preserve">Pub date: </w:t>
      </w:r>
      <w:r>
        <w:t>2026-05-31 16:13:34+00:00</w:t>
      </w:r>
      <w:r>
        <w:t xml:space="preserve">    </w:t>
      </w:r>
      <w:r>
        <w:rPr>
          <w:b/>
        </w:rPr>
        <w:t xml:space="preserve">DOI: </w:t>
      </w:r>
      <w:hyperlink r:id="rId184">
        <w:r>
          <w:rPr>
            <w:color w:val="1155CC"/>
            <w:u w:val="single"/>
          </w:rPr>
          <w:t>10.1002/anie.1664469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甲烷干重整 (DRM) 是沼气升级的关键过程，克服硫中毒尤其具有挑战性。在这项研究中，我们说明了 CeO 的反向晶格氧溢出 (RLOS)</w:t>
      </w:r>
      <w:r>
        <w:rPr>
          <w:vertAlign w:val="subscript"/>
        </w:rPr>
        <w:t>2</w:t>
      </w:r>
      <w:r>
        <w:t>CO 诱导 Pt-O-Ce 界面上的 Pt</w:t>
      </w:r>
      <w:r>
        <w:rPr>
          <w:vertAlign w:val="subscript"/>
        </w:rPr>
        <w:t>2</w:t>
      </w:r>
      <w:r>
        <w:t>，可以将S氧化成SO</w:t>
      </w:r>
      <w:r>
        <w:rPr>
          <w:vertAlign w:val="subscript"/>
        </w:rPr>
        <w:t>2</w:t>
      </w:r>
      <w:r>
        <w:t>，有助于去除硫沉积物。 Pt-O-Ce 界面处的低氧迁移势垒以及 Pt 将硫氧化成 SO 的高活性</w:t>
      </w:r>
      <w:r>
        <w:rPr>
          <w:vertAlign w:val="subscript"/>
        </w:rPr>
        <w:t>2</w:t>
      </w:r>
      <w:r>
        <w:t>制备 Pt/CeO</w:t>
      </w:r>
      <w:r>
        <w:rPr>
          <w:vertAlign w:val="subscript"/>
        </w:rPr>
        <w:t>2</w:t>
      </w:r>
      <w:r>
        <w:t>H 后自我恢复的独特效果</w:t>
      </w:r>
      <w:r>
        <w:rPr>
          <w:vertAlign w:val="subscript"/>
        </w:rPr>
        <w:t>2</w:t>
      </w:r>
      <w:r>
        <w:t>S中毒。此外，原子分散的 Pt/CeO</w:t>
      </w:r>
      <w:r>
        <w:rPr>
          <w:vertAlign w:val="subscript"/>
        </w:rPr>
        <w:t>2</w:t>
      </w:r>
      <w:r>
        <w:t>催化剂进行反应驱动的自适应重组，从而放大 RLOS 效应并实现动态 S 沉积和去除。因此，即使在 H 存在的情况下，催化剂也能在 100 小时内保持恒定的 DRM 活性。</w:t>
      </w:r>
      <w:r>
        <w:rPr>
          <w:vertAlign w:val="subscript"/>
        </w:rPr>
        <w:t>2</w:t>
      </w:r>
      <w:r>
        <w:t>这一发现为设计抗 H 中硫中毒的催化剂铺平了道路</w:t>
      </w:r>
      <w:r>
        <w:rPr>
          <w:vertAlign w:val="subscript"/>
        </w:rPr>
        <w:t>2</w:t>
      </w:r>
      <w:r>
        <w:t>含S流。</w:t>
      </w:r>
    </w:p>
    <w:p>
      <w:pPr>
        <w:spacing w:before="0" w:after="200" w:lineRule="auto" w:line="276"/>
      </w:pPr>
      <w:r>
        <w:rPr>
          <w:b/>
        </w:rPr>
        <w:t xml:space="preserve">Abstract (EN): </w:t>
      </w:r>
      <w:r>
        <w:t>Overcoming sulfur poisoning in dry reforming of methane (DRM), which is a critical process for biogas upgrading, is particularly challenging. In this study, we illustrate that a reverse lattice oxygen spillover (RLOS) from CeO</w:t>
      </w:r>
      <w:r>
        <w:rPr>
          <w:vertAlign w:val="subscript"/>
        </w:rPr>
        <w:t>2</w:t>
      </w:r>
      <w:r>
        <w:t>to Pt on the Pt‐O‐Ce interface, induced by CO</w:t>
      </w:r>
      <w:r>
        <w:rPr>
          <w:vertAlign w:val="subscript"/>
        </w:rPr>
        <w:t>2</w:t>
      </w:r>
      <w:r>
        <w:t>, can oxidize S into SO</w:t>
      </w:r>
      <w:r>
        <w:rPr>
          <w:vertAlign w:val="subscript"/>
        </w:rPr>
        <w:t>2</w:t>
      </w:r>
      <w:r>
        <w:t>, aiding in the removal of S deposits. A low oxygen migration barrier at the Pt–O–Ce interface and Pt's high activity for oxidizing sulfur to SO</w:t>
      </w:r>
      <w:r>
        <w:rPr>
          <w:vertAlign w:val="subscript"/>
        </w:rPr>
        <w:t>2</w:t>
      </w:r>
      <w:r>
        <w:t>make Pt/CeO</w:t>
      </w:r>
      <w:r>
        <w:rPr>
          <w:vertAlign w:val="subscript"/>
        </w:rPr>
        <w:t>2</w:t>
      </w:r>
      <w:r>
        <w:t>uniquely effective at self‐recovering after H</w:t>
      </w:r>
      <w:r>
        <w:rPr>
          <w:vertAlign w:val="subscript"/>
        </w:rPr>
        <w:t>2</w:t>
      </w:r>
      <w:r>
        <w:t>S poisoning. Furthermore, the atomically dispersed Pt/CeO</w:t>
      </w:r>
      <w:r>
        <w:rPr>
          <w:vertAlign w:val="subscript"/>
        </w:rPr>
        <w:t>2</w:t>
      </w:r>
      <w:r>
        <w:t>catalyst undergoes reaction driven adaptive restructuring, which amplifies the RLOS effect and enables dynamic S deposition and removal. As a result, the catalysts maintain constant DRM activity for 100 h, even in the presence of H</w:t>
      </w:r>
      <w:r>
        <w:rPr>
          <w:vertAlign w:val="subscript"/>
        </w:rPr>
        <w:t>2</w:t>
      </w:r>
      <w:r>
        <w:t>S. This discovery paves the way for designing catalysts that resist sulfur poisoning in H</w:t>
      </w:r>
      <w:r>
        <w:rPr>
          <w:vertAlign w:val="subscript"/>
        </w:rPr>
        <w:t>2</w:t>
      </w:r>
      <w:r>
        <w:t>S‐containing streams.</w:t>
      </w:r>
    </w:p>
    <w:p>
      <w:pPr>
        <w:spacing w:before="120" w:after="120"/>
      </w:pPr>
      <w:r>
        <w:rPr>
          <w:sz w:val="18"/>
        </w:rPr>
        <w:t>——————————————————————————————————————————————————————————————————————</w:t>
      </w:r>
    </w:p>
    <w:p>
      <w:pPr>
        <w:spacing w:before="160" w:after="40" w:line="240" w:lineRule="auto"/>
      </w:pPr>
      <w:r>
        <w:rPr>
          <w:b/>
        </w:rPr>
        <w:t xml:space="preserve">[16] </w:t>
      </w:r>
      <w:hyperlink r:id="rId185">
        <w:r>
          <w:rPr>
            <w:color w:val="1155CC"/>
            <w:u w:val="single"/>
          </w:rPr>
          <w:t>通过惰性碳化聚合物点屏蔽 Co3O4 可实现耐氯性，实现持久的安培级析氧</w:t>
        </w:r>
      </w:hyperlink>
    </w:p>
    <w:p>
      <w:pPr>
        <w:spacing w:before="0" w:after="80"/>
      </w:pPr>
      <w:r>
        <w:rPr>
          <w:i/>
          <w:sz w:val="20"/>
        </w:rPr>
        <w:t>EN: Shielding Co3O4 by Inert Carbonized Polymer Dots Enables Chlorine Resistance Toward Durable Ampere‐Level Oxygen Evolution</w:t>
      </w:r>
    </w:p>
    <w:p>
      <w:pPr>
        <w:spacing w:before="0" w:after="120"/>
      </w:pPr>
      <w:r>
        <w:rPr>
          <w:b/>
        </w:rPr>
        <w:t xml:space="preserve">Source: </w:t>
      </w:r>
      <w:r>
        <w:t>Wiley: Angewandte Chemie International Edition: Table of Contents</w:t>
      </w:r>
      <w:r>
        <w:t xml:space="preserve">    </w:t>
      </w:r>
      <w:r>
        <w:rPr>
          <w:b/>
        </w:rPr>
        <w:t xml:space="preserve">Pub date: </w:t>
      </w:r>
      <w:r>
        <w:t>2026-05-31 16:14:04+00:00</w:t>
      </w:r>
      <w:r>
        <w:t xml:space="preserve">    </w:t>
      </w:r>
      <w:r>
        <w:rPr>
          <w:b/>
        </w:rPr>
        <w:t xml:space="preserve">DOI: </w:t>
      </w:r>
      <w:hyperlink r:id="rId186">
        <w:r>
          <w:rPr>
            <w:color w:val="1155CC"/>
            <w:u w:val="single"/>
          </w:rPr>
          <w:t>10.1002/anie.2263598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海水电解对于大规模绿色氢气生产至关重要，但高浓度的氯离子（Cl</w:t>
      </w:r>
      <w:r>
        <w:t xml:space="preserve"> </w:t>
      </w:r>
      <w:r>
        <w:t>-</w:t>
      </w:r>
      <w:r>
        <w:t>）导致竞争吸附，导致严重的催化剂降解和电极腐蚀。为了应对这一挑战，我们开发了一个 Co</w:t>
      </w:r>
      <w:r>
        <w:rPr>
          <w:vertAlign w:val="subscript"/>
        </w:rPr>
        <w:t>3</w:t>
      </w:r>
      <w:r>
        <w:t>氧</w:t>
      </w:r>
      <w:r>
        <w:rPr>
          <w:vertAlign w:val="subscript"/>
        </w:rPr>
        <w:t>4</w:t>
      </w:r>
      <w:r>
        <w:t>@碳化聚合物点 (CPD) 电催化剂，在 500 mA cm 下可实现 270 mV 的低过电势</w:t>
      </w:r>
      <w:r>
        <w:t xml:space="preserve"> </w:t>
      </w:r>
      <w:r>
        <w:t>−2</w:t>
      </w:r>
      <w:r>
        <w:t xml:space="preserve"> </w:t>
      </w:r>
      <w:r>
        <w:t>，以及 600 mA cm 下 4200 小时的出色耐用性</w:t>
      </w:r>
      <w:r>
        <w:t xml:space="preserve"> </w:t>
      </w:r>
      <w:r>
        <w:t>−2</w:t>
      </w:r>
      <w:r>
        <w:t xml:space="preserve"> </w:t>
      </w:r>
      <w:r>
        <w:t>800 mA cm 下 3200 小时</w:t>
      </w:r>
      <w:r>
        <w:t xml:space="preserve"> </w:t>
      </w:r>
      <w:r>
        <w:t>−2</w:t>
      </w:r>
      <w:r>
        <w:t xml:space="preserve"> </w:t>
      </w:r>
      <w:r>
        <w:t>。基于Co的阴离子交换膜模拟海水电解槽（AEMSE）</w:t>
      </w:r>
      <w:r>
        <w:rPr>
          <w:vertAlign w:val="subscript"/>
        </w:rPr>
        <w:t>3</w:t>
      </w:r>
      <w:r>
        <w:t>氧</w:t>
      </w:r>
      <w:r>
        <w:rPr>
          <w:vertAlign w:val="subscript"/>
        </w:rPr>
        <w:t>4</w:t>
      </w:r>
      <w:r>
        <w:t>@CPDs 在 1.0 A cm 下实现稳定的海水电解超过 1500 小时</w:t>
      </w:r>
      <w:r>
        <w:t xml:space="preserve"> </w:t>
      </w:r>
      <w:r>
        <w:t>−2</w:t>
      </w:r>
      <w:r>
        <w:t xml:space="preserve"> </w:t>
      </w:r>
      <w:r>
        <w:t>电池电压非常低，为 1.73 V。综合实验和理论研究表明，CPD 可以稳定晶格氧并降低反应能垒，从而将晶格氧介导机制 (LOM) 途径切换为更理想的吸附质演化机制 (AEM)。此外，表面锚定的 CPD 会产生 CO</w:t>
      </w:r>
      <w:r>
        <w:rPr>
          <w:vertAlign w:val="subscript"/>
        </w:rPr>
        <w:t>3</w:t>
      </w:r>
      <w:r>
        <w:t>2−</w:t>
      </w:r>
      <w:r>
        <w:t>通过电氧化，形成阻隔Cl的保护系统</w:t>
      </w:r>
      <w:r>
        <w:t xml:space="preserve"> </w:t>
      </w:r>
      <w:r>
        <w:t>-</w:t>
      </w:r>
      <w:r>
        <w:t>吸附和渗透。蒂</w:t>
      </w:r>
    </w:p>
    <w:p>
      <w:pPr>
        <w:spacing w:before="0" w:after="200" w:lineRule="auto" w:line="276"/>
      </w:pPr>
      <w:r>
        <w:rPr>
          <w:b/>
        </w:rPr>
        <w:t xml:space="preserve">Abstract (EN): </w:t>
      </w:r>
      <w:r>
        <w:t>Seawater electrolysis is crucial for large‐scale green hydrogen production, yet high concentrations of chloride ions (Cl</w:t>
      </w:r>
      <w:r>
        <w:t xml:space="preserve"> </w:t>
      </w:r>
      <w:r>
        <w:t>−</w:t>
      </w:r>
      <w:r>
        <w:t>) result in competitive adsorption, leading to severe catalyst degradation and electrode corrosion. To address this challenge, we develop a Co</w:t>
      </w:r>
      <w:r>
        <w:rPr>
          <w:vertAlign w:val="subscript"/>
        </w:rPr>
        <w:t>3</w:t>
      </w:r>
      <w:r>
        <w:t>O</w:t>
      </w:r>
      <w:r>
        <w:rPr>
          <w:vertAlign w:val="subscript"/>
        </w:rPr>
        <w:t>4</w:t>
      </w:r>
      <w:r>
        <w:t>@carbonized polymer dots (CPDs) electrocatalyst, which achieves a low overpotential of 270 mV at 500 mA cm</w:t>
      </w:r>
      <w:r>
        <w:t xml:space="preserve"> </w:t>
      </w:r>
      <w:r>
        <w:t>−2</w:t>
      </w:r>
      <w:r>
        <w:t xml:space="preserve"> </w:t>
      </w:r>
      <w:r>
        <w:t>, together with outstanding durability of 4200 h at 600 mA cm</w:t>
      </w:r>
      <w:r>
        <w:t xml:space="preserve"> </w:t>
      </w:r>
      <w:r>
        <w:t>−2</w:t>
      </w:r>
      <w:r>
        <w:t xml:space="preserve"> </w:t>
      </w:r>
      <w:r>
        <w:t>and 3200 h at 800 mA cm</w:t>
      </w:r>
      <w:r>
        <w:t xml:space="preserve"> </w:t>
      </w:r>
      <w:r>
        <w:t>−2</w:t>
      </w:r>
      <w:r>
        <w:t xml:space="preserve"> </w:t>
      </w:r>
      <w:r>
        <w:t>. An anion exchange membrane simulated‐seawater electrolyzer (AEMSE) based on Co</w:t>
      </w:r>
      <w:r>
        <w:rPr>
          <w:vertAlign w:val="subscript"/>
        </w:rPr>
        <w:t>3</w:t>
      </w:r>
      <w:r>
        <w:t>O</w:t>
      </w:r>
      <w:r>
        <w:rPr>
          <w:vertAlign w:val="subscript"/>
        </w:rPr>
        <w:t>4</w:t>
      </w:r>
      <w:r>
        <w:t>@CPDs achieves stable seawater electrolysis for over 1500 h at 1.0 A cm</w:t>
      </w:r>
      <w:r>
        <w:t xml:space="preserve"> </w:t>
      </w:r>
      <w:r>
        <w:t>−2</w:t>
      </w:r>
      <w:r>
        <w:t xml:space="preserve"> </w:t>
      </w:r>
      <w:r>
        <w:t>with a very low cell voltage of 1.73 V. The combined experimental and theoretical studies reveal that CPDs stabilize the lattice oxygen and decrease the reaction energy barrier, thereby switching the lattice oxygen‐mediated mechanism (LOM) pathway to more desired adsorbate evolution mechanism (AEM). Furthermore, surface‐anchored CPDs generate CO</w:t>
      </w:r>
      <w:r>
        <w:rPr>
          <w:vertAlign w:val="subscript"/>
        </w:rPr>
        <w:t>3</w:t>
      </w:r>
      <w:r>
        <w:t>2−</w:t>
      </w:r>
      <w:r>
        <w:t>through electro‐oxidation, forming a protection system that blocks Cl</w:t>
      </w:r>
      <w:r>
        <w:t xml:space="preserve"> </w:t>
      </w:r>
      <w:r>
        <w:t>−</w:t>
      </w:r>
      <w:r>
        <w:t>adsorption and penetration. This strategy successfully overcomes the corrosion bottleneck in seawater electrolysis and opens new avenues for sustainable hydrogen energy development.</w:t>
      </w:r>
    </w:p>
    <w:p>
      <w:pPr>
        <w:spacing w:before="120" w:after="120"/>
      </w:pPr>
      <w:r>
        <w:rPr>
          <w:sz w:val="18"/>
        </w:rPr>
        <w:t>——————————————————————————————————————————————————————————————————————</w:t>
      </w:r>
    </w:p>
    <w:p>
      <w:pPr>
        <w:spacing w:before="160" w:after="40" w:line="240" w:lineRule="auto"/>
      </w:pPr>
      <w:r>
        <w:rPr>
          <w:b/>
        </w:rPr>
        <w:t xml:space="preserve">[17] </w:t>
      </w:r>
      <w:hyperlink r:id="rId187">
        <w:r>
          <w:rPr>
            <w:color w:val="1155CC"/>
            <w:u w:val="single"/>
          </w:rPr>
          <w:t>双打破共价有机框架的几何和电子对称性增强 H2O2 光合作用</w:t>
        </w:r>
      </w:hyperlink>
    </w:p>
    <w:p>
      <w:pPr>
        <w:spacing w:before="0" w:after="80"/>
      </w:pPr>
      <w:r>
        <w:rPr>
          <w:i/>
          <w:sz w:val="20"/>
        </w:rPr>
        <w:t>EN: Dual Breaking the Geometric and Electronic Symmetry of Covalent Organic Framework for Enhanced H2O2 Photosynthesis</w:t>
      </w:r>
    </w:p>
    <w:p>
      <w:pPr>
        <w:spacing w:before="0" w:after="120"/>
      </w:pPr>
      <w:r>
        <w:rPr>
          <w:b/>
        </w:rPr>
        <w:t xml:space="preserve">Source: </w:t>
      </w:r>
      <w:r>
        <w:t>Wiley: Angewandte Chemie International Edition: Table of Contents</w:t>
      </w:r>
      <w:r>
        <w:t xml:space="preserve">    </w:t>
      </w:r>
      <w:r>
        <w:rPr>
          <w:b/>
        </w:rPr>
        <w:t xml:space="preserve">Pub date: </w:t>
      </w:r>
      <w:r>
        <w:t>2026-05-31 16:19:53+00:00</w:t>
      </w:r>
      <w:r>
        <w:t xml:space="preserve">    </w:t>
      </w:r>
      <w:r>
        <w:rPr>
          <w:b/>
        </w:rPr>
        <w:t xml:space="preserve">DOI: </w:t>
      </w:r>
      <w:hyperlink r:id="rId188">
        <w:r>
          <w:rPr>
            <w:color w:val="1155CC"/>
            <w:u w:val="single"/>
          </w:rPr>
          <w:t>10.1002/anie.4908536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太阳能向化学物质的有效转化从根本上受到光生电荷的快速、随机重组和半导体中强激子结合的限制。我们通过在共价有机框架中引入通用分子设计策略“同时打破几何和电子对称性”来超越增量催化剂优化，该策略本质上对定向电荷流进行编程。我们用不对称噻吩环取代对称苯单元的策略会引起协同点群畸变和不对称电子密度重新分布，从而产生内置极化场，从而降低激子结合能，将载流子寿命延长300%以上，并控制反应选择性。这导致了创纪录的光催化H</w:t>
      </w:r>
      <w:r>
        <w:rPr>
          <w:vertAlign w:val="subscript"/>
        </w:rPr>
        <w:t>2</w:t>
      </w:r>
      <w:r>
        <w:t>氧</w:t>
      </w:r>
      <w:r>
        <w:rPr>
          <w:vertAlign w:val="subscript"/>
        </w:rPr>
        <w:t>2</w:t>
      </w:r>
      <w:r>
        <w:t>仅通过水和空气的生产率。至关重要的是，生命周期评估证实该途径将环境影响降低了一个数量级。这种设计策略的通用性在多个框架系统中得到了进一步验证，并且能够在连续流光反应器中稳定运行，展示了一个用于高效太阳能到化学能转换的强大平台。</w:t>
      </w:r>
    </w:p>
    <w:p>
      <w:pPr>
        <w:spacing w:before="0" w:after="200" w:lineRule="auto" w:line="276"/>
      </w:pPr>
      <w:r>
        <w:rPr>
          <w:b/>
        </w:rPr>
        <w:t xml:space="preserve">Abstract (EN): </w:t>
      </w:r>
      <w:r>
        <w:t>The efficient conversion of solar energy into chemicals is fundamentally limited by the rapid, random recombination of photogenerated charges and strong exciton binding in semiconductors. We transcend incremental catalyst optimization by introducing a universal molecular design strategy “simultaneous geometric and electronic symmetry breaking” in covalent organic frameworks that intrinsically programs directional charge flow. Our strategy of replacing symmetric benzene units with asymmetric thiophene rings induces cooperative point‐group distortion and asymmetric electron density redistribution, thereby creating a built‐in polarization field that slashes exciton binding energy, extends carrier lifetime by over 300%, and steers reaction selectivity. This leads to a record photocatalytic H</w:t>
      </w:r>
      <w:r>
        <w:rPr>
          <w:vertAlign w:val="subscript"/>
        </w:rPr>
        <w:t>2</w:t>
      </w:r>
      <w:r>
        <w:t>O</w:t>
      </w:r>
      <w:r>
        <w:rPr>
          <w:vertAlign w:val="subscript"/>
        </w:rPr>
        <w:t>2</w:t>
      </w:r>
      <w:r>
        <w:t>production rate from just water and air. Crucially, life‐cycle assessment confirms this pathway reduces environmental impact by an order of magnitude. The generality of this design strategy is further validated across multiple framework systems and enables stable operation in a continuous‐flow photoreactor, demonstrating a robust platform for efficient solar‐to‐chemical energy conversion.</w:t>
      </w:r>
    </w:p>
    <w:p>
      <w:pPr>
        <w:spacing w:before="120" w:after="120"/>
      </w:pPr>
      <w:r>
        <w:rPr>
          <w:sz w:val="18"/>
        </w:rPr>
        <w:t>——————————————————————————————————————————————————————————————————————</w:t>
      </w:r>
    </w:p>
    <w:p>
      <w:pPr>
        <w:spacing w:before="160" w:after="40" w:line="240" w:lineRule="auto"/>
      </w:pPr>
      <w:r>
        <w:rPr>
          <w:b/>
        </w:rPr>
        <w:t xml:space="preserve">[18] </w:t>
      </w:r>
      <w:hyperlink r:id="rId189">
        <w:r>
          <w:rPr>
            <w:color w:val="1155CC"/>
            <w:u w:val="single"/>
          </w:rPr>
          <w:t>通过氧化物中继途径进行光驱动水氧化催化的类酶合成裂隙</w:t>
        </w:r>
      </w:hyperlink>
    </w:p>
    <w:p>
      <w:pPr>
        <w:spacing w:before="0" w:after="80"/>
      </w:pPr>
      <w:r>
        <w:rPr>
          <w:i/>
          <w:sz w:val="20"/>
        </w:rPr>
        <w:t>EN: Enzyme‐Like Synthetic Cleft for Light‐Driven Water‐Oxidation Catalysis Via an Oxide Relay Pathway</w:t>
      </w:r>
    </w:p>
    <w:p>
      <w:pPr>
        <w:spacing w:before="0" w:after="120"/>
      </w:pPr>
      <w:r>
        <w:rPr>
          <w:b/>
        </w:rPr>
        <w:t xml:space="preserve">Source: </w:t>
      </w:r>
      <w:r>
        <w:t>Wiley: Angewandte Chemie International Edition: Table of Contents</w:t>
      </w:r>
      <w:r>
        <w:t xml:space="preserve">    </w:t>
      </w:r>
      <w:r>
        <w:rPr>
          <w:b/>
        </w:rPr>
        <w:t xml:space="preserve">Pub date: </w:t>
      </w:r>
      <w:r>
        <w:t>2026-05-31 16:21:53+00:00</w:t>
      </w:r>
      <w:r>
        <w:t xml:space="preserve">    </w:t>
      </w:r>
      <w:r>
        <w:rPr>
          <w:b/>
        </w:rPr>
        <w:t xml:space="preserve">DOI: </w:t>
      </w:r>
      <w:hyperlink r:id="rId190">
        <w:r>
          <w:rPr>
            <w:color w:val="1155CC"/>
            <w:u w:val="single"/>
          </w:rPr>
          <w:t>10.1002/anie.3902517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利用外部配位层中的官能团来直接催化途径是酶的特征，但对于人造催化剂来说，这一点还没有得到充分探索。在这里，继我们早期对 Ru(bda) 水氧化催化剂（bda = 2,2′-联吡啶-6,6′-二羧酸盐）的研究之后，我们展示了羧基功能化的 Ru(bda) 基大环如何通过羧酸盐和 Ru 之间形成 O─O 键在光驱动水氧化中实现氧化物中继机制</w:t>
      </w:r>
      <w:r>
        <w:t xml:space="preserve"> </w:t>
      </w:r>
      <w:r>
        <w:t>V</w:t>
      </w:r>
      <w:r>
        <w:t xml:space="preserve"> </w:t>
      </w:r>
      <w:r>
        <w:t>= O 单位位于相对侧。通过光催化水氧化研究、核磁共振和单晶分析的结合，</w:t>
      </w:r>
      <w:r>
        <w:rPr>
          <w:vertAlign w:val="subscript"/>
        </w:rPr>
        <w:t>18</w:t>
      </w:r>
      <w:r>
        <w:t>O标记实验，我们为光催化条件下机械上不同的氧化物中继途径提供了证据。我们的研究结果强调了第二配位层工程在调节反应途径和推进分子催化剂设计中的作用。</w:t>
      </w:r>
    </w:p>
    <w:p>
      <w:pPr>
        <w:spacing w:before="0" w:after="200" w:lineRule="auto" w:line="276"/>
      </w:pPr>
      <w:r>
        <w:rPr>
          <w:b/>
        </w:rPr>
        <w:t xml:space="preserve">Abstract (EN): </w:t>
      </w:r>
      <w:r>
        <w:t>Harnessing functional groups in the outer coordination sphere to direct catalytic pathways is characteristic for enzymes, yet rather underexplored for man‐made catalysts. Here, following our earlier work on Ru(bda) water oxidation catalysts (bda = 2,2′‐bipyridine‐6,6′‐dicarboxylate), we demonstrate how a carboxyl‐functionalized Ru(bda)‐based macrocycle enables an oxide relay mechanism in light‐driven water oxidation via an O─O bond formation between carboxylate and Ru</w:t>
      </w:r>
      <w:r>
        <w:t xml:space="preserve"> </w:t>
      </w:r>
      <w:r>
        <w:t>V</w:t>
      </w:r>
      <w:r>
        <w:t xml:space="preserve"> </w:t>
      </w:r>
      <w:r>
        <w:t>= O units positioned on opposing sides. Through a combination of photocatalytic water oxidation studies, NMR and single crystal analysis, and</w:t>
      </w:r>
      <w:r>
        <w:rPr>
          <w:vertAlign w:val="subscript"/>
        </w:rPr>
        <w:t>18</w:t>
      </w:r>
      <w:r>
        <w:t>O‐labeling experiments, we provide evidence for the mechanistically distinct oxide relay pathway under photocatalytic conditions. Our findings underscore the role of second coordination sphere engineering in modulating reaction pathways and advancing molecular catalyst design.</w:t>
      </w:r>
    </w:p>
    <w:p>
      <w:pPr>
        <w:spacing w:before="120" w:after="120"/>
      </w:pPr>
      <w:r>
        <w:rPr>
          <w:sz w:val="18"/>
        </w:rPr>
        <w:t>——————————————————————————————————————————————————————————————————————</w:t>
      </w:r>
    </w:p>
    <w:p>
      <w:pPr>
        <w:spacing w:before="160" w:after="40" w:line="240" w:lineRule="auto"/>
      </w:pPr>
      <w:r>
        <w:rPr>
          <w:b/>
        </w:rPr>
        <w:t xml:space="preserve">[19] </w:t>
      </w:r>
      <w:hyperlink r:id="rId191">
        <w:r>
          <w:rPr>
            <w:color w:val="1155CC"/>
            <w:u w:val="single"/>
          </w:rPr>
          <w:t>阳离子定向组装和顺序功能化为高功率燃料电池提供超质子聚阴离子有机框架</w:t>
        </w:r>
      </w:hyperlink>
    </w:p>
    <w:p>
      <w:pPr>
        <w:spacing w:before="0" w:after="80"/>
      </w:pPr>
      <w:r>
        <w:rPr>
          <w:i/>
          <w:sz w:val="20"/>
        </w:rPr>
        <w:t>EN: Cation-directed assembly and sequential functionalization enable superprotonic polyanion–organic frameworks for high-power fuel cells</w:t>
      </w:r>
    </w:p>
    <w:p>
      <w:pPr>
        <w:spacing w:before="0" w:after="120"/>
      </w:pPr>
      <w:r>
        <w:rPr>
          <w:b/>
        </w:rPr>
        <w:t xml:space="preserve">Source: </w:t>
      </w:r>
      <w:r>
        <w:t>Nature Chemistry</w:t>
      </w:r>
      <w:r>
        <w:t xml:space="preserve">    </w:t>
      </w:r>
      <w:r>
        <w:rPr>
          <w:b/>
        </w:rPr>
        <w:t xml:space="preserve">Pub date: </w:t>
      </w:r>
      <w:r>
        <w:t>2026-06-01 00:00:00+00:00</w:t>
      </w:r>
      <w:r>
        <w:t xml:space="preserve">    </w:t>
      </w:r>
      <w:r>
        <w:rPr>
          <w:b/>
        </w:rPr>
        <w:t xml:space="preserve">DOI: </w:t>
      </w:r>
      <w:hyperlink r:id="rId192">
        <w:r>
          <w:rPr>
            <w:color w:val="1155CC"/>
            <w:u w:val="single"/>
          </w:rPr>
          <w:t>10.1038/s41557-026-02169-8</w:t>
        </w:r>
      </w:hyperlink>
    </w:p>
    <w:p>
      <w:pPr>
        <w:spacing w:before="0" w:after="120"/>
      </w:pPr>
      <w:r>
        <w:rPr>
          <w:b/>
        </w:rPr>
        <w:t xml:space="preserve">Notes: </w:t>
      </w:r>
      <w:r>
        <w:t>abstract_source=nature_html</w:t>
      </w:r>
    </w:p>
    <w:p>
      <w:pPr>
        <w:spacing w:before="0" w:after="80" w:lineRule="auto" w:line="276"/>
      </w:pPr>
      <w:r>
        <w:rPr>
          <w:b/>
        </w:rPr>
        <w:t xml:space="preserve">摘要（ZH）: </w:t>
      </w:r>
      <w:r>
        <w:t>质子交换膜对于高性能燃料电池至关重要，但同时提高其功率密度和运行稳定性仍然具有挑战性。在这里，我们介绍了一种超分子工程方法，通过三角形阳离子构造和多金属氧酸盐阴离子的精确整合来构建多金属氧酸盐有机框架。尺寸匹配的多金属氧酸盐通过定向 C-H…阴离子氢键（由形状持久的构造实现）锚定，创建排列有咪唑基团的有序一维通道。磺酸基团的合成后修饰使我们的框架能够实现高质子电导率，质子传输由通道选择性水合、渗透氢键网络和限制下的主客体相互作用控制。这些框架的多孔离子结构和灵活的杂化性质提供了卓越的溶液加工性和与聚合物基质的相容性。集成到 Nafion 树脂中可显着增强所得杂化膜的质子电导率和化学稳定性，并提高峰值功率密度和电流密度（超过商用 Nafion）。该策略为开发质子交换膜设计中的填料提供了一个有前途的蓝图，以推动燃料电池实现脱碳目标。该图像的替代文本可能是使用人工智能生成的。</w:t>
      </w:r>
    </w:p>
    <w:p>
      <w:pPr>
        <w:spacing w:before="0" w:after="200" w:lineRule="auto" w:line="276"/>
      </w:pPr>
      <w:r>
        <w:rPr>
          <w:b/>
        </w:rPr>
        <w:t xml:space="preserve">Abstract (EN): </w:t>
      </w:r>
      <w:r>
        <w:t>Proton-exchange membranes are critical for high-performance fuel cells, yet simultaneous enhancement of their power density and operational stability remains challenging. Here we introduce a supramolecular engineering approach for constructing polyoxometalate–organic frameworks through precise integration of trigonal-shaped cationic tectons and polyoxometalate anions. Size-matched anchoring of polyoxometalates via directional C–H···anion hydrogen bonds—enabled by shape-persistent tectons—creates ordered one-dimensional channels lined with imidazolium groups. Post-synthetic modification with sulfonate groups enabled our frameworks to achieve high proton conductivity, with proton transport governed by channel-selective hydration, percolated hydrogen-bond networks and host–guest interactions under confinement. The porous ionic structure and flexible hybrid nature of these frameworks provide exceptional solution processability and compatibility with polymer matrices. Integration into Nafion resins dramatically enhances the proton conductivity and chemical stability of the resulting hybrid membranes, as well as enhancing the peak power density and current density over commercial Nafion. This strategy provides a promising blueprint for developing fillers in proton-exchange membrane design to advance fuel cells towards decarbonization targets.The alternative text for this image may have been generated using AI.</w:t>
      </w:r>
    </w:p>
    <w:p>
      <w:pPr>
        <w:spacing w:before="120" w:after="120"/>
      </w:pPr>
      <w:r>
        <w:rPr>
          <w:sz w:val="18"/>
        </w:rPr>
        <w:t>——————————————————————————————————————————————————————————————————————</w:t>
      </w:r>
    </w:p>
    <w:p>
      <w:pPr>
        <w:spacing w:before="160" w:after="40" w:line="240" w:lineRule="auto"/>
      </w:pPr>
      <w:r>
        <w:rPr>
          <w:b/>
        </w:rPr>
        <w:t xml:space="preserve">[20] </w:t>
      </w:r>
      <w:hyperlink r:id="rId193">
        <w:r>
          <w:rPr>
            <w:color w:val="1155CC"/>
            <w:u w:val="single"/>
          </w:rPr>
          <w:t>可再生能源并置绿色氢生产：优化调度和盈利能力</w:t>
        </w:r>
      </w:hyperlink>
    </w:p>
    <w:p>
      <w:pPr>
        <w:spacing w:before="0" w:after="80"/>
      </w:pPr>
      <w:r>
        <w:rPr>
          <w:i/>
          <w:sz w:val="20"/>
        </w:rPr>
        <w:t>EN: Renewable-colocated green hydrogen production: Optimal scheduling and profitability</w:t>
      </w:r>
    </w:p>
    <w:p>
      <w:pPr>
        <w:spacing w:before="0" w:after="120"/>
      </w:pPr>
      <w:r>
        <w:rPr>
          <w:b/>
        </w:rPr>
        <w:t xml:space="preserve">Source: </w:t>
      </w:r>
      <w:r>
        <w:t>ScienceDirect Publication: Applied Energy</w:t>
      </w:r>
      <w:r>
        <w:t xml:space="preserve">    </w:t>
      </w:r>
      <w:r>
        <w:rPr>
          <w:b/>
        </w:rPr>
        <w:t xml:space="preserve">Pub date: </w:t>
      </w:r>
      <w:r>
        <w:t>2026-06-01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194">
        <w:r>
          <w:rPr>
            <w:color w:val="1155CC"/>
            <w:u w:val="single"/>
          </w:rPr>
          <w:t>质子交换膜燃料电池中气体扩散层重建的通用两级框架：实现高保真度平面孔隙率分布</w:t>
        </w:r>
      </w:hyperlink>
    </w:p>
    <w:p>
      <w:pPr>
        <w:spacing w:before="0" w:after="80"/>
      </w:pPr>
      <w:r>
        <w:rPr>
          <w:i/>
          <w:sz w:val="20"/>
        </w:rPr>
        <w:t>EN: A universal two-stage framework for gas diffusion layer reconstruction in proton exchange membrane fuel cells: Toward high-fidelity through-plane porosity distribution</w:t>
      </w:r>
    </w:p>
    <w:p>
      <w:pPr>
        <w:spacing w:before="0" w:after="120"/>
      </w:pPr>
      <w:r>
        <w:rPr>
          <w:b/>
        </w:rPr>
        <w:t xml:space="preserve">Source: </w:t>
      </w:r>
      <w:r>
        <w:t>ScienceDirect Publication: Applied Energy</w:t>
      </w:r>
      <w:r>
        <w:t xml:space="preserve">    </w:t>
      </w:r>
      <w:r>
        <w:rPr>
          <w:b/>
        </w:rPr>
        <w:t xml:space="preserve">Pub date: </w:t>
      </w:r>
      <w:r>
        <w:t>2026-06-01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195">
        <w:r>
          <w:rPr>
            <w:color w:val="1155CC"/>
            <w:u w:val="single"/>
          </w:rPr>
          <w:t>Pd1Cu单原子合金催化剂中合金位点密度​​的变化导致电化学CO还原中产物产率的变化</w:t>
        </w:r>
      </w:hyperlink>
    </w:p>
    <w:p>
      <w:pPr>
        <w:spacing w:before="0" w:after="80"/>
      </w:pPr>
      <w:r>
        <w:rPr>
          <w:i/>
          <w:sz w:val="20"/>
        </w:rPr>
        <w:t>EN: Variations of Alloying Site Density in Pd1Cu Single‐Atom Alloy Catalysts Lead to Shifted Product Yields in Electrochemical CO Reduction</w:t>
      </w:r>
    </w:p>
    <w:p>
      <w:pPr>
        <w:spacing w:before="0" w:after="120"/>
      </w:pPr>
      <w:r>
        <w:rPr>
          <w:b/>
        </w:rPr>
        <w:t xml:space="preserve">Source: </w:t>
      </w:r>
      <w:r>
        <w:t>Wiley: Angewandte Chemie International Edition: Table of Contents</w:t>
      </w:r>
      <w:r>
        <w:t xml:space="preserve">    </w:t>
      </w:r>
      <w:r>
        <w:rPr>
          <w:b/>
        </w:rPr>
        <w:t xml:space="preserve">Pub date: </w:t>
      </w:r>
      <w:r>
        <w:t>2026-06-01 08:07:25+00:00</w:t>
      </w:r>
      <w:r>
        <w:t xml:space="preserve">    </w:t>
      </w:r>
      <w:r>
        <w:rPr>
          <w:b/>
        </w:rPr>
        <w:t xml:space="preserve">DOI: </w:t>
      </w:r>
      <w:hyperlink r:id="rId196">
        <w:r>
          <w:rPr>
            <w:color w:val="1155CC"/>
            <w:u w:val="single"/>
          </w:rPr>
          <w:t>10.1002/anie.9720330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单原子合金 (SAA) 催化研究经常报道，在主体金属 M2 表面合金化的单原子金属 M1 的一般配方中，SAA 催化剂可促进探针反应。然而，对于存在解耦速率和选择性限制步骤的催化反应，合金化位点密度可能会显着操纵这些独立的步骤，但很少针对任何 SAA 系统进行明确的检查。在此，使用电催化 CO 还原作为探针反应，我们报告标称 Pd</w:t>
      </w:r>
      <w:r>
        <w:rPr>
          <w:vertAlign w:val="subscript"/>
        </w:rPr>
        <w:t>1</w:t>
      </w:r>
      <w:r>
        <w:t>Cu 立方 SAA 催化剂分别对乙烯或乙醇表现出独特的高反应性，具体取决于 Pd 原子是稀态还是密集态。 尽管嵌入 Cu 上的单原子 Pd 的存在均匀地促进了 CHO* 的形成和 C─C 偶联，但稀释的 Pd</w:t>
      </w:r>
      <w:r>
        <w:rPr>
          <w:vertAlign w:val="subscript"/>
        </w:rPr>
        <w:t>1</w:t>
      </w:r>
      <w:r>
        <w:t>Cu 通过使平坦的 CH 发生低势垒 C─O 裂解，有利于乙烯的形成</w:t>
      </w:r>
      <w:r>
        <w:rPr>
          <w:vertAlign w:val="subscript"/>
        </w:rPr>
        <w:t>2</w:t>
      </w:r>
      <w:r>
        <w:t>CH</w:t>
      </w:r>
      <w:r>
        <w:rPr>
          <w:vertAlign w:val="subscript"/>
        </w:rPr>
        <w:t>2</w:t>
      </w:r>
      <w:r>
        <w:t>OH*中间体，而拥挤的-Pd</w:t>
      </w:r>
      <w:r>
        <w:rPr>
          <w:vertAlign w:val="subscript"/>
        </w:rPr>
        <w:t>1</w:t>
      </w:r>
      <w:r>
        <w:t>Cu 通过稳定同一中间体的直立氢化过渡态来促进乙醇的形成。此外，我们提供的证据表明，拥挤的 Pd 的催化化学</w:t>
      </w:r>
      <w:r>
        <w:rPr>
          <w:vertAlign w:val="subscript"/>
        </w:rPr>
        <w:t>1</w:t>
      </w:r>
      <w:r>
        <w:t>与 Pd 的物种不同</w:t>
      </w:r>
      <w:r>
        <w:rPr>
          <w:vertAlign w:val="subscript"/>
        </w:rPr>
        <w:t>2</w:t>
      </w:r>
      <w:r>
        <w:t>‐二聚体；后者虽然不稳定，但可将反应选择性转向乙酸盐 i</w:t>
      </w:r>
    </w:p>
    <w:p>
      <w:pPr>
        <w:spacing w:before="0" w:after="200" w:lineRule="auto" w:line="276"/>
      </w:pPr>
      <w:r>
        <w:rPr>
          <w:b/>
        </w:rPr>
        <w:t xml:space="preserve">Abstract (EN): </w:t>
      </w:r>
      <w:r>
        <w:t>Single‐atom alloy (SAA) catalysis research often reports that a SAA catalyst, in the general formulation of a single‐atom metal M1 alloyed on the surface of the host metal M2, facilitates a probe reaction. However, for catalytic reactions that present decoupled rate‐ and selectivity‐limiting steps, the alloying site density may significantly manipulate these independent steps, but it has rarely been explicitly examined for any SAA systems. Herein, using the electrocatalytic CO reduction as a probe reaction, we report that the nominal Pd</w:t>
      </w:r>
      <w:r>
        <w:rPr>
          <w:vertAlign w:val="subscript"/>
        </w:rPr>
        <w:t>1</w:t>
      </w:r>
      <w:r>
        <w:t>Cu cube SAA catalysts exhibit distinctive high reactivity toward ethylene or ethanol, respectively, depending on whether the Pd atoms are in dilute or crowded forms. Although the presence of single‐atom Pd embedded on Cu uniformly promotes CHO* formation and C─C coupling, the dilute‐Pd</w:t>
      </w:r>
      <w:r>
        <w:rPr>
          <w:vertAlign w:val="subscript"/>
        </w:rPr>
        <w:t>1</w:t>
      </w:r>
      <w:r>
        <w:t>Cu favors ethylene formation by enabling low‐barrier C─O cleavage from a flat CH</w:t>
      </w:r>
      <w:r>
        <w:rPr>
          <w:vertAlign w:val="subscript"/>
        </w:rPr>
        <w:t>2</w:t>
      </w:r>
      <w:r>
        <w:t>CH</w:t>
      </w:r>
      <w:r>
        <w:rPr>
          <w:vertAlign w:val="subscript"/>
        </w:rPr>
        <w:t>2</w:t>
      </w:r>
      <w:r>
        <w:t>OH* intermediate, whereas the crowded‐Pd</w:t>
      </w:r>
      <w:r>
        <w:rPr>
          <w:vertAlign w:val="subscript"/>
        </w:rPr>
        <w:t>1</w:t>
      </w:r>
      <w:r>
        <w:t>Cu promotes ethanol formation by stabilizing an upright hydrogenation transition state of the same intermediate. Furthermore, we present evidence that the catalytic chemistry of crowded Pd</w:t>
      </w:r>
      <w:r>
        <w:rPr>
          <w:vertAlign w:val="subscript"/>
        </w:rPr>
        <w:t>1</w:t>
      </w:r>
      <w:r>
        <w:t>species differs from that of the Pd</w:t>
      </w:r>
      <w:r>
        <w:rPr>
          <w:vertAlign w:val="subscript"/>
        </w:rPr>
        <w:t>2</w:t>
      </w:r>
      <w:r>
        <w:t>‐dimer; the latter, albeit unstable, steers reaction selectivity to acetate instead. These results uncovered the underappreciated importance of controlling SAA catalytic chemistry from the perspective of single‐atom site densities.</w:t>
      </w:r>
    </w:p>
    <w:p>
      <w:pPr>
        <w:spacing w:before="120" w:after="120"/>
      </w:pPr>
      <w:r>
        <w:rPr>
          <w:sz w:val="18"/>
        </w:rPr>
        <w:t>——————————————————————————————————————————————————————————————————————</w:t>
      </w:r>
    </w:p>
    <w:p>
      <w:pPr>
        <w:spacing w:before="160" w:after="40" w:line="240" w:lineRule="auto"/>
      </w:pPr>
      <w:r>
        <w:rPr>
          <w:b/>
        </w:rPr>
        <w:t xml:space="preserve">[23] </w:t>
      </w:r>
      <w:hyperlink r:id="rId197">
        <w:r>
          <w:rPr>
            <w:color w:val="1155CC"/>
            <w:u w:val="single"/>
          </w:rPr>
          <w:t>DNA 编程的非晶 PtCu 纳米杂化物具有空间分区的析氢功能</w:t>
        </w:r>
      </w:hyperlink>
    </w:p>
    <w:p>
      <w:pPr>
        <w:spacing w:before="0" w:after="80"/>
      </w:pPr>
      <w:r>
        <w:rPr>
          <w:i/>
          <w:sz w:val="20"/>
        </w:rPr>
        <w:t>EN: DNA‐Programmed Amorphous PtCu Nanohybrids With Spatially Partitioned Functions for Hydrogen Evolution</w:t>
      </w:r>
    </w:p>
    <w:p>
      <w:pPr>
        <w:spacing w:before="0" w:after="120"/>
      </w:pPr>
      <w:r>
        <w:rPr>
          <w:b/>
        </w:rPr>
        <w:t xml:space="preserve">Source: </w:t>
      </w:r>
      <w:r>
        <w:t>Wiley: Advanced Materials: Table of Contents</w:t>
      </w:r>
      <w:r>
        <w:t xml:space="preserve">    </w:t>
      </w:r>
      <w:r>
        <w:rPr>
          <w:b/>
        </w:rPr>
        <w:t xml:space="preserve">Pub date: </w:t>
      </w:r>
      <w:r>
        <w:t>2026-06-01 11:54:13+00:00</w:t>
      </w:r>
      <w:r>
        <w:t xml:space="preserve">    </w:t>
      </w:r>
      <w:r>
        <w:rPr>
          <w:b/>
        </w:rPr>
        <w:t xml:space="preserve">DOI: </w:t>
      </w:r>
      <w:hyperlink r:id="rId198">
        <w:r>
          <w:rPr>
            <w:color w:val="1155CC"/>
            <w:u w:val="single"/>
          </w:rPr>
          <w:t>10.1002/adma.73592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晶态原子薄金属提供了极高密度的催化活性位点，但它们的实际电催化性能常常受到无序超薄域内低效电荷传输和受限质量交换引起的动力学限制的限制。局部表面反应性和宏观反应动力学之间的不匹配是充分利用非晶态金属催化剂的根本障碍。在这里，我们报告了一种分层集成的非晶 PtCu 结构，其中原子级薄的 PtCu 纳米片和互连的 PtCu 纳米管在空间上交织，以建立独特但强耦合的反应和传输域。在这种结构中，无定形纳米片充当高活性催化界面，而连续的纳米管网络提供连续的传输主链，实现快速电子渗滤和有效的反应物扩散。这种有意的功能划分有效地将表面反应性与传输限制解耦，从而缓解非晶二维金属的内在动力学瓶颈。因此，PtCu 纳米管-纳米片杂化物显着增强了析氢动力学和 Pt 利用效率，超过了大多数报道的 Pt 基电催化剂。更广泛地说，这项工作表明，支持传输的结构集成可以从根本上重塑非晶金属的电催化行为，建立可转移的结构设计策略</w:t>
      </w:r>
    </w:p>
    <w:p>
      <w:pPr>
        <w:spacing w:before="0" w:after="200" w:lineRule="auto" w:line="276"/>
      </w:pPr>
      <w:r>
        <w:rPr>
          <w:b/>
        </w:rPr>
        <w:t xml:space="preserve">Abstract (EN): </w:t>
      </w:r>
      <w:r>
        <w:t>Amorphous atomically thin metals offer an exceptionally high density of catalytically active sites, yet their practical electrocatalytic performance is often constrained by kinetic limitations arising from inefficient charge transport and restricted mass exchange within disordered ultrathin domains. This mismatch between local surface reactivity and macroscopic reaction kinetics represents a fundamental barrier to fully exploiting amorphous metallic catalysts. Here, we report a hierarchically integrated amorphous PtCu architecture in which atomically thin PtCu nanosheets and interconnected PtCu nanotubes are spatially interwoven to establish distinct yet strongly coupled reaction and transport domains. Within this architecture, the amorphous nanosheets function as highly active catalytic interfaces, while the contiguous nanotube network provides a continuous transport backbone that enables rapid electron percolation and efficient reactant diffusion. This deliberate functional partitioning effectively decouples surface reactivity from transport constraints, thereby alleviating the intrinsic kinetic bottlenecks of amorphous two‐dimensional metals. As a consequence, the PtCu nanotube‐nanosheet hybrid delivers markedly enhanced hydrogen evolution kinetics and Pt utilization efficiency, surpassing most reported Pt‐based electrocatalysts. More broadly, this work demonstrates that transport‐enabled structural integration can fundamentally reshape the electrocatalytic behavior of amorphous metals, establishing a transferable structural design strategy for converting atomic‐scale disorder into macroscopic catalytic efficiency.</w:t>
      </w:r>
    </w:p>
    <w:p>
      <w:pPr>
        <w:spacing w:before="120" w:after="120"/>
      </w:pPr>
      <w:r>
        <w:rPr>
          <w:sz w:val="18"/>
        </w:rPr>
        <w:t>——————————————————————————————————————————————————————————————————————</w:t>
      </w:r>
    </w:p>
    <w:p>
      <w:pPr>
        <w:spacing w:before="160" w:after="40" w:line="240" w:lineRule="auto"/>
      </w:pPr>
      <w:r>
        <w:rPr>
          <w:b/>
        </w:rPr>
        <w:t xml:space="preserve">[24] </w:t>
      </w:r>
      <w:hyperlink r:id="rId199">
        <w:r>
          <w:rPr>
            <w:color w:val="1155CC"/>
            <w:u w:val="single"/>
          </w:rPr>
          <w:t>用于酸性水氧化的拉普拉斯压力稳定金红石固溶体催化剂：实现 DSA 启发的组合物</w:t>
        </w:r>
      </w:hyperlink>
    </w:p>
    <w:p>
      <w:pPr>
        <w:spacing w:before="0" w:after="80"/>
      </w:pPr>
      <w:r>
        <w:rPr>
          <w:i/>
          <w:sz w:val="20"/>
        </w:rPr>
        <w:t>EN: Laplace‐Pressure‐Stabilized Rutile Solid‐Solution Catalysts for Acidic Water Oxidation: Enabling DSA‐Inspired Compositions</w:t>
      </w:r>
    </w:p>
    <w:p>
      <w:pPr>
        <w:spacing w:before="0" w:after="120"/>
      </w:pPr>
      <w:r>
        <w:rPr>
          <w:b/>
        </w:rPr>
        <w:t xml:space="preserve">Source: </w:t>
      </w:r>
      <w:r>
        <w:t>Wiley: Advanced Materials: Table of Contents</w:t>
      </w:r>
      <w:r>
        <w:t xml:space="preserve">    </w:t>
      </w:r>
      <w:r>
        <w:rPr>
          <w:b/>
        </w:rPr>
        <w:t xml:space="preserve">Pub date: </w:t>
      </w:r>
      <w:r>
        <w:t>2026-06-01 13:25:39+00:00</w:t>
      </w:r>
      <w:r>
        <w:t xml:space="preserve">    </w:t>
      </w:r>
      <w:r>
        <w:rPr>
          <w:b/>
        </w:rPr>
        <w:t xml:space="preserve">DOI: </w:t>
      </w:r>
      <w:hyperlink r:id="rId200">
        <w:r>
          <w:rPr>
            <w:color w:val="1155CC"/>
            <w:u w:val="single"/>
          </w:rPr>
          <w:t>10.1002/adma.73273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1967 年的一项早期相图研究揭示了金红石型 IrO 中令人惊讶的宽的不混溶间隙</w:t>
      </w:r>
      <w:r>
        <w:rPr>
          <w:vertAlign w:val="subscript"/>
        </w:rPr>
        <w:t>2</w:t>
      </w:r>
      <w:r>
        <w:t>─二氧化钛</w:t>
      </w:r>
      <w:r>
        <w:rPr>
          <w:vertAlign w:val="subscript"/>
        </w:rPr>
        <w:t>2</w:t>
      </w:r>
      <w:r>
        <w:t>和氧化铁</w:t>
      </w:r>
      <w:r>
        <w:rPr>
          <w:vertAlign w:val="subscript"/>
        </w:rPr>
        <w:t>2</w:t>
      </w:r>
      <w:r>
        <w:t>─二氧化锡</w:t>
      </w:r>
      <w:r>
        <w:rPr>
          <w:vertAlign w:val="subscript"/>
        </w:rPr>
        <w:t>2</w:t>
      </w:r>
      <w:r>
        <w:t>系统，尽管这三种氧化物具有相同的晶体结构和几乎相同的离子半径。这一发现表明 IrO 的形成</w:t>
      </w:r>
      <w:r>
        <w:rPr>
          <w:vertAlign w:val="subscript"/>
        </w:rPr>
        <w:t>2</w:t>
      </w:r>
      <w:r>
        <w:t>基于固溶体，特别是不同结构的氧化物的固溶体，在热力学上具有挑战性。使用 20 多种外来金属 (M) 阳离子，我们证明单相金红石 (Ir, M)O</w:t>
      </w:r>
      <w:r>
        <w:rPr>
          <w:vertAlign w:val="subscript"/>
        </w:rPr>
        <w:t>2</w:t>
      </w:r>
      <w:r>
        <w:t>和(Sn,M)O</w:t>
      </w:r>
      <w:r>
        <w:rPr>
          <w:vertAlign w:val="subscript"/>
        </w:rPr>
        <w:t>2</w:t>
      </w:r>
      <w:r>
        <w:t>当晶体尺寸低于 10 nm 时，可以获得含有高达 30 at.% M 的固溶体，而较大的亚微米级晶体则表现出不混溶行为。特别是，在纳米级 IrO 的整个成分范围内实现了完整的固溶体</w:t>
      </w:r>
      <w:r>
        <w:rPr>
          <w:vertAlign w:val="subscript"/>
        </w:rPr>
        <w:t>2</w:t>
      </w:r>
      <w:r>
        <w:t>─二氧化锡</w:t>
      </w:r>
      <w:r>
        <w:rPr>
          <w:vertAlign w:val="subscript"/>
        </w:rPr>
        <w:t>2</w:t>
      </w:r>
      <w:r>
        <w:t>系统。高拉普拉斯压力下混溶性的增强并不限于特定的外来阳离子，而是代表了普遍现象。这些结果被用来合成包含 DSA 启发的四元阳离子（Sn、Nb、Ru 和 Ir）的金红石相纳米晶体，其在阳极电位下表现出高耐腐蚀性和催化活性。定量电化学分析</w:t>
      </w:r>
    </w:p>
    <w:p>
      <w:pPr>
        <w:spacing w:before="0" w:after="200" w:lineRule="auto" w:line="276"/>
      </w:pPr>
      <w:r>
        <w:rPr>
          <w:b/>
        </w:rPr>
        <w:t xml:space="preserve">Abstract (EN): </w:t>
      </w:r>
      <w:r>
        <w:t>An early phase diagram study in 1967 revealed surprisingly wide immiscible gaps in the rutile‐type IrO</w:t>
      </w:r>
      <w:r>
        <w:rPr>
          <w:vertAlign w:val="subscript"/>
        </w:rPr>
        <w:t>2</w:t>
      </w:r>
      <w:r>
        <w:t>─TiO</w:t>
      </w:r>
      <w:r>
        <w:rPr>
          <w:vertAlign w:val="subscript"/>
        </w:rPr>
        <w:t>2</w:t>
      </w:r>
      <w:r>
        <w:t>and IrO</w:t>
      </w:r>
      <w:r>
        <w:rPr>
          <w:vertAlign w:val="subscript"/>
        </w:rPr>
        <w:t>2</w:t>
      </w:r>
      <w:r>
        <w:t>─SnO</w:t>
      </w:r>
      <w:r>
        <w:rPr>
          <w:vertAlign w:val="subscript"/>
        </w:rPr>
        <w:t>2</w:t>
      </w:r>
      <w:r>
        <w:t>systems, even though the three oxides share the same crystal structure and nearly identical ionic radii. This finding indicates that the formation of IrO</w:t>
      </w:r>
      <w:r>
        <w:rPr>
          <w:vertAlign w:val="subscript"/>
        </w:rPr>
        <w:t>2</w:t>
      </w:r>
      <w:r>
        <w:t>‐based solid solutions, especially with oxides of different structures, is thermodynamically challenging. Using more than 20 foreign metal (M) cations, we demonstrate that single‐phase rutile (Ir, M)O</w:t>
      </w:r>
      <w:r>
        <w:rPr>
          <w:vertAlign w:val="subscript"/>
        </w:rPr>
        <w:t>2</w:t>
      </w:r>
      <w:r>
        <w:t>and (Sn, M)O</w:t>
      </w:r>
      <w:r>
        <w:rPr>
          <w:vertAlign w:val="subscript"/>
        </w:rPr>
        <w:t>2</w:t>
      </w:r>
      <w:r>
        <w:t>solid solutions containing up to 30 at.% M can be obtained when the crystal size is below 10 nm, whereas larger, submicron‐scale crystals exhibit immiscible behavior. In particular, complete solid solutions are achieved across the entire composition range in the nanoscale IrO</w:t>
      </w:r>
      <w:r>
        <w:rPr>
          <w:vertAlign w:val="subscript"/>
        </w:rPr>
        <w:t>2</w:t>
      </w:r>
      <w:r>
        <w:t>─SnO</w:t>
      </w:r>
      <w:r>
        <w:rPr>
          <w:vertAlign w:val="subscript"/>
        </w:rPr>
        <w:t>2</w:t>
      </w:r>
      <w:r>
        <w:t>system. This enhancement in miscibility under high Laplace pressure is not restricted to specific foreign cations but represents a general phenomenon. These results are exploited to synthesize rutile‐phase nanocrystals incorporating DSA‐inspired quaternary cations (Sn, Nb, Ru, and Ir), which show high corrosion resistance and catalytic activity under anodic potentials. Quantitative electrochemical analyses further show that the catalytic durability of these quaternary nanocrystals, despite the significantly reduced Ir content, is comparable to that of IrO</w:t>
      </w:r>
      <w:r>
        <w:rPr>
          <w:vertAlign w:val="subscript"/>
        </w:rPr>
        <w:t>2</w:t>
      </w:r>
      <w:r>
        <w:t>during the oxygen evolution reaction in acidic water electrolysis.</w:t>
      </w:r>
    </w:p>
    <w:p>
      <w:pPr>
        <w:spacing w:before="120" w:after="120"/>
      </w:pPr>
      <w:r>
        <w:rPr>
          <w:sz w:val="18"/>
        </w:rPr>
        <w:t>——————————————————————————————————————————————————————————————————————</w:t>
      </w:r>
    </w:p>
    <w:p>
      <w:pPr>
        <w:spacing w:before="160" w:after="40" w:line="240" w:lineRule="auto"/>
      </w:pPr>
      <w:r>
        <w:rPr>
          <w:b/>
        </w:rPr>
        <w:t xml:space="preserve">[25] </w:t>
      </w:r>
      <w:hyperlink r:id="rId201">
        <w:r>
          <w:rPr>
            <w:color w:val="1155CC"/>
            <w:u w:val="single"/>
          </w:rPr>
          <w:t>用于安培级海水电解的 FeP 负载 Os 的内置电场调节电子传输通道</w:t>
        </w:r>
      </w:hyperlink>
    </w:p>
    <w:p>
      <w:pPr>
        <w:spacing w:before="0" w:after="80"/>
      </w:pPr>
      <w:r>
        <w:rPr>
          <w:i/>
          <w:sz w:val="20"/>
        </w:rPr>
        <w:t>EN: Built‐In Electric Field Regulated Electron Transport Channels of FeP Supported Os for Ampere‐Level Seawater Electrolysis</w:t>
      </w:r>
    </w:p>
    <w:p>
      <w:pPr>
        <w:spacing w:before="0" w:after="120"/>
      </w:pPr>
      <w:r>
        <w:rPr>
          <w:b/>
        </w:rPr>
        <w:t xml:space="preserve">Source: </w:t>
      </w:r>
      <w:r>
        <w:t>Wiley: Advanced Energy Materials: Table of Contents</w:t>
      </w:r>
      <w:r>
        <w:t xml:space="preserve">    </w:t>
      </w:r>
      <w:r>
        <w:rPr>
          <w:b/>
        </w:rPr>
        <w:t xml:space="preserve">Pub date: </w:t>
      </w:r>
      <w:r>
        <w:t>2026-06-01 17:02:56+00:00</w:t>
      </w:r>
      <w:r>
        <w:t xml:space="preserve">    </w:t>
      </w:r>
      <w:r>
        <w:rPr>
          <w:b/>
        </w:rPr>
        <w:t xml:space="preserve">DOI: </w:t>
      </w:r>
      <w:hyperlink r:id="rId202">
        <w:r>
          <w:rPr>
            <w:color w:val="1155CC"/>
            <w:u w:val="single"/>
          </w:rPr>
          <w:t>10.1002/aenm.71137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成本效益且稳定的析氢反应（HER）催化剂来替代碱性介质中的铂基化合物仍然是一个严峻的挑战。因此，FeP经历超快微波准固态过程（10秒内）构建具有Os团簇的异质结构（Os/FeP）。利用构建的异质结构，制造的 Os/FeP 内电子金属载体相互作用 (EMSI) 的发生有助于形成更合理的电子配置，而感应内建电场 (BEF) 促进电子转移，减轻过量的 H</w:t>
      </w:r>
      <w:r>
        <w:t xml:space="preserve"> </w:t>
      </w:r>
      <w:r>
        <w:t>*</w:t>
      </w:r>
      <w:r>
        <w:t xml:space="preserve"> </w:t>
      </w:r>
      <w:r>
        <w:t>在 Os 位点上吸附，同时增强 H</w:t>
      </w:r>
      <w:r>
        <w:t xml:space="preserve"> </w:t>
      </w:r>
      <w:r>
        <w:t>*</w:t>
      </w:r>
      <w:r>
        <w:t xml:space="preserve"> </w:t>
      </w:r>
      <w:r>
        <w:t>FeP 的覆盖范围。 Os/FeP 在 10 mA cm 时表现出 25、36 mV 的增强 HER 活性</w:t>
      </w:r>
      <w:r>
        <w:t xml:space="preserve"> </w:t>
      </w:r>
      <w:r>
        <w:t>−2</w:t>
      </w:r>
      <w:r>
        <w:t xml:space="preserve"> </w:t>
      </w:r>
      <w:r>
        <w:t>分别在碱性淡水和海水中。此外，组装的 Os/FeP ||氧化钌</w:t>
      </w:r>
      <w:r>
        <w:rPr>
          <w:vertAlign w:val="subscript"/>
        </w:rPr>
        <w:t>2</w:t>
      </w:r>
      <w:r>
        <w:t>阴离子交换膜水电解槽（AEMWE）表现出1.92 V@1 A cm的优异电催化性能</w:t>
      </w:r>
      <w:r>
        <w:t xml:space="preserve"> </w:t>
      </w:r>
      <w:r>
        <w:t>−2</w:t>
      </w:r>
      <w:r>
        <w:t xml:space="preserve"> </w:t>
      </w:r>
      <w:r>
        <w:t>在恶劣的工业条件下连续运行600小时以上，用于海水电解。质量/价格活性提升至 9.96 A mg</w:t>
      </w:r>
      <w:r>
        <w:t xml:space="preserve"> </w:t>
      </w:r>
      <w:r>
        <w:t>−1</w:t>
      </w:r>
      <w:r>
        <w:t xml:space="preserve"> </w:t>
      </w:r>
      <w:r>
        <w:t>操作系统</w:t>
      </w:r>
      <w:r>
        <w:t xml:space="preserve"> </w:t>
      </w:r>
      <w:r>
        <w:t>724.74 A 美元</w:t>
      </w:r>
      <w:r>
        <w:t xml:space="preserve"> </w:t>
      </w:r>
      <w:r>
        <w:t>−1</w:t>
      </w:r>
      <w:r>
        <w:t xml:space="preserve"> </w:t>
      </w:r>
      <w:r>
        <w:t>2.0 V，结合 0.90 美元 H</w:t>
      </w:r>
      <w:r>
        <w:rPr>
          <w:vertAlign w:val="subscript"/>
        </w:rPr>
        <w:t>2</w:t>
      </w:r>
      <w:r>
        <w:t>每个 GGE 很好地说明了其经济优势，表明其</w:t>
      </w:r>
    </w:p>
    <w:p>
      <w:pPr>
        <w:spacing w:before="0" w:after="200" w:lineRule="auto" w:line="276"/>
      </w:pPr>
      <w:r>
        <w:rPr>
          <w:b/>
        </w:rPr>
        <w:t xml:space="preserve">Abstract (EN): </w:t>
      </w:r>
      <w:r>
        <w:t>Developing cost‐effective and robust hydrogen evolution reaction (HER) catalysts to replace Pt‐based compounds in alkaline media remains a critical challenge. Therefore, FeP experiences ultrafast microwave quasi‐solid process (within 10 s) to construct a heterostructure with Os clusters (Os/FeP). Leveraging the constructed heterostructure, the occurrence of electronic metal‐support interaction (EMSI) within the fabricated Os/FeP contributes to a more rational electronic configuration, while the induced built‐in electric field (BEF) boosts electron transfer, mitigating the excessive H</w:t>
      </w:r>
      <w:r>
        <w:t xml:space="preserve"> </w:t>
      </w:r>
      <w:r>
        <w:t>*</w:t>
      </w:r>
      <w:r>
        <w:t xml:space="preserve"> </w:t>
      </w:r>
      <w:r>
        <w:t>adsorption on Os sites while enhancing H</w:t>
      </w:r>
      <w:r>
        <w:t xml:space="preserve"> </w:t>
      </w:r>
      <w:r>
        <w:t>*</w:t>
      </w:r>
      <w:r>
        <w:t xml:space="preserve"> </w:t>
      </w:r>
      <w:r>
        <w:t>coverage on FeP. The Os/FeP exhibits enhanced HER activity of 25, 36 mV@10 mA cm</w:t>
      </w:r>
      <w:r>
        <w:t xml:space="preserve"> </w:t>
      </w:r>
      <w:r>
        <w:t>−2</w:t>
      </w:r>
      <w:r>
        <w:t xml:space="preserve"> </w:t>
      </w:r>
      <w:r>
        <w:t>in alkaline freshwater and seawater, respectively. Moreover, the assembled Os/FeP || RuO</w:t>
      </w:r>
      <w:r>
        <w:rPr>
          <w:vertAlign w:val="subscript"/>
        </w:rPr>
        <w:t>2</w:t>
      </w:r>
      <w:r>
        <w:t>anion exchange membrane water electrolyzer (AEMWE) exhibits excellent electrocatalytic performance of 1.92 V@1 A cm</w:t>
      </w:r>
      <w:r>
        <w:t xml:space="preserve"> </w:t>
      </w:r>
      <w:r>
        <w:t>−2</w:t>
      </w:r>
      <w:r>
        <w:t xml:space="preserve"> </w:t>
      </w:r>
      <w:r>
        <w:t>and continuously operates over 600 h under harsh industrial conditions for seawater electrolysis. The boosted mass/price activity of 9.96 A mg</w:t>
      </w:r>
      <w:r>
        <w:t xml:space="preserve"> </w:t>
      </w:r>
      <w:r>
        <w:t>−1</w:t>
      </w:r>
      <w:r>
        <w:t xml:space="preserve"> </w:t>
      </w:r>
      <w:r>
        <w:t>Os</w:t>
      </w:r>
      <w:r>
        <w:t xml:space="preserve"> </w:t>
      </w:r>
      <w:r>
        <w:t>and 724.74 A dollar</w:t>
      </w:r>
      <w:r>
        <w:t xml:space="preserve"> </w:t>
      </w:r>
      <w:r>
        <w:t>−1</w:t>
      </w:r>
      <w:r>
        <w:t xml:space="preserve"> </w:t>
      </w:r>
      <w:r>
        <w:t>at 2.0 V, in combination with the $0.90 H</w:t>
      </w:r>
      <w:r>
        <w:rPr>
          <w:vertAlign w:val="subscript"/>
        </w:rPr>
        <w:t>2</w:t>
      </w:r>
      <w:r>
        <w:t>per GGE well illustrates its economic superiority, suggesting its promising prospects in industrial application. This work represents Os/FeP heterostructure catalyst with BEF and successfully utilizes the EMSI to enhance efficiency, serving as effective approaches of developing robust electrocatalysts with remarkable HER activity in alkaline media.</w:t>
      </w:r>
    </w:p>
    <w:p>
      <w:pPr>
        <w:spacing w:before="120" w:after="120"/>
      </w:pPr>
      <w:r>
        <w:rPr>
          <w:sz w:val="18"/>
        </w:rPr>
        <w:t>——————————————————————————————————————————————————————————————————————</w:t>
      </w:r>
    </w:p>
    <w:p>
      <w:pPr>
        <w:spacing w:before="160" w:after="40" w:line="240" w:lineRule="auto"/>
      </w:pPr>
      <w:r>
        <w:rPr>
          <w:b/>
        </w:rPr>
        <w:t xml:space="preserve">[26] </w:t>
      </w:r>
      <w:hyperlink r:id="rId203">
        <w:r>
          <w:rPr>
            <w:color w:val="1155CC"/>
            <w:u w:val="single"/>
          </w:rPr>
          <w:t>高熵氧化物中吸附质演化和晶格氧的双机制协同作用增强水氧化</w:t>
        </w:r>
      </w:hyperlink>
    </w:p>
    <w:p>
      <w:pPr>
        <w:spacing w:before="0" w:after="80"/>
      </w:pPr>
      <w:r>
        <w:rPr>
          <w:i/>
          <w:sz w:val="20"/>
        </w:rPr>
        <w:t>EN: Dual-Mechanism Synergy of Adsorbate Evolution and Lattice Oxygen in High-Entropy Oxides for Enhanced Water Oxidation</w:t>
      </w:r>
    </w:p>
    <w:p>
      <w:pPr>
        <w:spacing w:before="0" w:after="120"/>
      </w:pPr>
      <w:r>
        <w:rPr>
          <w:b/>
        </w:rPr>
        <w:t xml:space="preserve">Source: </w:t>
      </w:r>
      <w:r>
        <w:t>RSC - Energy Environ. Sci. latest articles</w:t>
      </w:r>
      <w:r>
        <w:t xml:space="preserve">    </w:t>
      </w:r>
      <w:r>
        <w:rPr>
          <w:b/>
        </w:rPr>
        <w:t xml:space="preserve">Pub date: </w:t>
      </w:r>
      <w:r>
        <w:t>2026-06-01 23:00:00+00:00</w:t>
      </w:r>
    </w:p>
    <w:p>
      <w:pPr>
        <w:spacing w:before="0" w:after="120"/>
      </w:pPr>
      <w:r>
        <w:rPr>
          <w:b/>
        </w:rPr>
        <w:t xml:space="preserve">Notes: </w:t>
      </w:r>
      <w:r>
        <w:t>abstract_source=rsc_html</w:t>
      </w:r>
    </w:p>
    <w:p>
      <w:pPr>
        <w:spacing w:before="0" w:after="80" w:lineRule="auto" w:line="276"/>
      </w:pPr>
      <w:r>
        <w:rPr>
          <w:b/>
        </w:rPr>
        <w:t xml:space="preserve">摘要（ZH）: </w:t>
      </w:r>
      <w:r>
        <w:t>高熵氧化物（HEO）由于其独特的多元素协同作用而成为析氧反应（OER）的有前途的电催化剂，但精确调节反应途径以平衡活性和稳定性极具挑战性。在此，通过超快热冲击方法合成了尖晶石型FeCoNiCrRu HEO，实现了涉及吸附质演化机制（AEM）和晶格氧机制（LOM）的协同双路径催化。原位微分电化学质谱、原位拉曼光谱和理论计算表明，Cr和Ru共同增强了Co位点AEM路径下的OER动力学，而Ru诱导了Fe-Cr桥接氧位点发生局域LOM路径，具有优化的中间吸附、上移的O 2p带和增强的金属-氧共价性。选择性晶格氧激活和高熵特性确保了卓越的结构稳定性。因此，FeCoNiCrRu HEO 在 10 mA cm−2 电流下实现了 200 mV 的低过电势，并在碱性介质中在 500 mA cm−2 电流下实现了 500 小时以上的卓越耐用性。组装好的阴离子交换膜水电解槽在 2.03 V 电压下输出 1.0 A cm−2 电流，可稳定运行 400 小时。这项工作成功地结合了 AEM 和 LOM 的优点，提供了克服 OER 催化中基本活性与稳定性权衡的战略设计。</w:t>
      </w:r>
    </w:p>
    <w:p>
      <w:pPr>
        <w:spacing w:before="0" w:after="200" w:lineRule="auto" w:line="276"/>
      </w:pPr>
      <w:r>
        <w:rPr>
          <w:b/>
        </w:rPr>
        <w:t xml:space="preserve">Abstract (EN): </w:t>
      </w:r>
      <w:r>
        <w:t>High-entropy oxides (HEOs) have emerged as promising electrocatalysts for the oxygen evolution reaction (OER) owing to their unique multi-element synergy, yet precisely regulating reaction pathways to balance activity and stability is highly challenging. Herein, a spinel-type FeCoNiCrRu HEO is synthesized via an ultrafast thermal shock method, enabling synergistic dual-pathway catalysis involving the adsorbate evolution mechanism (AEM) and lattice oxygen mechanism (LOM). In situ differential electrochemical mass spectrometry, in situ Raman spectroscopy, and theoretical calculations reveal that Cr and Ru jointly enhance OER kinetics under the AEM pathway at the Co sites, while Ru induces a localized LOM pathway occurring at the Fe-Cr bridging oxygen sites, featuring optimized intermediate adsorption, upshifted O 2p band, and enhanced metal-oxygen covalency. The selective lattice oxygen activation and high-entropy nature ensure exceptional structural stability. Consequently, FeCoNiCrRu HEO achieves a low overpotential of 200 mV at 10 mA cm−2 and extraordinary durability over 500 h at 500 mA cm−2 in alkaline media. The assembled anion exchange membrane water electrolyzer delivers 1.0 A cm−2 at 2.03 V and operates robustly for 400 h. This work successfully unifies the merits of AEM and LOM, providing a strategic design to overcome the fundamental activity-stability trade-off in OER catalysis.</w:t>
      </w:r>
    </w:p>
    <w:p>
      <w:pPr>
        <w:spacing w:before="120" w:after="120"/>
      </w:pPr>
      <w:r>
        <w:rPr>
          <w:sz w:val="18"/>
        </w:rPr>
        <w:t>——————————————————————————————————————————————————————————————————————</w:t>
      </w:r>
    </w:p>
    <w:p>
      <w:pPr>
        <w:spacing w:before="160" w:after="40" w:line="240" w:lineRule="auto"/>
      </w:pPr>
      <w:r>
        <w:rPr>
          <w:b/>
        </w:rPr>
        <w:t xml:space="preserve">[27] </w:t>
      </w:r>
      <w:hyperlink r:id="rId204">
        <w:r>
          <w:rPr>
            <w:color w:val="1155CC"/>
            <w:u w:val="single"/>
          </w:rPr>
          <w:t>网络完整性使聚合物膜中的埃级传输路径成为可能</w:t>
        </w:r>
      </w:hyperlink>
    </w:p>
    <w:p>
      <w:pPr>
        <w:spacing w:before="0" w:after="80"/>
      </w:pPr>
      <w:r>
        <w:rPr>
          <w:i/>
          <w:sz w:val="20"/>
        </w:rPr>
        <w:t>EN: Network completeness enables angstrom-scale transport pathways in polymer membranes</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在不影响机械鲁棒性的情况下实现高分子选择性仍然是分离科学的核心挑战。在这里，我们报道了包含共价嵌入扩散通道的聚合物网络，这些扩散通道将多孔框架整合到聚合物基质内。通过系统地调整交联基序，我们引入了网络完整性作为定量设计描述符，将桥连接性与分离性能联系起来。我们的密度探针方法提供了亚 3 Å 孔隙的实验证据，这一特征以前仅推测或模拟。氢选择性 ms-oDMB-DB50 膜超越了最先进的聚合物性能阈值，同时保持长时间稳定运行。该设计规则将工程实用性与网状网络架构和密度探针读数产生的有效扩散通道结合起来。我们的结果建立了聚合物网状设计的框架，并确定了能够实现先进分子分离的双域功能的结构属性。</w:t>
      </w:r>
    </w:p>
    <w:p>
      <w:pPr>
        <w:spacing w:before="0" w:after="200" w:lineRule="auto" w:line="276"/>
      </w:pPr>
      <w:r>
        <w:rPr>
          <w:b/>
        </w:rPr>
        <w:t xml:space="preserve">Abstract (EN): </w:t>
      </w:r>
      <w:r>
        <w:t>Achieving high molecular selectivity without compromising mechanical robustness remains a central challenge in separation science. Here we report polymer networks containing covalently embedded diffusion channels that integrate porous frameworks within the polymer matrix. By systematically tuning crosslinking motifs, we introduced network completeness as a quantitative design descriptor that connects bridge connectivity to separation performance. Our density-probe approach provided experimental evidence of sub-3 Å pores, a feature previously only speculated or simulated. The hydrogen-selective ms-oDMB-DB50 membrane surpasses state-of-art polymer performance thresholds while maintaining stable operation over extended periods. This design rule combines engineering practicality with effective diffusion channels arising from a reticular-style network architecture and density-probe readouts. Our results establish a framework for reticular-style design in polymers and identify structural attributes that enable dual-domain functionality for advanced molecular separations.</w:t>
      </w:r>
    </w:p>
    <w:p>
      <w:pPr>
        <w:spacing w:before="120" w:after="120"/>
      </w:pPr>
      <w:r>
        <w:rPr>
          <w:sz w:val="18"/>
        </w:rPr>
        <w:t>——————————————————————————————————————————————————————————————————————</w:t>
      </w:r>
    </w:p>
    <w:p>
      <w:pPr>
        <w:spacing w:before="160" w:after="40" w:line="240" w:lineRule="auto"/>
      </w:pPr>
      <w:r>
        <w:rPr>
          <w:b/>
        </w:rPr>
        <w:t xml:space="preserve">[28] </w:t>
      </w:r>
      <w:hyperlink r:id="rId205">
        <w:r>
          <w:rPr>
            <w:color w:val="1155CC"/>
            <w:u w:val="single"/>
          </w:rPr>
          <w:t>HTSE 和微电网的协调控制，以提高容量系数和电网支持</w:t>
        </w:r>
      </w:hyperlink>
    </w:p>
    <w:p>
      <w:pPr>
        <w:spacing w:before="0" w:after="80"/>
      </w:pPr>
      <w:r>
        <w:rPr>
          <w:i/>
          <w:sz w:val="20"/>
        </w:rPr>
        <w:t>EN: Coordinated control of HTSE and microgrid for improved capacity factor and grid support</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165">
        <w:r>
          <w:rPr>
            <w:color w:val="1155CC"/>
            <w:u w:val="single"/>
          </w:rPr>
          <w:t>通过氢整合和政策支持重新思考美国核电的经济性和灵活性</w:t>
        </w:r>
      </w:hyperlink>
    </w:p>
    <w:p>
      <w:pPr>
        <w:spacing w:before="0" w:after="80"/>
      </w:pPr>
      <w:r>
        <w:rPr>
          <w:i/>
          <w:sz w:val="20"/>
        </w:rPr>
        <w:t>EN: Rethinking the economics and flexibility of U.S. nuclear power through hydrogen integration and policy support</w:t>
      </w:r>
    </w:p>
    <w:p>
      <w:pPr>
        <w:spacing w:before="0" w:after="120"/>
      </w:pPr>
      <w:r>
        <w:rPr>
          <w:b/>
        </w:rPr>
        <w:t xml:space="preserve">Source: </w:t>
      </w:r>
      <w:r>
        <w:t>Scientific community and society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核电提供可靠的低碳电力和高温热量，但现有核电站面临着越来越大的压力，需要在可再生能源渗透率不断提高的市场中更灵活地运营。通过高温电解将核反应堆与氢气生产结合起来可能会提高灵活性并创造附加价值，但其经济潜力仍然不确定。在这里，我们表明，将核发电与氢气生产和辅助服务参与相结合可以大大提高核能系统的经济性和运营灵活性。使用与生命周期技术经济分析相关的每小时优化模型，我们发现，在没有政策支持的情况下，通过高温电解改造现有反应堆可将平均净现值从约 10.6 亿美元增加到约 2.4 亿美元，同时将大多数反应堆的灵活输出扩大超过 115 MW。政策激励、成本降低和优化的市场参与进一步增强了核氢系统在降低成本和支持电网可靠性方面的价值。</w:t>
      </w:r>
    </w:p>
    <w:p>
      <w:pPr>
        <w:spacing w:before="0" w:after="200" w:lineRule="auto" w:line="276"/>
      </w:pPr>
      <w:r>
        <w:rPr>
          <w:b/>
        </w:rPr>
        <w:t xml:space="preserve">Abstract (EN): </w:t>
      </w:r>
      <w:r>
        <w:t>Nuclear power supplies reliable low-carbon electricity and high-temperature heat, but existing plants face growing pressure to operate more flexibly in markets with rising renewable penetration. Coupling nuclear reactors with hydrogen production through high-temperature electrolysis may improve flexibility and create additional value, yet its economic potential remains uncertain. Here we show that integrating nuclear generation with hydrogen production and ancillary service participation can substantially improve the economics and operational flexibility of nuclear energy systems. Using an hourly optimization model linked to lifecycle techno-economic analysis, we find that retrofitting existing reactors with high-temperature electrolysis increases average net present value from about -$1.06 billion to about $240 million without policy support, while expanding flexible output by more than 115 MW for most reactors. Policy incentives, cost reductions, and optimized market participation further strengthen the value of nuclear-hydrogen systems for reducing costs and supporting grid reliability.</w:t>
      </w:r>
    </w:p>
    <w:p>
      <w:pPr>
        <w:spacing w:before="120" w:after="120"/>
      </w:pPr>
      <w:r>
        <w:rPr>
          <w:sz w:val="18"/>
        </w:rPr>
        <w:t>——————————————————————————————————————————————————————————————————————</w:t>
      </w:r>
    </w:p>
    <w:p>
      <w:pPr>
        <w:spacing w:before="160" w:after="40" w:line="240" w:lineRule="auto"/>
      </w:pPr>
      <w:r>
        <w:rPr>
          <w:b/>
        </w:rPr>
        <w:t xml:space="preserve">[30] </w:t>
      </w:r>
      <w:hyperlink r:id="rId206">
        <w:r>
          <w:rPr>
            <w:color w:val="1155CC"/>
            <w:u w:val="single"/>
          </w:rPr>
          <w:t>通过 PtTe2 纳米壳提高直接甲醇燃料电池中的铂利用率</w:t>
        </w:r>
      </w:hyperlink>
    </w:p>
    <w:p>
      <w:pPr>
        <w:spacing w:before="0" w:after="80"/>
      </w:pPr>
      <w:r>
        <w:rPr>
          <w:i/>
          <w:sz w:val="20"/>
        </w:rPr>
        <w:t>EN: Boosting Pt Utilization via PtTe2 Nanoshells for Direct Methanol Fuel Cells</w:t>
      </w:r>
    </w:p>
    <w:p>
      <w:pPr>
        <w:spacing w:before="0" w:after="120"/>
      </w:pPr>
      <w:r>
        <w:rPr>
          <w:b/>
        </w:rPr>
        <w:t xml:space="preserve">Source: </w:t>
      </w:r>
      <w:r>
        <w:t>Wiley: Advanced Energy Materials: Table of Contents</w:t>
      </w:r>
      <w:r>
        <w:t xml:space="preserve">    </w:t>
      </w:r>
      <w:r>
        <w:rPr>
          <w:b/>
        </w:rPr>
        <w:t xml:space="preserve">Pub date: </w:t>
      </w:r>
      <w:r>
        <w:t>2026-06-02 07:06:05+00:00</w:t>
      </w:r>
      <w:r>
        <w:t xml:space="preserve">    </w:t>
      </w:r>
      <w:r>
        <w:rPr>
          <w:b/>
        </w:rPr>
        <w:t xml:space="preserve">DOI: </w:t>
      </w:r>
      <w:hyperlink r:id="rId207">
        <w:r>
          <w:rPr>
            <w:color w:val="1155CC"/>
            <w:u w:val="single"/>
          </w:rPr>
          <w:t>10.1002/aenm.71162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提高直接甲醇燃料电池的铂效率是推动甲醇经济可持续发展的关键。其中，超薄 PtTe</w:t>
      </w:r>
      <w:r>
        <w:rPr>
          <w:vertAlign w:val="subscript"/>
        </w:rPr>
        <w:t>2</w:t>
      </w:r>
      <w:r>
        <w:t>在 Te 纳米棒上生长的纳米壳 (Te@PtTe</w:t>
      </w:r>
      <w:r>
        <w:rPr>
          <w:vertAlign w:val="subscript"/>
        </w:rPr>
        <w:t>2</w:t>
      </w:r>
      <w:r>
        <w:t>）被发现对于燃料电池装置中的电化学甲醇能量转换非常有效。这种独特的核壳结构赋予催化剂高活性边缘位点暴露和高铂利用效率，但铂负载量低至 5 wt.%。峰值质量活度约3.4 A mg</w:t>
      </w:r>
      <w:r>
        <w:t xml:space="preserve"> </w:t>
      </w:r>
      <w:r>
        <w:t>铂</w:t>
      </w:r>
      <w:r>
        <w:t xml:space="preserve"> </w:t>
      </w:r>
      <w:r>
        <w:t>−1</w:t>
      </w:r>
      <w:r>
        <w:t xml:space="preserve"> </w:t>
      </w:r>
      <w:r>
        <w:t>分别是商用 Pt/C 和 PtRu/C（均为 20 wt.% Pt）的 16 倍和 6 倍以上。从根本上说，原位光谱研究和理论计算表明 PtTe</w:t>
      </w:r>
      <w:r>
        <w:rPr>
          <w:vertAlign w:val="subscript"/>
        </w:rPr>
        <w:t>2</w:t>
      </w:r>
      <w:r>
        <w:t>壳可以通过很大程度上减少 CO 中毒效应，促进以 HCOOH 作为甲醇氧化中间体的直接途径。实际上，该催化剂的峰值功率密度为 1.5 W mg</w:t>
      </w:r>
      <w:r>
        <w:t xml:space="preserve"> </w:t>
      </w:r>
      <w:r>
        <w:t>铂</w:t>
      </w:r>
      <w:r>
        <w:t xml:space="preserve"> </w:t>
      </w:r>
      <w:r>
        <w:t>−1</w:t>
      </w:r>
      <w:r>
        <w:t xml:space="preserve"> </w:t>
      </w:r>
      <w:r>
        <w:t>，约为 PtRu/C 的 6.0 和 8.8 倍（0.25 W mg</w:t>
      </w:r>
      <w:r>
        <w:t xml:space="preserve"> </w:t>
      </w:r>
      <w:r>
        <w:t>铂</w:t>
      </w:r>
      <w:r>
        <w:t xml:space="preserve"> </w:t>
      </w:r>
      <w:r>
        <w:t>−1</w:t>
      </w:r>
      <w:r>
        <w:t xml:space="preserve"> </w:t>
      </w:r>
      <w:r>
        <w:t>）和 Pt/C（0.17 W 毫克</w:t>
      </w:r>
      <w:r>
        <w:t xml:space="preserve"> </w:t>
      </w:r>
      <w:r>
        <w:t>铂</w:t>
      </w:r>
      <w:r>
        <w:t xml:space="preserve"> </w:t>
      </w:r>
      <w:r>
        <w:t>−1</w:t>
      </w:r>
      <w:r>
        <w:t xml:space="preserve"> </w:t>
      </w:r>
      <w:r>
        <w:t>）分别为基于对应物。这项工作通过增加 Pt 的内在活性和利用率，为具有成本效益的清洁能源转换提供了一个有前途的平台，但成本较低</w:t>
      </w:r>
    </w:p>
    <w:p>
      <w:pPr>
        <w:spacing w:before="0" w:after="200" w:lineRule="auto" w:line="276"/>
      </w:pPr>
      <w:r>
        <w:rPr>
          <w:b/>
        </w:rPr>
        <w:t xml:space="preserve">Abstract (EN): </w:t>
      </w:r>
      <w:r>
        <w:t>Boosting Pt efficiency for direct methanol fuel cells is the key to pushing methanol‐economic sustainable development. Herein, ultrathin PtTe</w:t>
      </w:r>
      <w:r>
        <w:rPr>
          <w:vertAlign w:val="subscript"/>
        </w:rPr>
        <w:t>2</w:t>
      </w:r>
      <w:r>
        <w:t>nanoshells grown on Te nanorods (Te@PtTe</w:t>
      </w:r>
      <w:r>
        <w:rPr>
          <w:vertAlign w:val="subscript"/>
        </w:rPr>
        <w:t>2</w:t>
      </w:r>
      <w:r>
        <w:t>) were found to be highly efficient for electrochemical methanol energy conversion in fuel‐cell devices. This unique core–shell structure imparts the catalyst with high active edge sites exposure and high Pt utilization efficiency, but with low Pt loading of 5 wt.%. The peak mass activity of about 3.4 A mg</w:t>
      </w:r>
      <w:r>
        <w:t xml:space="preserve"> </w:t>
      </w:r>
      <w:r>
        <w:t>Pt</w:t>
      </w:r>
      <w:r>
        <w:t xml:space="preserve"> </w:t>
      </w:r>
      <w:r>
        <w:t>−1</w:t>
      </w:r>
      <w:r>
        <w:t xml:space="preserve"> </w:t>
      </w:r>
      <w:r>
        <w:t>was more than 16 and 6 times that of the commercial Pt/C and PtRu/C (both 20 wt.% Pt). Fundamentally, in situ spectroscopic studies and theoretical calculations reveal that the PtTe</w:t>
      </w:r>
      <w:r>
        <w:rPr>
          <w:vertAlign w:val="subscript"/>
        </w:rPr>
        <w:t>2</w:t>
      </w:r>
      <w:r>
        <w:t>shells can facilitate a predominantly direct pathway with HCOOH as the intermediate for methanol oxidation by reducing the CO poisoning effect largely. Practically, this catalyst achieved a peak power density of 1.5 W mg</w:t>
      </w:r>
      <w:r>
        <w:t xml:space="preserve"> </w:t>
      </w:r>
      <w:r>
        <w:t>Pt</w:t>
      </w:r>
      <w:r>
        <w:t xml:space="preserve"> </w:t>
      </w:r>
      <w:r>
        <w:t>−1</w:t>
      </w:r>
      <w:r>
        <w:t xml:space="preserve"> </w:t>
      </w:r>
      <w:r>
        <w:t>, which is about 6.0 and 8.8 times that of PtRu/C (0.25 W mg</w:t>
      </w:r>
      <w:r>
        <w:t xml:space="preserve"> </w:t>
      </w:r>
      <w:r>
        <w:t>Pt</w:t>
      </w:r>
      <w:r>
        <w:t xml:space="preserve"> </w:t>
      </w:r>
      <w:r>
        <w:t>−1</w:t>
      </w:r>
      <w:r>
        <w:t xml:space="preserve"> </w:t>
      </w:r>
      <w:r>
        <w:t>) and Pt/C (0.17 W mg</w:t>
      </w:r>
      <w:r>
        <w:t xml:space="preserve"> </w:t>
      </w:r>
      <w:r>
        <w:t>Pt</w:t>
      </w:r>
      <w:r>
        <w:t xml:space="preserve"> </w:t>
      </w:r>
      <w:r>
        <w:t>−1</w:t>
      </w:r>
      <w:r>
        <w:t xml:space="preserve"> </w:t>
      </w:r>
      <w:r>
        <w:t>)‐based counterparts, respectively. The work offers a promising platform for cost‐effective clean energy conversion by increasing the Pt intrinsic activity and utilization, but with low Pt loading.</w:t>
      </w:r>
    </w:p>
    <w:p>
      <w:pPr>
        <w:spacing w:before="120" w:after="120"/>
      </w:pPr>
      <w:r>
        <w:rPr>
          <w:sz w:val="18"/>
        </w:rPr>
        <w:t>——————————————————————————————————————————————————————————————————————</w:t>
      </w:r>
    </w:p>
    <w:p>
      <w:pPr>
        <w:spacing w:before="160" w:after="40" w:line="240" w:lineRule="auto"/>
      </w:pPr>
      <w:r>
        <w:rPr>
          <w:b/>
        </w:rPr>
        <w:t xml:space="preserve">[31] </w:t>
      </w:r>
      <w:hyperlink r:id="rId208">
        <w:r>
          <w:rPr>
            <w:color w:val="1155CC"/>
            <w:u w:val="single"/>
          </w:rPr>
          <w:t>钙钛矿空气电极中的双掺杂诱导协同功能可实现可逆质子陶瓷电池的性能和耐用性平衡</w:t>
        </w:r>
      </w:hyperlink>
    </w:p>
    <w:p>
      <w:pPr>
        <w:spacing w:before="0" w:after="80"/>
      </w:pPr>
      <w:r>
        <w:rPr>
          <w:i/>
          <w:sz w:val="20"/>
        </w:rPr>
        <w:t>EN: Dual‐Doping Induced Synergistic Functionality in a Perovskite Air Electrode for Balanced Performance and Durability in Reversible Protonic Ceramic Cells</w:t>
      </w:r>
    </w:p>
    <w:p>
      <w:pPr>
        <w:spacing w:before="0" w:after="120"/>
      </w:pPr>
      <w:r>
        <w:rPr>
          <w:b/>
        </w:rPr>
        <w:t xml:space="preserve">Source: </w:t>
      </w:r>
      <w:r>
        <w:t>Wiley: Advanced Energy Materials: Table of Contents</w:t>
      </w:r>
      <w:r>
        <w:t xml:space="preserve">    </w:t>
      </w:r>
      <w:r>
        <w:rPr>
          <w:b/>
        </w:rPr>
        <w:t xml:space="preserve">Pub date: </w:t>
      </w:r>
      <w:r>
        <w:t>2026-06-02 07:09:14+00:00</w:t>
      </w:r>
      <w:r>
        <w:t xml:space="preserve">    </w:t>
      </w:r>
      <w:r>
        <w:rPr>
          <w:b/>
        </w:rPr>
        <w:t xml:space="preserve">DOI: </w:t>
      </w:r>
      <w:hyperlink r:id="rId209">
        <w:r>
          <w:rPr>
            <w:color w:val="1155CC"/>
            <w:u w:val="single"/>
          </w:rPr>
          <w:t>10.1002/aenm.71157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用于可逆质子陶瓷电池（RPCC）的高性能空气电极的开发受到电催化活性和运行稳定性之间固有的权衡的限制。为了应对这一挑战，采用双掺杂策略将 Ti 和 Nb 掺杂到 PrBaCo 中</w:t>
      </w:r>
      <w:r>
        <w:rPr>
          <w:vertAlign w:val="subscript"/>
        </w:rPr>
        <w:t>2</w:t>
      </w:r>
      <w:r>
        <w:t>氧</w:t>
      </w:r>
      <w:r>
        <w:t xml:space="preserve"> </w:t>
      </w:r>
      <w:r>
        <w:t>5+δ</w:t>
      </w:r>
      <w:r>
        <w:t xml:space="preserve"> </w:t>
      </w:r>
      <w:r>
        <w:t>，产生了一种新型的三重导电（H</w:t>
      </w:r>
      <w:r>
        <w:t xml:space="preserve"> </w:t>
      </w:r>
      <w:r>
        <w:t>+</w:t>
      </w:r>
      <w:r>
        <w:t xml:space="preserve"> </w:t>
      </w:r>
      <w:r>
        <w:t>/O</w:t>
      </w:r>
      <w:r>
        <w:t xml:space="preserve"> </w:t>
      </w:r>
      <w:r>
        <w:t>2−</w:t>
      </w:r>
      <w:r>
        <w:t>/e</w:t>
      </w:r>
      <w:r>
        <w:t xml:space="preserve"> </w:t>
      </w:r>
      <w:r>
        <w:t>-</w:t>
      </w:r>
      <w:r>
        <w:t>）钙钛矿空气电极，PrBaCo</w:t>
      </w:r>
      <w:r>
        <w:t xml:space="preserve"> </w:t>
      </w:r>
      <w:r>
        <w:t>1.8</w:t>
      </w:r>
      <w:r>
        <w:t xml:space="preserve"> </w:t>
      </w:r>
      <w:r>
        <w:t>钛</w:t>
      </w:r>
      <w:r>
        <w:t xml:space="preserve"> </w:t>
      </w:r>
      <w:r>
        <w:t>0.1</w:t>
      </w:r>
      <w:r>
        <w:t xml:space="preserve"> </w:t>
      </w:r>
      <w:r>
        <w:t>铌</w:t>
      </w:r>
      <w:r>
        <w:t xml:space="preserve"> </w:t>
      </w:r>
      <w:r>
        <w:t>0.1</w:t>
      </w:r>
      <w:r>
        <w:t xml:space="preserve"> </w:t>
      </w:r>
      <w:r>
        <w:t>氧</w:t>
      </w:r>
      <w:r>
        <w:t xml:space="preserve"> </w:t>
      </w:r>
      <w:r>
        <w:t>5+δ</w:t>
      </w:r>
      <w:r>
        <w:t xml:space="preserve"> </w:t>
      </w:r>
      <w:r>
        <w:t>（PBCTN）。综合表征研究表明，PBCTN氧化物在高温高湿环境下表现出出色的稳定性，极化电阻低至0.06 Ω cm</w:t>
      </w:r>
      <w:r>
        <w:rPr>
          <w:vertAlign w:val="subscript"/>
        </w:rPr>
        <w:t>2</w:t>
      </w:r>
      <w:r>
        <w:t>在700°C。密度泛函理论计算表明，优化的水合能、更有利的O 2p 带中心和加速的表面反应增强了氧还原和析出动力学。通过这种设计，带有 PBCTN 空气电极的 RPCC 实现了 1.12 W cm 的峰值功率密度</w:t>
      </w:r>
      <w:r>
        <w:t xml:space="preserve"> </w:t>
      </w:r>
      <w:r>
        <w:t>−2</w:t>
      </w:r>
      <w:r>
        <w:t xml:space="preserve"> </w:t>
      </w:r>
      <w:r>
        <w:t>燃料电池模式下 700°C，电流密度为 3.1 A cm</w:t>
      </w:r>
      <w:r>
        <w:t xml:space="preserve"> </w:t>
      </w:r>
      <w:r>
        <w:t>−2</w:t>
      </w:r>
      <w:r>
        <w:t xml:space="preserve"> </w:t>
      </w:r>
      <w:r>
        <w:t>在 1.3 V 电解模式下，以及稳定的操作</w:t>
      </w:r>
    </w:p>
    <w:p>
      <w:pPr>
        <w:spacing w:before="0" w:after="200" w:lineRule="auto" w:line="276"/>
      </w:pPr>
      <w:r>
        <w:rPr>
          <w:b/>
        </w:rPr>
        <w:t xml:space="preserve">Abstract (EN): </w:t>
      </w:r>
      <w:r>
        <w:t>The development of high‐performance air electrodes for reversible protonic ceramic cells (RPCCs) is constrained by the inherent trade‐off between electrocatalytic activity and operational stability. To address this challenge, a dual‐doping strategy was employed to dop Ti and Nb into PrBaCo</w:t>
      </w:r>
      <w:r>
        <w:rPr>
          <w:vertAlign w:val="subscript"/>
        </w:rPr>
        <w:t>2</w:t>
      </w:r>
      <w:r>
        <w:t>O</w:t>
      </w:r>
      <w:r>
        <w:t xml:space="preserve"> </w:t>
      </w:r>
      <w:r>
        <w:t>5+δ</w:t>
      </w:r>
      <w:r>
        <w:t xml:space="preserve"> </w:t>
      </w:r>
      <w:r>
        <w:t>, resulting in a novel triple‐conducting (H</w:t>
      </w:r>
      <w:r>
        <w:t xml:space="preserve"> </w:t>
      </w:r>
      <w:r>
        <w:t>+</w:t>
      </w:r>
      <w:r>
        <w:t xml:space="preserve"> </w:t>
      </w:r>
      <w:r>
        <w:t>/O</w:t>
      </w:r>
      <w:r>
        <w:t xml:space="preserve"> </w:t>
      </w:r>
      <w:r>
        <w:t>2−</w:t>
      </w:r>
      <w:r>
        <w:t>/e</w:t>
      </w:r>
      <w:r>
        <w:t xml:space="preserve"> </w:t>
      </w:r>
      <w:r>
        <w:t>−</w:t>
      </w:r>
      <w:r>
        <w:t>) perovskite air electrode, PrBaCo</w:t>
      </w:r>
      <w:r>
        <w:t xml:space="preserve"> </w:t>
      </w:r>
      <w:r>
        <w:t>1.8</w:t>
      </w:r>
      <w:r>
        <w:t xml:space="preserve"> </w:t>
      </w:r>
      <w:r>
        <w:t>Ti</w:t>
      </w:r>
      <w:r>
        <w:t xml:space="preserve"> </w:t>
      </w:r>
      <w:r>
        <w:t>0.1</w:t>
      </w:r>
      <w:r>
        <w:t xml:space="preserve"> </w:t>
      </w:r>
      <w:r>
        <w:t>Nb</w:t>
      </w:r>
      <w:r>
        <w:t xml:space="preserve"> </w:t>
      </w:r>
      <w:r>
        <w:t>0.1</w:t>
      </w:r>
      <w:r>
        <w:t xml:space="preserve"> </w:t>
      </w:r>
      <w:r>
        <w:t>O</w:t>
      </w:r>
      <w:r>
        <w:t xml:space="preserve"> </w:t>
      </w:r>
      <w:r>
        <w:t>5+δ</w:t>
      </w:r>
      <w:r>
        <w:t xml:space="preserve"> </w:t>
      </w:r>
      <w:r>
        <w:t>(PBCTN). The comprehensive characterization study demonstrates that the PBCTN oxide exhibits outstanding stability under high‐temperature and high‐humidity environments and show a polarization resistance as low as 0.06 Ω cm</w:t>
      </w:r>
      <w:r>
        <w:rPr>
          <w:vertAlign w:val="subscript"/>
        </w:rPr>
        <w:t>2</w:t>
      </w:r>
      <w:r>
        <w:t>at 700°C. Density functional theory calculations reveal that optimized hydration energy, a more favorable O 2p band center, and accelerated surface reactions enhance the oxygen reduction and evolution kinetics. Through this design, the RPCC with the PBCTN air electrode achieves a peak power density of 1.12 W cm</w:t>
      </w:r>
      <w:r>
        <w:t xml:space="preserve"> </w:t>
      </w:r>
      <w:r>
        <w:t>−2</w:t>
      </w:r>
      <w:r>
        <w:t xml:space="preserve"> </w:t>
      </w:r>
      <w:r>
        <w:t>at 700°C in fuel cell mode and a current density of 3.1 A cm</w:t>
      </w:r>
      <w:r>
        <w:t xml:space="preserve"> </w:t>
      </w:r>
      <w:r>
        <w:t>−2</w:t>
      </w:r>
      <w:r>
        <w:t xml:space="preserve"> </w:t>
      </w:r>
      <w:r>
        <w:t>at 1.3 V in electrolysis mode, along with stable operation for over 380 h. This work provides insights into concurrently enhancing both activity and stability in electrocatalysts for advanced energy conversion technologies.</w:t>
      </w:r>
    </w:p>
    <w:p>
      <w:pPr>
        <w:spacing w:before="120" w:after="120"/>
      </w:pPr>
      <w:r>
        <w:rPr>
          <w:sz w:val="18"/>
        </w:rPr>
        <w:t>——————————————————————————————————————————————————————————————————————</w:t>
      </w:r>
    </w:p>
    <w:p>
      <w:pPr>
        <w:spacing w:before="160" w:after="40" w:line="240" w:lineRule="auto"/>
      </w:pPr>
      <w:r>
        <w:rPr>
          <w:b/>
        </w:rPr>
        <w:t xml:space="preserve">[32] </w:t>
      </w:r>
      <w:hyperlink r:id="rId210">
        <w:r>
          <w:rPr>
            <w:color w:val="1155CC"/>
            <w:u w:val="single"/>
          </w:rPr>
          <w:t>利用食物垃圾生产可持续航空燃料的循环水热精炼厂</w:t>
        </w:r>
      </w:hyperlink>
    </w:p>
    <w:p>
      <w:pPr>
        <w:spacing w:before="0" w:after="80"/>
      </w:pPr>
      <w:r>
        <w:rPr>
          <w:i/>
          <w:sz w:val="20"/>
        </w:rPr>
        <w:t>EN: A circular hydrothermal refinery for sustainable aviation fuel from food waste</w:t>
      </w:r>
    </w:p>
    <w:p>
      <w:pPr>
        <w:spacing w:before="0" w:after="120"/>
      </w:pPr>
      <w:r>
        <w:rPr>
          <w:b/>
        </w:rPr>
        <w:t xml:space="preserve">Source: </w:t>
      </w:r>
      <w:r>
        <w:t>Nature Sustainability</w:t>
      </w:r>
      <w:r>
        <w:t xml:space="preserve">    </w:t>
      </w:r>
      <w:r>
        <w:rPr>
          <w:b/>
        </w:rPr>
        <w:t xml:space="preserve">Pub date: </w:t>
      </w:r>
      <w:r>
        <w:t>2026-06-03 00:00:00+00:00</w:t>
      </w:r>
      <w:r>
        <w:t xml:space="preserve">    </w:t>
      </w:r>
      <w:r>
        <w:rPr>
          <w:b/>
        </w:rPr>
        <w:t xml:space="preserve">DOI: </w:t>
      </w:r>
      <w:hyperlink r:id="rId211">
        <w:r>
          <w:rPr>
            <w:color w:val="1155CC"/>
            <w:u w:val="single"/>
          </w:rPr>
          <w:t>10.1038/s41893-026-01848-1</w:t>
        </w:r>
      </w:hyperlink>
    </w:p>
    <w:p>
      <w:pPr>
        <w:spacing w:before="0" w:after="120"/>
      </w:pPr>
      <w:r>
        <w:rPr>
          <w:b/>
        </w:rPr>
        <w:t xml:space="preserve">Notes: </w:t>
      </w:r>
      <w:r>
        <w:t>abstract_source=nature_html</w:t>
      </w:r>
    </w:p>
    <w:p>
      <w:pPr>
        <w:spacing w:before="0" w:after="80" w:lineRule="auto" w:line="276"/>
      </w:pPr>
      <w:r>
        <w:rPr>
          <w:b/>
        </w:rPr>
        <w:t xml:space="preserve">摘要（ZH）: </w:t>
      </w:r>
      <w:r>
        <w:t>航空业面临着向碳中和飞行过渡而又不影响喷气发动机严格性能标准的艰巨挑战。虽然湿废物的水热液化（HTL）为可持续航空燃料（SAF）生产提供了一条变革途径，但其潜力仍然受到生物原油质量和水相（HTL-AP）环境负担的阻碍。在这里，我们提出了一个综合水热精炼厂，通过 HTL、催化升级和 HTL-AP 增值的闭环过程，将食物垃圾转化为高性能 SAF 候选物。我们的精炼燃料主要由环烷烃 (70.5 wt%) 组成，与传统的 Jet A 相比，具有更高的热值和更低的凝固点。至关重要的是，与酒精到喷射或加氢处理酯和脂肪酸 (HEFA) 途径不同，这种 HTL 衍生的 SAF 作为无需混合的 100% 直接使用燃料，满足闪点和粘度限制。我们通过采用部分电氧化和电渗析来进一步解决“废物”瓶颈，从 HTL-AP 中回收高纯度乙酸（有机物的 91.6%）和营养物（&gt;76.9%），同时产生足够的氢气来维持生物原油加氢处理阶段。技术经济和生命周期分析表明，虽然电力成本目前影响最低燃料销售价格，但可再生能源和优化电化学回收的整合可以实现市场竞争力（3.82 美元 GGE−1）和净负碳足迹（−8.5 kg CO2e GGE−1）。这些发现建立了一个循环的碳n</w:t>
      </w:r>
    </w:p>
    <w:p>
      <w:pPr>
        <w:spacing w:before="0" w:after="200" w:lineRule="auto" w:line="276"/>
      </w:pPr>
      <w:r>
        <w:rPr>
          <w:b/>
        </w:rPr>
        <w:t xml:space="preserve">Abstract (EN): </w:t>
      </w:r>
      <w:r>
        <w:t>The aviation industry faces a formidable challenge in transitioning to carbon-neutral flight without compromising the rigorous performance standards of jet engines. While hydrothermal liquefaction (HTL) of wet waste offers a transformative pathway for sustainable aviation fuel (SAF) production, its potential remains hindered by biocrude quality and the environmental burden of the aqueous phase (HTL-AP). Here we present an integrated hydrothermal refinery that converts food waste into a high-performance SAF candidate through a closed-loop process of HTL, catalytic upgrading and HTL-AP valorization. Our refined fuel—composed predominantly of cycloalkanes (70.5 wt%)—exhibits a higher heating value and lower freezing point than conventional Jet A. Critically, unlike alcohol-to-jet or hydrotreating esters and fatty acids (HEFA) pathways, this HTL-derived SAF meets flash point and viscosity constraints as a 100% drop-in fuel without blending. We further address the ‘waste’ bottleneck by employing partial electrooxidation and electrodialysis to recover high-purity acetic acid (91.6% of organics) and nutrients (&gt;76.9%) from the HTL-AP, while simultaneously generating sufficient hydrogen to sustain the biocrude hydrotreating stage. Techno-economic and life-cycle analyses reveal that while electricity costs currently influence the minimum fuel selling price, the integration of renewable energy and optimized electrochemical recovery can achieve market competitiveness (US$3.82 GGE−1) and a net-negative carbon footprint (−8.5 kg CO2e GGE−1). These findings establish a circular, carbon-negative framework for transforming urban organic waste into high-density aviation energy.</w:t>
      </w:r>
    </w:p>
    <w:p>
      <w:pPr>
        <w:spacing w:before="120" w:after="120"/>
      </w:pPr>
      <w:r>
        <w:rPr>
          <w:sz w:val="18"/>
        </w:rPr>
        <w:t>——————————————————————————————————————————————————————————————————————</w:t>
      </w:r>
    </w:p>
    <w:p>
      <w:pPr>
        <w:spacing w:before="160" w:after="40" w:line="240" w:lineRule="auto"/>
      </w:pPr>
      <w:r>
        <w:rPr>
          <w:b/>
        </w:rPr>
        <w:t xml:space="preserve">[33] </w:t>
      </w:r>
      <w:hyperlink r:id="rId212">
        <w:r>
          <w:rPr>
            <w:color w:val="1155CC"/>
            <w:u w:val="single"/>
          </w:rPr>
          <w:t>考虑频率储备市场中生产调度和电解槽灵活性的氢加热钢厂部门耦合联合优化</w:t>
        </w:r>
      </w:hyperlink>
    </w:p>
    <w:p>
      <w:pPr>
        <w:spacing w:before="0" w:after="80"/>
      </w:pPr>
      <w:r>
        <w:rPr>
          <w:i/>
          <w:sz w:val="20"/>
        </w:rPr>
        <w:t>EN: Sector-coupled co-optimization for hydrogen-heated steel plants considering production scheduling and electrolyzer flexibility in frequency reserve market</w:t>
      </w:r>
    </w:p>
    <w:p>
      <w:pPr>
        <w:spacing w:before="0" w:after="120"/>
      </w:pPr>
      <w:r>
        <w:rPr>
          <w:b/>
        </w:rPr>
        <w:t xml:space="preserve">Source: </w:t>
      </w:r>
      <w:r>
        <w:t>ScienceDirect Publication: Applied Energy</w:t>
      </w:r>
      <w:r>
        <w:t xml:space="preserve">    </w:t>
      </w:r>
      <w:r>
        <w:rPr>
          <w:b/>
        </w:rPr>
        <w:t xml:space="preserve">Pub date: </w:t>
      </w:r>
      <w:r>
        <w:t>2026-06-03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213">
        <w:r>
          <w:rPr>
            <w:color w:val="1155CC"/>
            <w:u w:val="single"/>
          </w:rPr>
          <w:t>用于高效 CO 至乙醇电合成的正交中继系统</w:t>
        </w:r>
      </w:hyperlink>
    </w:p>
    <w:p>
      <w:pPr>
        <w:spacing w:before="0" w:after="80"/>
      </w:pPr>
      <w:r>
        <w:rPr>
          <w:i/>
          <w:sz w:val="20"/>
        </w:rPr>
        <w:t>EN: Orthogonal relay system for efficient CO-to-ethanol electrosynthesis</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从一氧化碳 (CO) 电合成乙醇有可能提供低碳强度燃料和平台化学品。然而，由于竞争产品（尤其是乙烯）的主要产生，工艺性能受到低选择性的影响。在这里，我们展示了一种正交中继催化机制，可以降低氢化能垒，同时抑制碳氧（C−O）裂解。铅原子掺杂可通过电子方式调节铜 (Cu) 催化剂，降低关键中间体 *CH2COH 的氢化势垒，从而使乙醇的形成成为可能。界面离聚物-催化剂异质结 (IICH) 产生部分去溶剂化的铯 (Cs+) 阳离子，选择性稳定 *CH2COH 中的 CO 键，从而选择性地形成乙醇。这种机械增强使得流通池中 CO 转化为乙醇的法拉第效率达到 71.5%。我们展示了一种膜电极组件 (MEA) 电解槽，可实现具有竞争力的乙醇生产：28.1% 的能源效率和 300 小时的稳定运行。 100 cm2 的规模化运行可提供 15 A 的总电流和 39.8 mmol h−1 的乙醇生产率，表明其实际应用的潜力。</w:t>
      </w:r>
    </w:p>
    <w:p>
      <w:pPr>
        <w:spacing w:before="0" w:after="200" w:lineRule="auto" w:line="276"/>
      </w:pPr>
      <w:r>
        <w:rPr>
          <w:b/>
        </w:rPr>
        <w:t xml:space="preserve">Abstract (EN): </w:t>
      </w:r>
      <w:r>
        <w:t>The electrosynthesis of ethanol from carbon monoxide (CO) can potentially provide low-carbon-intensity fuels and platform chemicals. However, the process performance is compromised by low selectivity, due to the predominant generation of competing products, especially ethylene. Here, we show an orthogonal relay catalysis mechanism that lowers the hydrogenation energy barrier while suppressing carbon-oxygen (C−O) cleavage. Atomic doping with lead electronically tunes the copper (Cu) catalyst to lower the hydrogenation barrier of the key intermediate *CH2COH, making ethanol formation feasible. An interfacial ionomer-catalyst heterojunction (IICH) creates partially desolvated cesium (Cs⁺) cations that selectively stabilize the C−O bond in *CH2COH, making ethanol formation selective. This mechanistic enhancement enables a 71.5% CO-to-ethanol Faradaic efficiency in flow cell. We demonstrate a membrane electrode assembly (MEA) electrolyzer achieving competitive ethanol production: 28.1% energy efficiency and 300 hours of stable operation. Scaled operation at 100 cm2 delivers a total current of 15 A with 39.8 mmol h−1 ethanol productivity, suggesting its potential for practical applications.</w:t>
      </w:r>
    </w:p>
    <w:p>
      <w:pPr>
        <w:spacing w:before="120" w:after="120"/>
      </w:pPr>
      <w:r>
        <w:rPr>
          <w:sz w:val="18"/>
        </w:rPr>
        <w:t>——————————————————————————————————————————————————————————————————————</w:t>
      </w:r>
    </w:p>
    <w:p>
      <w:pPr>
        <w:spacing w:before="160" w:after="40" w:line="240" w:lineRule="auto"/>
      </w:pPr>
      <w:r>
        <w:rPr>
          <w:b/>
        </w:rPr>
        <w:t xml:space="preserve">[35] </w:t>
      </w:r>
      <w:hyperlink r:id="rId214">
        <w:r>
          <w:rPr>
            <w:color w:val="1155CC"/>
            <w:u w:val="single"/>
          </w:rPr>
          <w:t>通过阴离子交换膜水电解的氢氧化物表面工程加速层状双钙钛矿中的析氧动力学</w:t>
        </w:r>
      </w:hyperlink>
    </w:p>
    <w:p>
      <w:pPr>
        <w:spacing w:before="0" w:after="80"/>
      </w:pPr>
      <w:r>
        <w:rPr>
          <w:i/>
          <w:sz w:val="20"/>
        </w:rPr>
        <w:t>EN: Accelerated Oxygen Evolution Kinetics in Layered Double Perovskites via Hydroxide Surface Engineering for Anion Exchange Membrane Water Electrolysis</w:t>
      </w:r>
    </w:p>
    <w:p>
      <w:pPr>
        <w:spacing w:before="0" w:after="120"/>
      </w:pPr>
      <w:r>
        <w:rPr>
          <w:b/>
        </w:rPr>
        <w:t xml:space="preserve">Source: </w:t>
      </w:r>
      <w:r>
        <w:t>Wiley: Advanced Energy Materials: Table of Contents</w:t>
      </w:r>
      <w:r>
        <w:t xml:space="preserve">    </w:t>
      </w:r>
      <w:r>
        <w:rPr>
          <w:b/>
        </w:rPr>
        <w:t xml:space="preserve">Pub date: </w:t>
      </w:r>
      <w:r>
        <w:t>2026-06-03 05:31:27+00:00</w:t>
      </w:r>
      <w:r>
        <w:t xml:space="preserve">    </w:t>
      </w:r>
      <w:r>
        <w:rPr>
          <w:b/>
        </w:rPr>
        <w:t xml:space="preserve">DOI: </w:t>
      </w:r>
      <w:hyperlink r:id="rId215">
        <w:r>
          <w:rPr>
            <w:color w:val="1155CC"/>
            <w:u w:val="single"/>
          </w:rPr>
          <w:t>10.1002/aenm.71133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通过阴离子交换膜水电解（AEMWE）系统进行电化学水分解，为将可再生能源转化为氢气提供了一条可持续的途径。然而，最先进的 AEMWE 阳极材料的四电子析氧反应 (OER) 动力学缓慢，阻碍了 AEMWE 系统的实际可行性。在此，NiFe(OH)</w:t>
      </w:r>
      <w:r>
        <w:t xml:space="preserve"> </w:t>
      </w:r>
      <w:r>
        <w:t>x</w:t>
      </w:r>
      <w:r>
        <w:t xml:space="preserve"> </w:t>
      </w:r>
      <w:r>
        <w:t>/PrBa</w:t>
      </w:r>
      <w:r>
        <w:t xml:space="preserve"> </w:t>
      </w:r>
      <w:r>
        <w:t>0.5</w:t>
      </w:r>
      <w:r>
        <w:t xml:space="preserve"> </w:t>
      </w:r>
      <w:r>
        <w:t>锶</w:t>
      </w:r>
      <w:r>
        <w:t xml:space="preserve"> </w:t>
      </w:r>
      <w:r>
        <w:t>0.5</w:t>
      </w:r>
      <w:r>
        <w:t xml:space="preserve"> </w:t>
      </w:r>
      <w:r>
        <w:t>钴</w:t>
      </w:r>
      <w:r>
        <w:t xml:space="preserve"> </w:t>
      </w:r>
      <w:r>
        <w:t>1.5</w:t>
      </w:r>
      <w:r>
        <w:t xml:space="preserve"> </w:t>
      </w:r>
      <w:r>
        <w:t>铁</w:t>
      </w:r>
      <w:r>
        <w:t xml:space="preserve"> </w:t>
      </w:r>
      <w:r>
        <w:t>0.5</w:t>
      </w:r>
      <w:r>
        <w:t xml:space="preserve"> </w:t>
      </w:r>
      <w:r>
        <w:t>氧</w:t>
      </w:r>
      <w:r>
        <w:t xml:space="preserve"> </w:t>
      </w:r>
      <w:r>
        <w:t>5+</w:t>
      </w:r>
      <w:r>
        <w:t xml:space="preserve"> </w:t>
      </w:r>
      <w:r>
        <w:t>δ</w:t>
      </w:r>
      <w:r>
        <w:t xml:space="preserve"> </w:t>
      </w:r>
      <w:r>
        <w:t>(PBSCF) 层状双钙钛矿异质结构是通过可扩展的共形表面工程工艺构建的，并作为 AEMWE 系统的 OER 电催化剂进行研究。结合实验和理论分析表明 NiFe(OH) 之间存在强界面相互作用</w:t>
      </w:r>
      <w:r>
        <w:t xml:space="preserve"> </w:t>
      </w:r>
      <w:r>
        <w:t>x</w:t>
      </w:r>
      <w:r>
        <w:t xml:space="preserve"> </w:t>
      </w:r>
      <w:r>
        <w:t>层和 PBSCF 钙钛矿促进有效的电子转移，从而解释了表面工程 NiFe(OH) 的增强的 OER 活性</w:t>
      </w:r>
      <w:r>
        <w:t xml:space="preserve"> </w:t>
      </w:r>
      <w:r>
        <w:t>x</w:t>
      </w:r>
      <w:r>
        <w:t xml:space="preserve"> </w:t>
      </w:r>
      <w:r>
        <w:t>/PBSCF。此外，构建动态鲁棒的 NiFe(OH)</w:t>
      </w:r>
      <w:r>
        <w:t xml:space="preserve"> </w:t>
      </w:r>
      <w:r>
        <w:t>x</w:t>
      </w:r>
      <w:r>
        <w:t xml:space="preserve"> </w:t>
      </w:r>
      <w:r>
        <w:t>OER 操作下，界面通过平衡阳离子溶解和再沉积来抑制 PBSCF 中的非晶化和并发沉淀。值得注意的是，AEMWE 系统与单元配置</w:t>
      </w:r>
    </w:p>
    <w:p>
      <w:pPr>
        <w:spacing w:before="0" w:after="200" w:lineRule="auto" w:line="276"/>
      </w:pPr>
      <w:r>
        <w:rPr>
          <w:b/>
        </w:rPr>
        <w:t xml:space="preserve">Abstract (EN): </w:t>
      </w:r>
      <w:r>
        <w:t>Electrochemical water splitting via anion exchange membrane water electrolysis (AEMWE) system offers a sustainable route for converting renewable energy sources into hydrogen. Nevertheless, the practical viability of the AEMWE system is hampered by the sluggish four‐electron oxygen evolution reaction (OER) kinetics of state‐of‐the‐art AEMWE anode materials. Herein, a NiFe(OH)</w:t>
      </w:r>
      <w:r>
        <w:t xml:space="preserve"> </w:t>
      </w:r>
      <w:r>
        <w:t>x</w:t>
      </w:r>
      <w:r>
        <w:t xml:space="preserve"> </w:t>
      </w:r>
      <w:r>
        <w:t>/PrBa</w:t>
      </w:r>
      <w:r>
        <w:t xml:space="preserve"> </w:t>
      </w:r>
      <w:r>
        <w:t>0.5</w:t>
      </w:r>
      <w:r>
        <w:t xml:space="preserve"> </w:t>
      </w:r>
      <w:r>
        <w:t>Sr</w:t>
      </w:r>
      <w:r>
        <w:t xml:space="preserve"> </w:t>
      </w:r>
      <w:r>
        <w:t>0.5</w:t>
      </w:r>
      <w:r>
        <w:t xml:space="preserve"> </w:t>
      </w:r>
      <w:r>
        <w:t>Co</w:t>
      </w:r>
      <w:r>
        <w:t xml:space="preserve"> </w:t>
      </w:r>
      <w:r>
        <w:t>1.5</w:t>
      </w:r>
      <w:r>
        <w:t xml:space="preserve"> </w:t>
      </w:r>
      <w:r>
        <w:t>Fe</w:t>
      </w:r>
      <w:r>
        <w:t xml:space="preserve"> </w:t>
      </w:r>
      <w:r>
        <w:t>0.5</w:t>
      </w:r>
      <w:r>
        <w:t xml:space="preserve"> </w:t>
      </w:r>
      <w:r>
        <w:t>O</w:t>
      </w:r>
      <w:r>
        <w:t xml:space="preserve"> </w:t>
      </w:r>
      <w:r>
        <w:t>5+</w:t>
      </w:r>
      <w:r>
        <w:t xml:space="preserve"> </w:t>
      </w:r>
      <w:r>
        <w:t>δ</w:t>
      </w:r>
      <w:r>
        <w:t xml:space="preserve"> </w:t>
      </w:r>
      <w:r>
        <w:t>(PBSCF) layered double perovskite heterostructure is constructed via a scalable and conformal surface engineering process and is investigated as OER electrocatalyst for AEMWE system. Combined experimental and theoretical analyses reveal that strong interfacial interactions between the NiFe(OH)</w:t>
      </w:r>
      <w:r>
        <w:t xml:space="preserve"> </w:t>
      </w:r>
      <w:r>
        <w:t>x</w:t>
      </w:r>
      <w:r>
        <w:t xml:space="preserve"> </w:t>
      </w:r>
      <w:r>
        <w:t>layer and the PBSCF perovskite facilitate efficient electron transfer, thereby accounting for the enhanced OER activity of surface engineered NiFe(OH)</w:t>
      </w:r>
      <w:r>
        <w:t xml:space="preserve"> </w:t>
      </w:r>
      <w:r>
        <w:t>x</w:t>
      </w:r>
      <w:r>
        <w:t xml:space="preserve"> </w:t>
      </w:r>
      <w:r>
        <w:t>/PBSCF. Furthermore, the construction of a dynamically robust NiFe(OH)</w:t>
      </w:r>
      <w:r>
        <w:t xml:space="preserve"> </w:t>
      </w:r>
      <w:r>
        <w:t>x</w:t>
      </w:r>
      <w:r>
        <w:t xml:space="preserve"> </w:t>
      </w:r>
      <w:r>
        <w:t>interface inhibits amorphization and concurrent precipitation in PBSCF by balancing cation dissolution and re‐deposition under OER operation. Notably, the AEMWE system with the cell configuration of NiFe(OH)</w:t>
      </w:r>
      <w:r>
        <w:t xml:space="preserve"> </w:t>
      </w:r>
      <w:r>
        <w:t>x</w:t>
      </w:r>
      <w:r>
        <w:t xml:space="preserve"> </w:t>
      </w:r>
      <w:r>
        <w:t>/PBSCF (Anode)|AEM|Pt/C (Cathode) demonstrates an exceptional current density (2.66 A cm</w:t>
      </w:r>
      <w:r>
        <w:t xml:space="preserve"> </w:t>
      </w:r>
      <w:r>
        <w:t>−2</w:t>
      </w:r>
      <w:r>
        <w:t xml:space="preserve"> </w:t>
      </w:r>
      <w:r>
        <w:t>at 2.0 V</w:t>
      </w:r>
      <w:r>
        <w:t xml:space="preserve"> </w:t>
      </w:r>
      <w:r>
        <w:t>cell</w:t>
      </w:r>
      <w:r>
        <w:t xml:space="preserve"> </w:t>
      </w:r>
      <w:r>
        <w:t>) along with outstanding stability for 1,000 h at a practical current density of 1.0 A cm</w:t>
      </w:r>
      <w:r>
        <w:t xml:space="preserve"> </w:t>
      </w:r>
      <w:r>
        <w:t>−2</w:t>
      </w:r>
      <w:r>
        <w:t xml:space="preserve"> </w:t>
      </w:r>
      <w:r>
        <w:t>. This work provides a useful design strategy for developing durable and efficient OER electrocatalysts for AEMWE and related electrochemical energy systems.</w:t>
      </w:r>
    </w:p>
    <w:p>
      <w:pPr>
        <w:spacing w:before="120" w:after="120"/>
      </w:pPr>
      <w:r>
        <w:rPr>
          <w:sz w:val="18"/>
        </w:rPr>
        <w:t>——————————————————————————————————————————————————————————————————————</w:t>
      </w:r>
    </w:p>
    <w:p>
      <w:pPr>
        <w:spacing w:before="160" w:after="40" w:line="240" w:lineRule="auto"/>
      </w:pPr>
      <w:r>
        <w:rPr>
          <w:b/>
        </w:rPr>
        <w:t xml:space="preserve">[36] </w:t>
      </w:r>
      <w:hyperlink r:id="rId216">
        <w:r>
          <w:rPr>
            <w:color w:val="1155CC"/>
            <w:u w:val="single"/>
          </w:rPr>
          <w:t>用于利用大气水分高效便携式太阳能制氢的分层 Janus 凝胶</w:t>
        </w:r>
      </w:hyperlink>
    </w:p>
    <w:p>
      <w:pPr>
        <w:spacing w:before="0" w:after="80"/>
      </w:pPr>
      <w:r>
        <w:rPr>
          <w:i/>
          <w:sz w:val="20"/>
        </w:rPr>
        <w:t>EN: Layered Janus Gel for Efficient Portable Solar H2 Production From Atmospheric Moisture</w:t>
      </w:r>
    </w:p>
    <w:p>
      <w:pPr>
        <w:spacing w:before="0" w:after="120"/>
      </w:pPr>
      <w:r>
        <w:rPr>
          <w:b/>
        </w:rPr>
        <w:t xml:space="preserve">Source: </w:t>
      </w:r>
      <w:r>
        <w:t>Wiley: Advanced Energy Materials: Table of Contents</w:t>
      </w:r>
      <w:r>
        <w:t xml:space="preserve">    </w:t>
      </w:r>
      <w:r>
        <w:rPr>
          <w:b/>
        </w:rPr>
        <w:t xml:space="preserve">Pub date: </w:t>
      </w:r>
      <w:r>
        <w:t>2026-06-03 05:47:31+00:00</w:t>
      </w:r>
      <w:r>
        <w:t xml:space="preserve">    </w:t>
      </w:r>
      <w:r>
        <w:rPr>
          <w:b/>
        </w:rPr>
        <w:t xml:space="preserve">DOI: </w:t>
      </w:r>
      <w:hyperlink r:id="rId217">
        <w:r>
          <w:rPr>
            <w:color w:val="1155CC"/>
            <w:u w:val="single"/>
          </w:rPr>
          <w:t>10.1002/aenm.71161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光热催化大气水分解可实现离网原位制氢</w:t>
      </w:r>
      <w:r>
        <w:rPr>
          <w:vertAlign w:val="subscript"/>
        </w:rPr>
        <w:t>2</w:t>
      </w:r>
      <w:r>
        <w:t>生产，但仍然受到能量转换效率低、牺牲剂依赖性和吸附剂降解的限制。在此，我们报道了一种 Janus 结构的凝胶，其顶面和底面之间具有不对称润湿性，由 LiCl 改性的纳米原纤化纤维素吸湿底层、SrTiO2 组成。</w:t>
      </w:r>
      <w:r>
        <w:rPr>
          <w:vertAlign w:val="subscript"/>
        </w:rPr>
        <w:t>3</w:t>
      </w:r>
      <w:r>
        <w:t>：铝光催化顶层和战略性设计的聚偏二氟乙烯中间层，专为清洁高效的原位 H</w:t>
      </w:r>
      <w:r>
        <w:rPr>
          <w:vertAlign w:val="subscript"/>
        </w:rPr>
        <w:t>2</w:t>
      </w:r>
      <w:r>
        <w:t>生产。独特设计的夹层协同促进吸湿基质中水分的有效解吸，形成液体排斥界面，最大限度地减少 H</w:t>
      </w:r>
      <w:r>
        <w:rPr>
          <w:vertAlign w:val="subscript"/>
        </w:rPr>
        <w:t>2</w:t>
      </w:r>
      <w:r>
        <w:t>扩散阻力，并作为抑制吸湿成分氧化的保护屏障。受益于这种设计，Janus 分层系统实现了持续的 H</w:t>
      </w:r>
      <w:r>
        <w:rPr>
          <w:vertAlign w:val="subscript"/>
        </w:rPr>
        <w:t>2</w:t>
      </w:r>
      <w:r>
        <w:t>从不同湿度水平的空气中生产。在 90% 相对湿度下，吸湿能力为 4.21 克</w:t>
      </w:r>
      <w:r>
        <w:t xml:space="preserve"> </w:t>
      </w:r>
      <w:r>
        <w:t>水</w:t>
      </w:r>
      <w:r>
        <w:t xml:space="preserve"> </w:t>
      </w:r>
      <w:r>
        <w:t>克</w:t>
      </w:r>
      <w:r>
        <w:t xml:space="preserve"> </w:t>
      </w:r>
      <w:r>
        <w:t>吸附剂</w:t>
      </w:r>
      <w:r>
        <w:t xml:space="preserve"> </w:t>
      </w:r>
      <w:r>
        <w:t>−1</w:t>
      </w:r>
      <w:r>
        <w:t xml:space="preserve"> </w:t>
      </w:r>
      <w:r>
        <w:t>, 一个 H</w:t>
      </w:r>
      <w:r>
        <w:rPr>
          <w:vertAlign w:val="subscript"/>
        </w:rPr>
        <w:t>2</w:t>
      </w:r>
      <w:r>
        <w:t>生产率为 78.50 mmol h</w:t>
      </w:r>
      <w:r>
        <w:t xml:space="preserve"> </w:t>
      </w:r>
      <w:r>
        <w:t>−1</w:t>
      </w:r>
      <w:r>
        <w:t xml:space="preserve"> </w:t>
      </w:r>
      <w:r>
        <w:t>米</w:t>
      </w:r>
      <w:r>
        <w:t xml:space="preserve"> </w:t>
      </w:r>
      <w:r>
        <w:t>−2</w:t>
      </w:r>
      <w:r>
        <w:t xml:space="preserve"> </w:t>
      </w:r>
      <w:r>
        <w:t>，以及太阳能制氢效率</w:t>
      </w:r>
    </w:p>
    <w:p>
      <w:pPr>
        <w:spacing w:before="0" w:after="200" w:lineRule="auto" w:line="276"/>
      </w:pPr>
      <w:r>
        <w:rPr>
          <w:b/>
        </w:rPr>
        <w:t xml:space="preserve">Abstract (EN): </w:t>
      </w:r>
      <w:r>
        <w:t>Photothermal catalytic atmospheric water splitting enables off‐grid in situ H</w:t>
      </w:r>
      <w:r>
        <w:rPr>
          <w:vertAlign w:val="subscript"/>
        </w:rPr>
        <w:t>2</w:t>
      </w:r>
      <w:r>
        <w:t>production but remains constrained by low energy conversion efficiency, sacrificial agent dependence, and sorbent degradation. Herein, we report a Janus‐structured gel with asymmetric wettability between its top and bottom surfaces, consisting of a LiCl‐modified nanofibrillated cellulose hygroscopic bottom layer, a SrTiO</w:t>
      </w:r>
      <w:r>
        <w:rPr>
          <w:vertAlign w:val="subscript"/>
        </w:rPr>
        <w:t>3</w:t>
      </w:r>
      <w:r>
        <w:t>:Al photocatalytic top layer, and a strategically engineered polyvinylidene fluoride interlayer, designed for clean and efficient in situ H</w:t>
      </w:r>
      <w:r>
        <w:rPr>
          <w:vertAlign w:val="subscript"/>
        </w:rPr>
        <w:t>2</w:t>
      </w:r>
      <w:r>
        <w:t>production. The uniquely designed interlayer synergistically facilitates efficient water desorption from the hygroscopic matrix, creates a liquid‐exclusion interface minimizing H</w:t>
      </w:r>
      <w:r>
        <w:rPr>
          <w:vertAlign w:val="subscript"/>
        </w:rPr>
        <w:t>2</w:t>
      </w:r>
      <w:r>
        <w:t>diffusion resistance, and serves as a protective barrier to inhibit hygroscopic component oxidation. Benefiting from this design, this Janus layered system achieves sustained H</w:t>
      </w:r>
      <w:r>
        <w:rPr>
          <w:vertAlign w:val="subscript"/>
        </w:rPr>
        <w:t>2</w:t>
      </w:r>
      <w:r>
        <w:t>production from air across diverse humidity levels. At 90% relative humidity, it delivers a hygroscopic capacity of 4.21 g</w:t>
      </w:r>
      <w:r>
        <w:t xml:space="preserve"> </w:t>
      </w:r>
      <w:r>
        <w:t>H2O</w:t>
      </w:r>
      <w:r>
        <w:t xml:space="preserve"> </w:t>
      </w:r>
      <w:r>
        <w:t>g</w:t>
      </w:r>
      <w:r>
        <w:t xml:space="preserve"> </w:t>
      </w:r>
      <w:r>
        <w:t>sorbent</w:t>
      </w:r>
      <w:r>
        <w:t xml:space="preserve"> </w:t>
      </w:r>
      <w:r>
        <w:t>−1</w:t>
      </w:r>
      <w:r>
        <w:t xml:space="preserve"> </w:t>
      </w:r>
      <w:r>
        <w:t>, a H</w:t>
      </w:r>
      <w:r>
        <w:rPr>
          <w:vertAlign w:val="subscript"/>
        </w:rPr>
        <w:t>2</w:t>
      </w:r>
      <w:r>
        <w:t>production rate of 78.50 mmol h</w:t>
      </w:r>
      <w:r>
        <w:t xml:space="preserve"> </w:t>
      </w:r>
      <w:r>
        <w:t>−1</w:t>
      </w:r>
      <w:r>
        <w:t xml:space="preserve"> </w:t>
      </w:r>
      <w:r>
        <w:t>m</w:t>
      </w:r>
      <w:r>
        <w:t xml:space="preserve"> </w:t>
      </w:r>
      <w:r>
        <w:t>−2</w:t>
      </w:r>
      <w:r>
        <w:t xml:space="preserve"> </w:t>
      </w:r>
      <w:r>
        <w:t>, and a solar‐to‐hydrogen efficiency of 0.35%. These findings demonstrate the promise of the Janus‐structured gel for portable, off‐grid, and green H</w:t>
      </w:r>
      <w:r>
        <w:rPr>
          <w:vertAlign w:val="subscript"/>
        </w:rPr>
        <w:t>2</w:t>
      </w:r>
      <w:r>
        <w:t>supply systems.</w:t>
      </w:r>
    </w:p>
    <w:p>
      <w:pPr>
        <w:spacing w:before="120" w:after="120"/>
      </w:pPr>
      <w:r>
        <w:rPr>
          <w:sz w:val="18"/>
        </w:rPr>
        <w:t>——————————————————————————————————————————————————————————————————————</w:t>
      </w:r>
    </w:p>
    <w:p>
      <w:pPr>
        <w:spacing w:before="160" w:after="40" w:line="240" w:lineRule="auto"/>
      </w:pPr>
      <w:r>
        <w:rPr>
          <w:b/>
        </w:rPr>
        <w:t xml:space="preserve">[37] </w:t>
      </w:r>
      <w:hyperlink r:id="rId218">
        <w:r>
          <w:rPr>
            <w:color w:val="1155CC"/>
            <w:u w:val="single"/>
          </w:rPr>
          <w:t>有序离子液体通道可在高达 240°C 的温度下实现燃料电池的快速无水质子传导</w:t>
        </w:r>
      </w:hyperlink>
    </w:p>
    <w:p>
      <w:pPr>
        <w:spacing w:before="0" w:after="80"/>
      </w:pPr>
      <w:r>
        <w:rPr>
          <w:i/>
          <w:sz w:val="20"/>
        </w:rPr>
        <w:t>EN: Ordered Ionic‐Liquid Channels Enable Fast Anhydrous Proton Conduction at up to 240°C for Fuel Cells</w:t>
      </w:r>
    </w:p>
    <w:p>
      <w:pPr>
        <w:spacing w:before="0" w:after="120"/>
      </w:pPr>
      <w:r>
        <w:rPr>
          <w:b/>
        </w:rPr>
        <w:t xml:space="preserve">Source: </w:t>
      </w:r>
      <w:r>
        <w:t>Wiley: Angewandte Chemie International Edition: Table of Contents</w:t>
      </w:r>
      <w:r>
        <w:t xml:space="preserve">    </w:t>
      </w:r>
      <w:r>
        <w:rPr>
          <w:b/>
        </w:rPr>
        <w:t xml:space="preserve">Pub date: </w:t>
      </w:r>
      <w:r>
        <w:t>2026-06-03 07:02:47+00:00</w:t>
      </w:r>
      <w:r>
        <w:t xml:space="preserve">    </w:t>
      </w:r>
      <w:r>
        <w:rPr>
          <w:b/>
        </w:rPr>
        <w:t xml:space="preserve">DOI: </w:t>
      </w:r>
      <w:hyperlink r:id="rId219">
        <w:r>
          <w:rPr>
            <w:color w:val="1155CC"/>
            <w:u w:val="single"/>
          </w:rPr>
          <w:t>10.1002/anie.2623863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中温电化学技术具有一系列重要优势，但需要高性能且坚固的无水质子交换膜。在此，我们证明，将鏻基、咪唑鎓和锍基离子液体（IL）限制在由聚乙烯亚胺功能化的氮化硼和石墨烯纳米片堆叠单层形成的通道内，可提供强大且有效的质子传导性，同时抑制IL离子的大量扩散。我们提出，带正电的纳米片可能会诱导空间离子排序，将阴离子锚定在通道壁附近，同时沿着中心区域集中质子和阳离子，以建立平行、连续的路径，以便在无水条件下快速质子转移。所得固态复合膜表现出稳定的无水质子电导率高达 10</w:t>
      </w:r>
      <w:r>
        <w:t xml:space="preserve"> </w:t>
      </w:r>
      <w:r>
        <w:t>−2</w:t>
      </w:r>
      <w:r>
        <w:t xml:space="preserve"> </w:t>
      </w:r>
      <w:r>
        <w:t>厘米</w:t>
      </w:r>
      <w:r>
        <w:t xml:space="preserve"> </w:t>
      </w:r>
      <w:r>
        <w:t>-</w:t>
      </w:r>
      <w:r>
        <w:rPr>
          <w:vertAlign w:val="subscript"/>
        </w:rPr>
        <w:t>1</w:t>
      </w:r>
      <w:r>
        <w:t>温度为 240 ± 1°C，优于许多现有的基于 IL 和聚合物的系统。当集成到氢氧燃料电池中时，[EMIM][NTf</w:t>
      </w:r>
      <w:r>
        <w:rPr>
          <w:vertAlign w:val="subscript"/>
        </w:rPr>
        <w:t>2</w:t>
      </w:r>
      <w:r>
        <w:t>]基膜可实现 82 ± 5 mW cm 的峰值功率密度</w:t>
      </w:r>
      <w:r>
        <w:t xml:space="preserve"> </w:t>
      </w:r>
      <w:r>
        <w:t>−2</w:t>
      </w:r>
      <w:r>
        <w:t xml:space="preserve"> </w:t>
      </w:r>
      <w:r>
        <w:t>在240±1°C和大气压力的无水条件下。在更广泛的背景下，这项工作提出了一种设计具有针对特定应用的特性的膜的策略，这可以通过调整化学结构来实现</w:t>
      </w:r>
    </w:p>
    <w:p>
      <w:pPr>
        <w:spacing w:before="0" w:after="200" w:lineRule="auto" w:line="276"/>
      </w:pPr>
      <w:r>
        <w:rPr>
          <w:b/>
        </w:rPr>
        <w:t xml:space="preserve">Abstract (EN): </w:t>
      </w:r>
      <w:r>
        <w:t>Intermediate‐temperature electrochemical technologies offer a range of important advantages but require high‐performance and robust anhydrous proton exchange membranes. Herein, we demonstrate that confinement of phosphonium‐, imidazolium‐, and sulphonium‐based ionic liquids (ILs), within channels formed by stacked monolayers of boron nitride and graphene nanosheets functionalised with polyethyleneimine, provides robust and effective proton conductivity while suppressing bulk diffusion of the IL ions. We propose that the positively charged nanosheets might induce spatial ionic ordering, anchoring anions near the channel walls while concentrating protons and cations along the central region to establish parallel, continuous pathways for rapid proton transfer under anhydrous conditions. The resulting solid‐state composite membranes exhibit stable anhydrous proton conductivities of up to 10</w:t>
      </w:r>
      <w:r>
        <w:t xml:space="preserve"> </w:t>
      </w:r>
      <w:r>
        <w:t>−2</w:t>
      </w:r>
      <w:r>
        <w:t xml:space="preserve"> </w:t>
      </w:r>
      <w:r>
        <w:t>S cm</w:t>
      </w:r>
      <w:r>
        <w:t xml:space="preserve"> </w:t>
      </w:r>
      <w:r>
        <w:t>−</w:t>
      </w:r>
      <w:r>
        <w:rPr>
          <w:vertAlign w:val="subscript"/>
        </w:rPr>
        <w:t>1</w:t>
      </w:r>
      <w:r>
        <w:t>at 240 ± 1°C, outperforming many existing IL‐based and polymer‐based systems. When integrated into hydrogen‐oxygen fuel cells, the [EMIM][NTf</w:t>
      </w:r>
      <w:r>
        <w:rPr>
          <w:vertAlign w:val="subscript"/>
        </w:rPr>
        <w:t>2</w:t>
      </w:r>
      <w:r>
        <w:t>]‐based membrane enables a peak power density of 82 ± 5 mW cm</w:t>
      </w:r>
      <w:r>
        <w:t xml:space="preserve"> </w:t>
      </w:r>
      <w:r>
        <w:t>−2</w:t>
      </w:r>
      <w:r>
        <w:t xml:space="preserve"> </w:t>
      </w:r>
      <w:r>
        <w:t>under anhydrous conditions at 240 ± 1°C and atmospheric pressure. In a broader context, this work presents a strategy for the design of membranes with properties tailored to a specific application, which can be achieved by tuning chemical structures of the confined IL and/or functional layers within the 2D channels.</w:t>
      </w:r>
    </w:p>
    <w:p>
      <w:pPr>
        <w:spacing w:before="120" w:after="120"/>
      </w:pPr>
      <w:r>
        <w:rPr>
          <w:sz w:val="18"/>
        </w:rPr>
        <w:t>——————————————————————————————————————————————————————————————————————</w:t>
      </w:r>
    </w:p>
    <w:p>
      <w:pPr>
        <w:spacing w:before="160" w:after="40" w:line="240" w:lineRule="auto"/>
      </w:pPr>
      <w:r>
        <w:rPr>
          <w:b/>
        </w:rPr>
        <w:t xml:space="preserve">[38] </w:t>
      </w:r>
      <w:hyperlink r:id="rId220">
        <w:r>
          <w:rPr>
            <w:color w:val="1155CC"/>
            <w:u w:val="single"/>
          </w:rPr>
          <w:t>用于无金属电催化硝酸盐至氨转化的酮连氮共价有机框架</w:t>
        </w:r>
      </w:hyperlink>
    </w:p>
    <w:p>
      <w:pPr>
        <w:spacing w:before="0" w:after="80"/>
      </w:pPr>
      <w:r>
        <w:rPr>
          <w:i/>
          <w:sz w:val="20"/>
        </w:rPr>
        <w:t>EN: Ketazine‐Linked Covalent Organic Framework for Metal‐Free Electrocatalytic Nitrate‐to‐Ammonia Conversion</w:t>
      </w:r>
    </w:p>
    <w:p>
      <w:pPr>
        <w:spacing w:before="0" w:after="120"/>
      </w:pPr>
      <w:r>
        <w:rPr>
          <w:b/>
        </w:rPr>
        <w:t xml:space="preserve">Source: </w:t>
      </w:r>
      <w:r>
        <w:t>Wiley: Angewandte Chemie International Edition: Table of Contents</w:t>
      </w:r>
      <w:r>
        <w:t xml:space="preserve">    </w:t>
      </w:r>
      <w:r>
        <w:rPr>
          <w:b/>
        </w:rPr>
        <w:t xml:space="preserve">Pub date: </w:t>
      </w:r>
      <w:r>
        <w:t>2026-06-03 07:03:30+00:00</w:t>
      </w:r>
      <w:r>
        <w:t xml:space="preserve">    </w:t>
      </w:r>
      <w:r>
        <w:rPr>
          <w:b/>
        </w:rPr>
        <w:t xml:space="preserve">DOI: </w:t>
      </w:r>
      <w:hyperlink r:id="rId221">
        <w:r>
          <w:rPr>
            <w:color w:val="1155CC"/>
            <w:u w:val="single"/>
          </w:rPr>
          <w:t>10.1002/anie.6570629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电催化硝酸盐还原反应（NO</w:t>
      </w:r>
      <w:r>
        <w:rPr>
          <w:vertAlign w:val="subscript"/>
        </w:rPr>
        <w:t>3</w:t>
      </w:r>
      <w:r>
        <w:t>RR）能够实现可持续的硝酸盐修复和同步氨合成，作为能源密集型哈伯-博世工艺的替代方案。近年来，共价有机框架（COF）作为 NO 引起了人们的关注。</w:t>
      </w:r>
      <w:r>
        <w:rPr>
          <w:vertAlign w:val="subscript"/>
        </w:rPr>
        <w:t>3</w:t>
      </w:r>
      <w:r>
        <w:t>RR 平台由于其固有的孔隙率和结构可调性，使得活性位点工程成为可能。然而，当前基于COF的系统很大程度上依赖于金属活性位点，这破坏了其可持续性并掩盖了框架的催化活性。在这里，我们介绍了一种对 NO 具有高活性的无金属 COF</w:t>
      </w:r>
      <w:r>
        <w:rPr>
          <w:vertAlign w:val="subscript"/>
        </w:rPr>
        <w:t>3</w:t>
      </w:r>
      <w:r>
        <w:t>RR。该电催化剂是氟化酮连氮连接的COF（F-Ketazine COF），它包含吸电子氟原子，可增强π-π堆积相互作用并促进有效的键合形成。 F-Ketazine COF 通过快速溶剂热反应合成，与其非氟化类似物（n-Ketazine COF）相比，表现出优异的结晶度和增强的电催化活性。在中性 pH 条件下，F-Ketazine COF 对 NH 的法拉第效率达到 59.9%</w:t>
      </w:r>
      <w:r>
        <w:rPr>
          <w:vertAlign w:val="subscript"/>
        </w:rPr>
        <w:t>3</w:t>
      </w:r>
      <w:r>
        <w:t>和一个NH</w:t>
      </w:r>
      <w:r>
        <w:rPr>
          <w:vertAlign w:val="subscript"/>
        </w:rPr>
        <w:t>3</w:t>
      </w:r>
      <w:r>
        <w:t>产率为 1639.9 µmol h</w:t>
      </w:r>
      <w:r>
        <w:t xml:space="preserve"> </w:t>
      </w:r>
      <w:r>
        <w:t>−1</w:t>
      </w:r>
      <w:r>
        <w:t xml:space="preserve"> </w:t>
      </w:r>
      <w:r>
        <w:t>毫克</w:t>
      </w:r>
      <w:r>
        <w:t xml:space="preserve"> </w:t>
      </w:r>
      <w:r>
        <w:t>COF</w:t>
      </w:r>
      <w:r>
        <w:t xml:space="preserve"> </w:t>
      </w:r>
      <w:r>
        <w:t>−1</w:t>
      </w:r>
      <w:r>
        <w:t xml:space="preserve"> </w:t>
      </w:r>
      <w:r>
        <w:t>相对于 RHE 为 −0.9 V。据我们所知，这是 ke 的第一个例子</w:t>
      </w:r>
    </w:p>
    <w:p>
      <w:pPr>
        <w:spacing w:before="0" w:after="200" w:lineRule="auto" w:line="276"/>
      </w:pPr>
      <w:r>
        <w:rPr>
          <w:b/>
        </w:rPr>
        <w:t xml:space="preserve">Abstract (EN): </w:t>
      </w:r>
      <w:r>
        <w:t>The electrocatalytic nitrate reduction reaction (NO</w:t>
      </w:r>
      <w:r>
        <w:rPr>
          <w:vertAlign w:val="subscript"/>
        </w:rPr>
        <w:t>3</w:t>
      </w:r>
      <w:r>
        <w:t>RR) enables sustainable nitrate remediation and simultaneous ammonia synthesis as an alternative to the energy‐intensive Haber‐Bosch process. Recently, covalent organic frameworks (COFs) have garnered attention as NO</w:t>
      </w:r>
      <w:r>
        <w:rPr>
          <w:vertAlign w:val="subscript"/>
        </w:rPr>
        <w:t>3</w:t>
      </w:r>
      <w:r>
        <w:t>RR platform due to their intrinsic porosity and structural tunability, which enable active‐site engineering. However, current COF‐based systems largely rely on metal active sites, undermining their sustainability and obscuring the catalytic activity of the framework. Here, we introduce a metal‐free COF, that is highly active for NO</w:t>
      </w:r>
      <w:r>
        <w:rPr>
          <w:vertAlign w:val="subscript"/>
        </w:rPr>
        <w:t>3</w:t>
      </w:r>
      <w:r>
        <w:t>RR. The electrocatalyst is a fluorinated ketazine‐linked COF (F‐Ketazine COF), which incorporates electron‐withdrawing fluorine atoms that enhance π–π stacking interactions and promote efficient linkage formation. Synthesized via a rapid solvothermal reaction, the F‐Ketazine COF exhibits superior crystallinity and enhanced electrocatalytic activity compared to its non‐fluorinated analog (n‐Ketazine COF). Under neutral pH conditions, the F‐Ketazine COF achieved a Faradaic efficiency of 59.9% for NH</w:t>
      </w:r>
      <w:r>
        <w:rPr>
          <w:vertAlign w:val="subscript"/>
        </w:rPr>
        <w:t>3</w:t>
      </w:r>
      <w:r>
        <w:t>and an NH</w:t>
      </w:r>
      <w:r>
        <w:rPr>
          <w:vertAlign w:val="subscript"/>
        </w:rPr>
        <w:t>3</w:t>
      </w:r>
      <w:r>
        <w:t>yield rate of 1639.9 µmol h</w:t>
      </w:r>
      <w:r>
        <w:t xml:space="preserve"> </w:t>
      </w:r>
      <w:r>
        <w:t>−1</w:t>
      </w:r>
      <w:r>
        <w:t xml:space="preserve"> </w:t>
      </w:r>
      <w:r>
        <w:t>mg</w:t>
      </w:r>
      <w:r>
        <w:t xml:space="preserve"> </w:t>
      </w:r>
      <w:r>
        <w:t>COF</w:t>
      </w:r>
      <w:r>
        <w:t xml:space="preserve"> </w:t>
      </w:r>
      <w:r>
        <w:t>−1</w:t>
      </w:r>
      <w:r>
        <w:t xml:space="preserve"> </w:t>
      </w:r>
      <w:r>
        <w:t>at −0.9 V versus RHE. To the best of our knowledge, this is the first example of a ketazine‐linked COF applied in electrocatalysis and the first a metal‐free COF for NO</w:t>
      </w:r>
      <w:r>
        <w:rPr>
          <w:vertAlign w:val="subscript"/>
        </w:rPr>
        <w:t>3</w:t>
      </w:r>
      <w:r>
        <w:t>RR. This work demonstrates the potential of fluorinated ketazine linkages in developing sustainable and efficient COF‐based electrocatalysts.</w:t>
      </w:r>
    </w:p>
    <w:p>
      <w:pPr>
        <w:spacing w:before="120" w:after="120"/>
      </w:pPr>
      <w:r>
        <w:rPr>
          <w:sz w:val="18"/>
        </w:rPr>
        <w:t>——————————————————————————————————————————————————————————————————————</w:t>
      </w:r>
    </w:p>
    <w:p>
      <w:pPr>
        <w:spacing w:before="160" w:after="40" w:line="240" w:lineRule="auto"/>
      </w:pPr>
      <w:r>
        <w:rPr>
          <w:b/>
        </w:rPr>
        <w:t xml:space="preserve">[39] </w:t>
      </w:r>
      <w:hyperlink r:id="rId222">
        <w:r>
          <w:rPr>
            <w:color w:val="1155CC"/>
            <w:u w:val="single"/>
          </w:rPr>
          <w:t>协同 Pd0/Pd2+ 双位点氢自由基介导的一氧化氮还原为氨</w:t>
        </w:r>
      </w:hyperlink>
    </w:p>
    <w:p>
      <w:pPr>
        <w:spacing w:before="0" w:after="80"/>
      </w:pPr>
      <w:r>
        <w:rPr>
          <w:i/>
          <w:sz w:val="20"/>
        </w:rPr>
        <w:t>EN: Hydrogen Radical‐Mediated Nitric Oxide Reduction to Ammonia Over Synergistic Pd0/Pd2+ Dual Sites</w:t>
      </w:r>
    </w:p>
    <w:p>
      <w:pPr>
        <w:spacing w:before="0" w:after="120"/>
      </w:pPr>
      <w:r>
        <w:rPr>
          <w:b/>
        </w:rPr>
        <w:t xml:space="preserve">Source: </w:t>
      </w:r>
      <w:r>
        <w:t>Wiley: Angewandte Chemie International Edition: Table of Contents</w:t>
      </w:r>
      <w:r>
        <w:t xml:space="preserve">    </w:t>
      </w:r>
      <w:r>
        <w:rPr>
          <w:b/>
        </w:rPr>
        <w:t xml:space="preserve">Pub date: </w:t>
      </w:r>
      <w:r>
        <w:t>2026-06-03 07:03:32+00:00</w:t>
      </w:r>
      <w:r>
        <w:t xml:space="preserve">    </w:t>
      </w:r>
      <w:r>
        <w:rPr>
          <w:b/>
        </w:rPr>
        <w:t xml:space="preserve">DOI: </w:t>
      </w:r>
      <w:hyperlink r:id="rId223">
        <w:r>
          <w:rPr>
            <w:color w:val="1155CC"/>
            <w:u w:val="single"/>
          </w:rPr>
          <w:t>10.1002/anie.4927761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光催化一氧化氮还原反应 (NORR) 生成 NH</w:t>
      </w:r>
      <w:r>
        <w:rPr>
          <w:vertAlign w:val="subscript"/>
        </w:rPr>
        <w:t>3</w:t>
      </w:r>
      <w:r>
        <w:t>为氨（NH</w:t>
      </w:r>
      <w:r>
        <w:rPr>
          <w:vertAlign w:val="subscript"/>
        </w:rPr>
        <w:t>3</w:t>
      </w:r>
      <w:r>
        <w:t>）合成，解决环境问题并减少与能源密集型哈伯-博世工艺相关的碳足迹。然而，传统的多质子耦合电子转移（PCET）缓慢和活性位点价态调节不佳阻碍了 NORR 的效率。在这里，我们提出了一种由氢自由基驱动的氢化途径（</w:t>
      </w:r>
      <w:r>
        <w:t xml:space="preserve"> </w:t>
      </w:r>
      <w:r>
        <w:t>•</w:t>
      </w:r>
      <w:r>
        <w:t xml:space="preserve"> </w:t>
      </w:r>
      <w:r>
        <w:t>H)利用乙二醇(EG)作为氢供体，有效绕过了传统PCET工艺的局限性。通过精确调节 Pd 助催化剂的价态，我们构建了协同 Pd</w:t>
      </w:r>
      <w:r>
        <w:rPr>
          <w:vertAlign w:val="subscript"/>
        </w:rPr>
        <w:t>0</w:t>
      </w:r>
      <w:r>
        <w:t>/钯</w:t>
      </w:r>
      <w:r>
        <w:t xml:space="preserve"> </w:t>
      </w:r>
      <w:r>
        <w:t>2+</w:t>
      </w:r>
      <w:r>
        <w:t xml:space="preserve"> </w:t>
      </w:r>
      <w:r>
        <w:t>双活性位点，其中 Pd</w:t>
      </w:r>
      <w:r>
        <w:t xml:space="preserve"> </w:t>
      </w:r>
      <w:r>
        <w:t>2+</w:t>
      </w:r>
      <w:r>
        <w:t xml:space="preserve"> </w:t>
      </w:r>
      <w:r>
        <w:t>位点促进 C-H 键从 EG 解离，以提供吸附的 H 物种 (*H)，随后被激活为高反应性</w:t>
      </w:r>
      <w:r>
        <w:t xml:space="preserve"> </w:t>
      </w:r>
      <w:r>
        <w:t>•</w:t>
      </w:r>
      <w:r>
        <w:t xml:space="preserve"> </w:t>
      </w:r>
      <w:r>
        <w:t>H 通过 Pd 处的光生电子</w:t>
      </w:r>
      <w:r>
        <w:rPr>
          <w:vertAlign w:val="subscript"/>
        </w:rPr>
        <w:t>0</w:t>
      </w:r>
      <w:r>
        <w:t>网站。 Pd 的这种协同效应</w:t>
      </w:r>
      <w:r>
        <w:rPr>
          <w:vertAlign w:val="subscript"/>
        </w:rPr>
        <w:t>0</w:t>
      </w:r>
      <w:r>
        <w:t>/钯</w:t>
      </w:r>
      <w:r>
        <w:t xml:space="preserve"> </w:t>
      </w:r>
      <w:r>
        <w:t>2+</w:t>
      </w:r>
      <w:r>
        <w:t xml:space="preserve"> </w:t>
      </w:r>
      <w:r>
        <w:t>保证稳定的流量</w:t>
      </w:r>
      <w:r>
        <w:t xml:space="preserve"> </w:t>
      </w:r>
      <w:r>
        <w:t>•</w:t>
      </w:r>
      <w:r>
        <w:t xml:space="preserve"> </w:t>
      </w:r>
      <w:r>
        <w:t>H 代表深 NORR。优化 Pd</w:t>
      </w:r>
      <w:r>
        <w:rPr>
          <w:vertAlign w:val="subscript"/>
        </w:rPr>
        <w:t>0</w:t>
      </w:r>
      <w:r>
        <w:t>/钯</w:t>
      </w:r>
      <w:r>
        <w:t xml:space="preserve"> </w:t>
      </w:r>
      <w:r>
        <w:t>2+</w:t>
      </w:r>
    </w:p>
    <w:p>
      <w:pPr>
        <w:spacing w:before="0" w:after="200" w:lineRule="auto" w:line="276"/>
      </w:pPr>
      <w:r>
        <w:rPr>
          <w:b/>
        </w:rPr>
        <w:t xml:space="preserve">Abstract (EN): </w:t>
      </w:r>
      <w:r>
        <w:t>The photocatalytic nitric oxide reduction reaction (NORR) to NH</w:t>
      </w:r>
      <w:r>
        <w:rPr>
          <w:vertAlign w:val="subscript"/>
        </w:rPr>
        <w:t>3</w:t>
      </w:r>
      <w:r>
        <w:t>offers a promising route for ammonia (NH</w:t>
      </w:r>
      <w:r>
        <w:rPr>
          <w:vertAlign w:val="subscript"/>
        </w:rPr>
        <w:t>3</w:t>
      </w:r>
      <w:r>
        <w:t>) synthesis, addressing environmental issues and mitigating the carbon footprint associated with the energy‐intensive Haber‐Bosch process. However, conventional sluggish multi‐proton‐coupled electron transfer (PCET) and poor regulation of valence states at active sites hinder the efficiency of NORR. Herein, we propose a hydrogenation pathway driven by hydrogen radicals (</w:t>
      </w:r>
      <w:r>
        <w:t xml:space="preserve"> </w:t>
      </w:r>
      <w:r>
        <w:t>•</w:t>
      </w:r>
      <w:r>
        <w:t xml:space="preserve"> </w:t>
      </w:r>
      <w:r>
        <w:t>H) utilizing ethylene glycol (EG) as a hydrogen donor, which effectively bypasses the limitations of the conventional PCET process. By precisely modulating the valence states of Pd cocatalysts, we construct synergistic Pd</w:t>
      </w:r>
      <w:r>
        <w:rPr>
          <w:vertAlign w:val="subscript"/>
        </w:rPr>
        <w:t>0</w:t>
      </w:r>
      <w:r>
        <w:t>/Pd</w:t>
      </w:r>
      <w:r>
        <w:t xml:space="preserve"> </w:t>
      </w:r>
      <w:r>
        <w:t>2+</w:t>
      </w:r>
      <w:r>
        <w:t xml:space="preserve"> </w:t>
      </w:r>
      <w:r>
        <w:t>dual active sites, where Pd</w:t>
      </w:r>
      <w:r>
        <w:t xml:space="preserve"> </w:t>
      </w:r>
      <w:r>
        <w:t>2+</w:t>
      </w:r>
      <w:r>
        <w:t xml:space="preserve"> </w:t>
      </w:r>
      <w:r>
        <w:t>sites facilitate the dissociation of C‐H bonds from EG to supply adsorbed H species (*H), which are subsequently activated into highly reactive</w:t>
      </w:r>
      <w:r>
        <w:t xml:space="preserve"> </w:t>
      </w:r>
      <w:r>
        <w:t>•</w:t>
      </w:r>
      <w:r>
        <w:t xml:space="preserve"> </w:t>
      </w:r>
      <w:r>
        <w:t>H by photogenerated electrons at Pd</w:t>
      </w:r>
      <w:r>
        <w:rPr>
          <w:vertAlign w:val="subscript"/>
        </w:rPr>
        <w:t>0</w:t>
      </w:r>
      <w:r>
        <w:t>sites. This synergistic effect of Pd</w:t>
      </w:r>
      <w:r>
        <w:rPr>
          <w:vertAlign w:val="subscript"/>
        </w:rPr>
        <w:t>0</w:t>
      </w:r>
      <w:r>
        <w:t>/Pd</w:t>
      </w:r>
      <w:r>
        <w:t xml:space="preserve"> </w:t>
      </w:r>
      <w:r>
        <w:t>2+</w:t>
      </w:r>
      <w:r>
        <w:t xml:space="preserve"> </w:t>
      </w:r>
      <w:r>
        <w:t>guarantees a steady flux of</w:t>
      </w:r>
      <w:r>
        <w:t xml:space="preserve"> </w:t>
      </w:r>
      <w:r>
        <w:t>•</w:t>
      </w:r>
      <w:r>
        <w:t xml:space="preserve"> </w:t>
      </w:r>
      <w:r>
        <w:t>H for deep NORR. Optimizing the Pd</w:t>
      </w:r>
      <w:r>
        <w:rPr>
          <w:vertAlign w:val="subscript"/>
        </w:rPr>
        <w:t>0</w:t>
      </w:r>
      <w:r>
        <w:t>/Pd</w:t>
      </w:r>
      <w:r>
        <w:t xml:space="preserve"> </w:t>
      </w:r>
      <w:r>
        <w:t>2+</w:t>
      </w:r>
      <w:r>
        <w:t xml:space="preserve"> </w:t>
      </w:r>
      <w:r>
        <w:t>ratio to unity (Pd</w:t>
      </w:r>
      <w:r>
        <w:t xml:space="preserve"> </w:t>
      </w:r>
      <w:r>
        <w:t>1.0</w:t>
      </w:r>
      <w:r>
        <w:t xml:space="preserve"> </w:t>
      </w:r>
      <w:r>
        <w:t>/TiO</w:t>
      </w:r>
      <w:r>
        <w:rPr>
          <w:vertAlign w:val="subscript"/>
        </w:rPr>
        <w:t>2</w:t>
      </w:r>
      <w:r>
        <w:t>‐50) enabled a superior NH</w:t>
      </w:r>
      <w:r>
        <w:rPr>
          <w:vertAlign w:val="subscript"/>
        </w:rPr>
        <w:t>3</w:t>
      </w:r>
      <w:r>
        <w:t>yield rate of 31.61 ± 1.61 mmol∙g</w:t>
      </w:r>
      <w:r>
        <w:t xml:space="preserve"> </w:t>
      </w:r>
      <w:r>
        <w:t>cat</w:t>
      </w:r>
      <w:r>
        <w:t xml:space="preserve"> </w:t>
      </w:r>
      <w:r>
        <w:t>−1</w:t>
      </w:r>
      <w:r>
        <w:t xml:space="preserve"> </w:t>
      </w:r>
      <w:r>
        <w:t>∙h</w:t>
      </w:r>
      <w:r>
        <w:t xml:space="preserve"> </w:t>
      </w:r>
      <w:r>
        <w:t>−1</w:t>
      </w:r>
      <w:r>
        <w:t xml:space="preserve"> </w:t>
      </w:r>
      <w:r>
        <w:t>with high NO conversion (91.54% ± 1.82%) and NH</w:t>
      </w:r>
      <w:r>
        <w:rPr>
          <w:vertAlign w:val="subscript"/>
        </w:rPr>
        <w:t>3</w:t>
      </w:r>
      <w:r>
        <w:t>selectivity (90.14% ± 1.38%) in a single pass flow. Comprehensive in situ characterizations elucidate the causality between Pd valence states and radical generation, offering a new paradigm for designing and understanding the radical‐mediated chemistry.</w:t>
      </w:r>
    </w:p>
    <w:p>
      <w:pPr>
        <w:spacing w:before="120" w:after="120"/>
      </w:pPr>
      <w:r>
        <w:rPr>
          <w:sz w:val="18"/>
        </w:rPr>
        <w:t>——————————————————————————————————————————————————————————————————————</w:t>
      </w:r>
    </w:p>
    <w:p>
      <w:pPr>
        <w:spacing w:before="160" w:after="40" w:line="240" w:lineRule="auto"/>
      </w:pPr>
      <w:r>
        <w:rPr>
          <w:b/>
        </w:rPr>
        <w:t xml:space="preserve">[40] </w:t>
      </w:r>
      <w:hyperlink r:id="rId224">
        <w:r>
          <w:rPr>
            <w:color w:val="1155CC"/>
            <w:u w:val="single"/>
          </w:rPr>
          <w:t>通过 BiVO4 上的 NiFe 双原子切换水氧化途径：绕过吸附质演化机制限制的 *O─O* 偶联机制路线</w:t>
        </w:r>
      </w:hyperlink>
    </w:p>
    <w:p>
      <w:pPr>
        <w:spacing w:before="0" w:after="80"/>
      </w:pPr>
      <w:r>
        <w:rPr>
          <w:i/>
          <w:sz w:val="20"/>
        </w:rPr>
        <w:t>EN: Switching Water Oxidation Pathway via NiFe Dual‐Atoms on BiVO4: An *O─O* Coupling Mechanism Route to Bypass Adsorbate Evolution Mechanism Limitations</w:t>
      </w:r>
    </w:p>
    <w:p>
      <w:pPr>
        <w:spacing w:before="0" w:after="120"/>
      </w:pPr>
      <w:r>
        <w:rPr>
          <w:b/>
        </w:rPr>
        <w:t xml:space="preserve">Source: </w:t>
      </w:r>
      <w:r>
        <w:t>Wiley: Advanced Materials: Table of Contents</w:t>
      </w:r>
      <w:r>
        <w:t xml:space="preserve">    </w:t>
      </w:r>
      <w:r>
        <w:rPr>
          <w:b/>
        </w:rPr>
        <w:t xml:space="preserve">Pub date: </w:t>
      </w:r>
      <w:r>
        <w:t>2026-06-03 07:06:47+00:00</w:t>
      </w:r>
      <w:r>
        <w:t xml:space="preserve">    </w:t>
      </w:r>
      <w:r>
        <w:rPr>
          <w:b/>
        </w:rPr>
        <w:t xml:space="preserve">DOI: </w:t>
      </w:r>
      <w:hyperlink r:id="rId225">
        <w:r>
          <w:rPr>
            <w:color w:val="1155CC"/>
            <w:u w:val="single"/>
          </w:rPr>
          <w:t>10.1002/adma.73582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具有异质活性位点的双原子催化剂（DAC）代表了光电化学（PEC）水分解的新兴前沿。然而，DAC 上相应的反应机制仍不清楚。在此，我们提出了一种光电阳极结构，包含锚定在 TiO2 上的 NiFe 双原子 (DA)</w:t>
      </w:r>
      <w:r>
        <w:t xml:space="preserve"> </w:t>
      </w:r>
      <w:r>
        <w:t>x</w:t>
      </w:r>
      <w:r>
        <w:t xml:space="preserve"> </w:t>
      </w:r>
      <w:r>
        <w:t>‐包覆 BiVO</w:t>
      </w:r>
      <w:r>
        <w:rPr>
          <w:vertAlign w:val="subscript"/>
        </w:rPr>
        <w:t>4</w:t>
      </w:r>
      <w:r>
        <w:t>光阳极（NiFe DAs/TiO</w:t>
      </w:r>
      <w:r>
        <w:t xml:space="preserve"> </w:t>
      </w:r>
      <w:r>
        <w:t>x</w:t>
      </w:r>
      <w:r>
        <w:t xml:space="preserve"> </w:t>
      </w:r>
      <w:r>
        <w:t>/BiVO</w:t>
      </w:r>
      <w:r>
        <w:rPr>
          <w:vertAlign w:val="subscript"/>
        </w:rPr>
        <w:t>4</w:t>
      </w:r>
      <w:r>
        <w:t>），可提供令人印象深刻的 6.13 mA cm 光电流密度</w:t>
      </w:r>
      <w:r>
        <w:t xml:space="preserve"> </w:t>
      </w:r>
      <w:r>
        <w:t>−2</w:t>
      </w:r>
      <w:r>
        <w:t xml:space="preserve"> </w:t>
      </w:r>
      <w:r>
        <w:t>1.23V 时</w:t>
      </w:r>
      <w:r>
        <w:t xml:space="preserve"> </w:t>
      </w:r>
      <w:r>
        <w:t>右心室</w:t>
      </w:r>
      <w:r>
        <w:t xml:space="preserve"> </w:t>
      </w:r>
      <w:r>
        <w:t>，持续稳定性超过 150 小时，施加偏置的光子电流效率为 2.2%。我们的研究揭示了 NiFe DA 的双重功能，它可以作为有效的析氧助催化剂并增强电荷分离，这一点在之前的研究中很大程度上被忽视了。通过原位光谱研究结合密度泛函理论计算，我们阐明了 NiFe DAs/TiO</w:t>
      </w:r>
      <w:r>
        <w:t xml:space="preserve"> </w:t>
      </w:r>
      <w:r>
        <w:t>x</w:t>
      </w:r>
      <w:r>
        <w:t xml:space="preserve"> </w:t>
      </w:r>
      <w:r>
        <w:t>/BiVO</w:t>
      </w:r>
      <w:r>
        <w:rPr>
          <w:vertAlign w:val="subscript"/>
        </w:rPr>
        <w:t>4</w:t>
      </w:r>
      <w:r>
        <w:t>实现了单原子改性 TiO 中观察到的传统吸附质演化机制 (AEM) 的机械转变</w:t>
      </w:r>
      <w:r>
        <w:t xml:space="preserve"> </w:t>
      </w:r>
      <w:r>
        <w:t>x</w:t>
      </w:r>
      <w:r>
        <w:t xml:space="preserve"> </w:t>
      </w:r>
      <w:r>
        <w:t>/BiVO</w:t>
      </w:r>
      <w:r>
        <w:rPr>
          <w:vertAlign w:val="subscript"/>
        </w:rPr>
        <w:t>4</w:t>
      </w:r>
      <w:r>
        <w:t>*O─O* 耦合机制 (OCM)。具体来说，该 OCM 途径绕过 *OOH 的形成并产生 *O─O* 桥接物种</w:t>
      </w:r>
    </w:p>
    <w:p>
      <w:pPr>
        <w:spacing w:before="0" w:after="200" w:lineRule="auto" w:line="276"/>
      </w:pPr>
      <w:r>
        <w:rPr>
          <w:b/>
        </w:rPr>
        <w:t xml:space="preserve">Abstract (EN): </w:t>
      </w:r>
      <w:r>
        <w:t>Dual‐atom catalysts (DACs) with heterogeneous active sites represent an emerging frontier in photoelectrochemical (PEC) water splitting. However, the corresponding reaction mechanism on DACs is still unclear. Herein, we present a photoanode architecture comprising NiFe dual atoms (DAs) anchored on a TiO</w:t>
      </w:r>
      <w:r>
        <w:t xml:space="preserve"> </w:t>
      </w:r>
      <w:r>
        <w:t>x</w:t>
      </w:r>
      <w:r>
        <w:t xml:space="preserve"> </w:t>
      </w:r>
      <w:r>
        <w:t>‐coated BiVO</w:t>
      </w:r>
      <w:r>
        <w:rPr>
          <w:vertAlign w:val="subscript"/>
        </w:rPr>
        <w:t>4</w:t>
      </w:r>
      <w:r>
        <w:t>photoanode (NiFe DAs/TiO</w:t>
      </w:r>
      <w:r>
        <w:t xml:space="preserve"> </w:t>
      </w:r>
      <w:r>
        <w:t>x</w:t>
      </w:r>
      <w:r>
        <w:t xml:space="preserve"> </w:t>
      </w:r>
      <w:r>
        <w:t>/BiVO</w:t>
      </w:r>
      <w:r>
        <w:rPr>
          <w:vertAlign w:val="subscript"/>
        </w:rPr>
        <w:t>4</w:t>
      </w:r>
      <w:r>
        <w:t>), which delivers an impressive photocurrent density of 6.13 mA cm</w:t>
      </w:r>
      <w:r>
        <w:t xml:space="preserve"> </w:t>
      </w:r>
      <w:r>
        <w:t>−2</w:t>
      </w:r>
      <w:r>
        <w:t xml:space="preserve"> </w:t>
      </w:r>
      <w:r>
        <w:t>at 1.23 V</w:t>
      </w:r>
      <w:r>
        <w:t xml:space="preserve"> </w:t>
      </w:r>
      <w:r>
        <w:t>RHE</w:t>
      </w:r>
      <w:r>
        <w:t xml:space="preserve"> </w:t>
      </w:r>
      <w:r>
        <w:t>, sustained stability exceeding 150 h, and an applied bias photon‐to‐current efficiency of 2.2%. Our investigation reveals a dual functionality of the NiFe DAs which serve as an efficient oxygen evolution cocatalyst and enhance charge separation—an aspect largely overlooked in previous studies. Through in situ spectroscopic investigations combined with density functional theory calculations, we elucidate that the NiFe DAs/TiO</w:t>
      </w:r>
      <w:r>
        <w:t xml:space="preserve"> </w:t>
      </w:r>
      <w:r>
        <w:t>x</w:t>
      </w:r>
      <w:r>
        <w:t xml:space="preserve"> </w:t>
      </w:r>
      <w:r>
        <w:t>/BiVO</w:t>
      </w:r>
      <w:r>
        <w:rPr>
          <w:vertAlign w:val="subscript"/>
        </w:rPr>
        <w:t>4</w:t>
      </w:r>
      <w:r>
        <w:t>enables a mechanistic shift from the conventional adsorbate evolution mechanism (AEM) observed in single atom‐modified‐TiO</w:t>
      </w:r>
      <w:r>
        <w:t xml:space="preserve"> </w:t>
      </w:r>
      <w:r>
        <w:t>x</w:t>
      </w:r>
      <w:r>
        <w:t xml:space="preserve"> </w:t>
      </w:r>
      <w:r>
        <w:t>/BiVO</w:t>
      </w:r>
      <w:r>
        <w:rPr>
          <w:vertAlign w:val="subscript"/>
        </w:rPr>
        <w:t>4</w:t>
      </w:r>
      <w:r>
        <w:t>to an *O─O* coupling mechanism (OCM). Specifically, this OCM pathway bypasses the formation of *OOH and produces the *O─O* bridging species, broking the *OOH/*OH scaling limitation in the AEM pathway. This work uncovers PEC water oxidation mechanism at the atomic level, establishing a foundational framework for designing high‐performance photoelectrodes through precise atomic‐scale engineering.</w:t>
      </w:r>
    </w:p>
    <w:p>
      <w:pPr>
        <w:spacing w:before="120" w:after="120"/>
      </w:pPr>
      <w:r>
        <w:rPr>
          <w:sz w:val="18"/>
        </w:rPr>
        <w:t>——————————————————————————————————————————————————————————————————————</w:t>
      </w:r>
    </w:p>
    <w:p>
      <w:pPr>
        <w:spacing w:before="160" w:after="40" w:line="240" w:lineRule="auto"/>
      </w:pPr>
      <w:r>
        <w:rPr>
          <w:b/>
        </w:rPr>
        <w:t xml:space="preserve">[41] </w:t>
      </w:r>
      <w:hyperlink r:id="rId226">
        <w:r>
          <w:rPr>
            <w:color w:val="1155CC"/>
            <w:u w:val="single"/>
          </w:rPr>
          <w:t>合理设计甲烷光催化转化为增值化学品的半导体材料</w:t>
        </w:r>
      </w:hyperlink>
    </w:p>
    <w:p>
      <w:pPr>
        <w:spacing w:before="0" w:after="80"/>
      </w:pPr>
      <w:r>
        <w:rPr>
          <w:i/>
          <w:sz w:val="20"/>
        </w:rPr>
        <w:t>EN: Rational Design of Semiconductor Materials for Photocatalytic Conversion of Methane into Value‐Added Chemicals</w:t>
      </w:r>
    </w:p>
    <w:p>
      <w:pPr>
        <w:spacing w:before="0" w:after="120"/>
      </w:pPr>
      <w:r>
        <w:rPr>
          <w:b/>
        </w:rPr>
        <w:t xml:space="preserve">Source: </w:t>
      </w:r>
      <w:r>
        <w:t>Wiley: Advanced Materials: Table of Contents</w:t>
      </w:r>
      <w:r>
        <w:t xml:space="preserve">    </w:t>
      </w:r>
      <w:r>
        <w:rPr>
          <w:b/>
        </w:rPr>
        <w:t xml:space="preserve">Pub date: </w:t>
      </w:r>
      <w:r>
        <w:t>2026-06-03 07:09:36+00:00</w:t>
      </w:r>
      <w:r>
        <w:t xml:space="preserve">    </w:t>
      </w:r>
      <w:r>
        <w:rPr>
          <w:b/>
        </w:rPr>
        <w:t xml:space="preserve">DOI: </w:t>
      </w:r>
      <w:hyperlink r:id="rId227">
        <w:r>
          <w:rPr>
            <w:color w:val="1155CC"/>
            <w:u w:val="single"/>
          </w:rPr>
          <w:t>10.1002/adma.73588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甲烷转化提供了一种有前途的低温途径，可以将这种丰富但高度惰性的碳氢化合物升级为增值化学品，从而规避传统热催化过程的能源密集型特性。然而，实现高转换效率和精确的产物选择性仍然是一个根本挑战。本文系统总结了甲烷增值半导体光催化剂合理设计的最新进展。我们首先概述光驱动 CH 的基本原理</w:t>
      </w:r>
      <w:r>
        <w:rPr>
          <w:vertAlign w:val="subscript"/>
        </w:rPr>
        <w:t>4</w:t>
      </w:r>
      <w:r>
        <w:t>绩效评估的激活和标准化协议。然后，我们重点介绍材料工程的进展，包括金属氧化物、氮化碳和新兴有机框架，重点是建立基本的结构-活性关系。特别强调结构和界面工程策略，包括助催化剂集成、形态控制、缺陷工程、晶面调节、异质结构建和元素掺杂，它们协同调节电子结构和电荷动力学以增强催化性能。此外，我们还研究了催化剂结构和反应微环境之间的关键相互作用，以引导目标产物选择性转向特定的 C</w:t>
      </w:r>
      <w:r>
        <w:rPr>
          <w:vertAlign w:val="subscript"/>
        </w:rPr>
        <w:t>1</w:t>
      </w:r>
      <w:r>
        <w:t>含氧化合物（甲醇、甲醛、甲酸）和 C</w:t>
      </w:r>
      <w:r>
        <w:rPr>
          <w:vertAlign w:val="subscript"/>
        </w:rPr>
        <w:t>2</w:t>
      </w:r>
      <w:r>
        <w:t>产品（乙醇、乙酸、乙烷、</w:t>
      </w:r>
    </w:p>
    <w:p>
      <w:pPr>
        <w:spacing w:before="0" w:after="200" w:lineRule="auto" w:line="276"/>
      </w:pPr>
      <w:r>
        <w:rPr>
          <w:b/>
        </w:rPr>
        <w:t xml:space="preserve">Abstract (EN): </w:t>
      </w:r>
      <w:r>
        <w:t>Photocatalytic methane conversion offers a promising, low‐temperature pathway for upgrading this abundant yet highly inert hydrocarbon into value‐added chemicals, circumventing the energy‐intensive nature of conventional thermocatalytic processes. However, achieving high conversion efficiency and precise product selectivity remains a fundamental challenge. This review systematically summarizes recent advances in the rational design of semiconductor photocatalysts for methane valorization. We first outline the fundamentals of light‐driven CH</w:t>
      </w:r>
      <w:r>
        <w:rPr>
          <w:vertAlign w:val="subscript"/>
        </w:rPr>
        <w:t>4</w:t>
      </w:r>
      <w:r>
        <w:t>activation and standardized protocols for performance evaluation. We then highlight advancements in material engineering, encompassing metal oxides, carbon nitride, and emerging organic frameworks, with a focus on establishing fundamental structure–activity relationships. Particular emphasis is devoted to structural and interfacial engineering strategies, including cocatalyst integration, morphological control, defect engineering, facet regulation, heterojunction construction, and elemental doping, which cooperatively modulate electronic structures and charge dynamics to enhance catalytic performance. Furthermore, we examine the critical interplay between catalyst architecture and the reaction microenvironment in steering the targeted product selectivity toward specific C</w:t>
      </w:r>
      <w:r>
        <w:rPr>
          <w:vertAlign w:val="subscript"/>
        </w:rPr>
        <w:t>1</w:t>
      </w:r>
      <w:r>
        <w:t>oxygenates (methanol, formaldehyde, formic acid) and C</w:t>
      </w:r>
      <w:r>
        <w:rPr>
          <w:vertAlign w:val="subscript"/>
        </w:rPr>
        <w:t>2</w:t>
      </w:r>
      <w:r>
        <w:t>products (ethanol, acetic acid, ethane, and ethylene). Finally, we discuss current bottlenecks and future opportunities, providing a strategic framework to guide the atomic‐level design and practical optimization of next‐generation photocatalytic methane utilization systems.</w:t>
      </w:r>
    </w:p>
    <w:p>
      <w:pPr>
        <w:spacing w:before="120" w:after="120"/>
      </w:pPr>
      <w:r>
        <w:rPr>
          <w:sz w:val="18"/>
        </w:rPr>
        <w:t>——————————————————————————————————————————————————————————————————————</w:t>
      </w:r>
    </w:p>
    <w:p>
      <w:pPr>
        <w:spacing w:before="160" w:after="40" w:line="240" w:lineRule="auto"/>
      </w:pPr>
      <w:r>
        <w:rPr>
          <w:b/>
        </w:rPr>
        <w:t xml:space="preserve">[42] </w:t>
      </w:r>
      <w:hyperlink r:id="rId228">
        <w:r>
          <w:rPr>
            <w:color w:val="1155CC"/>
            <w:u w:val="single"/>
          </w:rPr>
          <w:t>直接成像揭示了制氢纳米团簇中活性位点形成的原子机制</w:t>
        </w:r>
      </w:hyperlink>
    </w:p>
    <w:p>
      <w:pPr>
        <w:spacing w:before="0" w:after="80"/>
      </w:pPr>
      <w:r>
        <w:rPr>
          <w:i/>
          <w:sz w:val="20"/>
        </w:rPr>
        <w:t>EN: Direct Imaging Reveals the Atomic Mechanism of Active‐Site Formation in Nanoclusters for Hydrogen Production</w:t>
      </w:r>
    </w:p>
    <w:p>
      <w:pPr>
        <w:spacing w:before="0" w:after="120"/>
      </w:pPr>
      <w:r>
        <w:rPr>
          <w:b/>
        </w:rPr>
        <w:t xml:space="preserve">Source: </w:t>
      </w:r>
      <w:r>
        <w:t>Wiley: Advanced Materials: Table of Contents</w:t>
      </w:r>
      <w:r>
        <w:t xml:space="preserve">    </w:t>
      </w:r>
      <w:r>
        <w:rPr>
          <w:b/>
        </w:rPr>
        <w:t xml:space="preserve">Pub date: </w:t>
      </w:r>
      <w:r>
        <w:t>2026-06-03 07:11:50+00:00</w:t>
      </w:r>
      <w:r>
        <w:t xml:space="preserve">    </w:t>
      </w:r>
      <w:r>
        <w:rPr>
          <w:b/>
        </w:rPr>
        <w:t xml:space="preserve">DOI: </w:t>
      </w:r>
      <w:hyperlink r:id="rId229">
        <w:r>
          <w:rPr>
            <w:color w:val="1155CC"/>
            <w:u w:val="single"/>
          </w:rPr>
          <w:t>10.1002/adma.73454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了解催化活性位点在工作条件下如何出现和演变是限制多相催化剂合理设计的基本挑战。在这里，我们直接可视化析氢过程中合金化 PtNi 和相分离 Pt-NiO 纳米团簇之间的转变。使用原位低压像差校正电子显微镜，以电子束作为刺激物和探针，我们追踪了低水蒸气条件下活性位点的形成。 PtNi 纳米团簇通过受控的原子混合进行组装，产生两种不同的构型熵态。在反应条件下，双金属纳米团簇的转变从熵稳定合金转变为热函有利的相分离构型，由氧气可用性和临界核尺寸控制。在真实空间中观察到的原子动力学与催化性能直接相关，其中低熵 Pt-NiO 态实现了创纪录的 11.1 A/mg 的析氢质量活性</w:t>
      </w:r>
      <w:r>
        <w:t xml:space="preserve"> </w:t>
      </w:r>
      <w:r>
        <w:t>铂</w:t>
      </w:r>
      <w:r>
        <w:t xml:space="preserve"> </w:t>
      </w:r>
      <w:r>
        <w:t>由于高密度的界面位点促进了 NiO 上的水解离和 Pt 原子上的有效氢吸附。</w:t>
      </w:r>
    </w:p>
    <w:p>
      <w:pPr>
        <w:spacing w:before="0" w:after="200" w:lineRule="auto" w:line="276"/>
      </w:pPr>
      <w:r>
        <w:rPr>
          <w:b/>
        </w:rPr>
        <w:t xml:space="preserve">Abstract (EN): </w:t>
      </w:r>
      <w:r>
        <w:t>Understanding how catalytically active sites emerge and evolve under working conditions is a fundamental challenge that limits the rational design of heterogeneous catalysts. Here, we directly visualize the transformation between alloyed PtNi and phase‐separated Pt‐NiO nanoclusters during hydrogen evolution. Using in situ low‐voltage aberration‐corrected electron microscopy, with the electron beam serving as both the stimulus and probe, we track the formation of active sites under low‐water‐vapor conditions. PtNi nanoclusters were assembled with controlled mixing of the atoms, resulting in two distinct configurational entropy states. Under reaction conditions, the transformation of bimetallic nanoclusters shifts from an entropically stabilized alloy to an enthalpically favored phase‐separated configuration, controlled by oxygen availability and by a critical nucleus size. The atomic dynamics observed in real space correlate directly with catalytic performance, where the low‐entropy Pt‐NiO state achieves a record hydrogen evolution mass activity of 11.1 A/mg</w:t>
      </w:r>
      <w:r>
        <w:t xml:space="preserve"> </w:t>
      </w:r>
      <w:r>
        <w:t>Pt</w:t>
      </w:r>
      <w:r>
        <w:t xml:space="preserve"> </w:t>
      </w:r>
      <w:r>
        <w:t>due to a high density of interfacial sites that promote water dissociation on NiO and efficient hydrogen adsorption on Pt atoms.</w:t>
      </w:r>
    </w:p>
    <w:p>
      <w:pPr>
        <w:spacing w:before="120" w:after="120"/>
      </w:pPr>
      <w:r>
        <w:rPr>
          <w:sz w:val="18"/>
        </w:rPr>
        <w:t>——————————————————————————————————————————————————————————————————————</w:t>
      </w:r>
    </w:p>
    <w:p>
      <w:pPr>
        <w:spacing w:before="160" w:after="40" w:line="240" w:lineRule="auto"/>
      </w:pPr>
      <w:r>
        <w:rPr>
          <w:b/>
        </w:rPr>
        <w:t xml:space="preserve">[43] </w:t>
      </w:r>
      <w:hyperlink r:id="rId230">
        <w:r>
          <w:rPr>
            <w:color w:val="1155CC"/>
            <w:u w:val="single"/>
          </w:rPr>
          <w:t>有机溶剂中的自发化学胺氧化与电化学产氢相结合</w:t>
        </w:r>
      </w:hyperlink>
    </w:p>
    <w:p>
      <w:pPr>
        <w:spacing w:before="0" w:after="80"/>
      </w:pPr>
      <w:r>
        <w:rPr>
          <w:i/>
          <w:sz w:val="20"/>
        </w:rPr>
        <w:t>EN: Spontaneous Chemical Amine Oxidation in Organic Solvents Paired With Electrochemical Hydrogen Production</w:t>
      </w:r>
    </w:p>
    <w:p>
      <w:pPr>
        <w:spacing w:before="0" w:after="120"/>
      </w:pPr>
      <w:r>
        <w:rPr>
          <w:b/>
        </w:rPr>
        <w:t xml:space="preserve">Source: </w:t>
      </w:r>
      <w:r>
        <w:t>Wiley: Angewandte Chemie International Edition: Table of Contents</w:t>
      </w:r>
      <w:r>
        <w:t xml:space="preserve">    </w:t>
      </w:r>
      <w:r>
        <w:rPr>
          <w:b/>
        </w:rPr>
        <w:t xml:space="preserve">Pub date: </w:t>
      </w:r>
      <w:r>
        <w:t>2026-06-03 07:14:21+00:00</w:t>
      </w:r>
      <w:r>
        <w:t xml:space="preserve">    </w:t>
      </w:r>
      <w:r>
        <w:rPr>
          <w:b/>
        </w:rPr>
        <w:t xml:space="preserve">DOI: </w:t>
      </w:r>
      <w:hyperlink r:id="rId231">
        <w:r>
          <w:rPr>
            <w:color w:val="1155CC"/>
            <w:u w:val="single"/>
          </w:rPr>
          <w:t>10.1002/anie.9937212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苯甲腈 (BN) 是一种多功能化学原料，广泛应用于多个领域。电化学苯甲胺氧化反应 (BOR) 为 BN 合成提供了一种可持续的方法，同时使 H</w:t>
      </w:r>
      <w:r>
        <w:rPr>
          <w:vertAlign w:val="subscript"/>
        </w:rPr>
        <w:t>2</w:t>
      </w:r>
      <w:r>
        <w:t>通过析氢反应（HER）产生燃料。碱性电解质通常用于降低 BOR 过电势，但会促进苄亚胺中间体和氮化硼产物的水解，从而导致显着的碳损失。这些副反应在工业相关条件下 (&gt;50 mM) 变得更加明显。在这项研究中，氧化还原储存器 (RR) 用于将 BOR 与 HER 解耦，从而允许它们独立运行。利用高度正的形式势，RR 促进己烷中的自发 BOR，有效避免水解问题并简化产品纯化。此外，RR 中的 NiOOH 物质作为反应位点，对苯甲胺 (BA) 具有很强的亲和力，并且自还原可忽略不计，从而即使在 BA 浓度超过 100 mM 时也能实现高 BN 产率和法拉第效率。为了进一步证明其多功能性，还测试了带有各种官能团的BA衍生物，所有这些衍生物都成功转化为相应的腈。这些结果凸显了 RR 系统适应不同基材并满足特定市场需求的灵活性。</w:t>
      </w:r>
    </w:p>
    <w:p>
      <w:pPr>
        <w:spacing w:before="0" w:after="200" w:lineRule="auto" w:line="276"/>
      </w:pPr>
      <w:r>
        <w:rPr>
          <w:b/>
        </w:rPr>
        <w:t xml:space="preserve">Abstract (EN): </w:t>
      </w:r>
      <w:r>
        <w:t>Benzonitrile (BN) is a versatile chemical building block extensively applied across multiple sectors. Electrochemical benzylamine oxidation reaction (BOR) provides a sustainable method for BN synthesis, simultaneously enabling H</w:t>
      </w:r>
      <w:r>
        <w:rPr>
          <w:vertAlign w:val="subscript"/>
        </w:rPr>
        <w:t>2</w:t>
      </w:r>
      <w:r>
        <w:t>fuel generation via hydrogen evolution reaction (HER). Alkaline electrolytes are commonly used to reduce the BOR overpotential but promote the hydrolytic decomposition of benzylimine intermediates and BN products, contributing to significant carbon loss. These side reactions become more pronounced under industrially relevant conditions (&amp;gt;50 mM). In this study, redox reservoirs (RRs) were employed to decouple BOR from HER, allowing their independent operation. Utilizing a highly positive formal potential, RRs facilitated spontaneous BOR in hexane, effectively circumventing hydrolysis issues and simplifying the product purification. Furthermore, NiOOH species within RRs functioned as reactive sites with strong affinity toward benzylamine (BA) and negligible self‐reduction, thereby achieving high BN yield and Faradaic efficiency even at BA concentrations exceeding 100 mM. To further demonstrate the versatility, BA derivatives bearing various functional groups were also tested, all of which were successfully converted into their corresponding nitriles. These results highlight the flexibility of RR system to accommodate diverse substrates and meet specific market demands.</w:t>
      </w:r>
    </w:p>
    <w:p>
      <w:pPr>
        <w:spacing w:before="120" w:after="120"/>
      </w:pPr>
      <w:r>
        <w:rPr>
          <w:sz w:val="18"/>
        </w:rPr>
        <w:t>——————————————————————————————————————————————————————————————————————</w:t>
      </w:r>
    </w:p>
    <w:p>
      <w:pPr>
        <w:spacing w:before="160" w:after="40" w:line="240" w:lineRule="auto"/>
      </w:pPr>
      <w:r>
        <w:rPr>
          <w:b/>
        </w:rPr>
        <w:t xml:space="preserve">[44] </w:t>
      </w:r>
      <w:hyperlink r:id="rId232">
        <w:r>
          <w:rPr>
            <w:color w:val="1155CC"/>
            <w:u w:val="single"/>
          </w:rPr>
          <w:t>在 Cu 催化位点上的反 ZrO2 整体上模拟 CO2 加氢生成甲醇：机理、反应性和失活</w:t>
        </w:r>
      </w:hyperlink>
    </w:p>
    <w:p>
      <w:pPr>
        <w:spacing w:before="0" w:after="80"/>
      </w:pPr>
      <w:r>
        <w:rPr>
          <w:i/>
          <w:sz w:val="20"/>
        </w:rPr>
        <w:t>EN: Modeling CO2 Hydrogenation to Methanol on an Ensemble of Inverse ZrO2 on Cu Catalytic Sites: Mechanism, Reactivity, and Deactivation</w:t>
      </w:r>
    </w:p>
    <w:p>
      <w:pPr>
        <w:spacing w:before="0" w:after="120"/>
      </w:pPr>
      <w:r>
        <w:rPr>
          <w:b/>
        </w:rPr>
        <w:t xml:space="preserve">Source: </w:t>
      </w:r>
      <w:r>
        <w:t>Wiley: Angewandte Chemie International Edition: Table of Contents</w:t>
      </w:r>
      <w:r>
        <w:t xml:space="preserve">    </w:t>
      </w:r>
      <w:r>
        <w:rPr>
          <w:b/>
        </w:rPr>
        <w:t xml:space="preserve">Pub date: </w:t>
      </w:r>
      <w:r>
        <w:t>2026-06-03 11:53:52+00:00</w:t>
      </w:r>
      <w:r>
        <w:t xml:space="preserve">    </w:t>
      </w:r>
      <w:r>
        <w:rPr>
          <w:b/>
        </w:rPr>
        <w:t xml:space="preserve">DOI: </w:t>
      </w:r>
      <w:hyperlink r:id="rId233">
        <w:r>
          <w:rPr>
            <w:color w:val="1155CC"/>
            <w:u w:val="single"/>
          </w:rPr>
          <w:t>10.1002/anie.5448247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反氧化锆</w:t>
      </w:r>
      <w:r>
        <w:rPr>
          <w:vertAlign w:val="subscript"/>
        </w:rPr>
        <w:t>2</w:t>
      </w:r>
      <w:r>
        <w:t>/Cu 催化剂，其中氧化锆沉积在铜颗粒上，显示出转化 CO 的高催化性能</w:t>
      </w:r>
      <w:r>
        <w:rPr>
          <w:vertAlign w:val="subscript"/>
        </w:rPr>
        <w:t>2</w:t>
      </w:r>
      <w:r>
        <w:t>至甲醇。我们采用密度泛函理论 (DFT) 计算来研究 CO</w:t>
      </w:r>
      <w:r>
        <w:rPr>
          <w:vertAlign w:val="subscript"/>
        </w:rPr>
        <w:t>2</w:t>
      </w:r>
      <w:r>
        <w:t>Cu (111) 上高度分散的 Zr 氧化物簇模型的氢化反应机制。该探索不是在单个活性位点配置上进行的，而是在反应条件下可访问的 83 个甲酸盐配置的集合中进行的。详细的反应路径分析表明，结构敏感性非常明显，并且只有 10 种催化剂构型在整个路径中具有显着活性。所研究的逆结构的转换频率很大程度上取决于甲氧基形成后的反应步骤，而不是甲酸酯氢化步骤，并且甲氧基中间体的能量是关键的反应性描述符。对于整体平均活性提出了两个假设：其中位点总体的概率是在甲酸盐中间体或甲氧基静止状态下确定的。与前者相比，后者极大地改变了位点分布，消除了活性结构并将平均速率降低了 1000 倍。催化剂刚性通过减缓从更活跃的甲氧基结合态到不太活跃的甲氧基结合态的结构演化来帮助保持活性。</w:t>
      </w:r>
    </w:p>
    <w:p>
      <w:pPr>
        <w:spacing w:before="0" w:after="200" w:lineRule="auto" w:line="276"/>
      </w:pPr>
      <w:r>
        <w:rPr>
          <w:b/>
        </w:rPr>
        <w:t xml:space="preserve">Abstract (EN): </w:t>
      </w:r>
      <w:r>
        <w:t>Inverse ZrO</w:t>
      </w:r>
      <w:r>
        <w:rPr>
          <w:vertAlign w:val="subscript"/>
        </w:rPr>
        <w:t>2</w:t>
      </w:r>
      <w:r>
        <w:t>/Cu catalysts, where Zr oxide is deposited on Cu particles, show a high catalytic performance converting CO</w:t>
      </w:r>
      <w:r>
        <w:rPr>
          <w:vertAlign w:val="subscript"/>
        </w:rPr>
        <w:t>2</w:t>
      </w:r>
      <w:r>
        <w:t>to methanol. We employ density functional theory (DFT) calculations to investigate the CO</w:t>
      </w:r>
      <w:r>
        <w:rPr>
          <w:vertAlign w:val="subscript"/>
        </w:rPr>
        <w:t>2</w:t>
      </w:r>
      <w:r>
        <w:t>hydrogenation reaction mechanisms on a model of highly dispersed Zr oxide clusters on Cu (111). The exploration is not performed on a single active site configuration but across an ensemble of 83 formate configurations accessible under reaction conditions. Detailed reaction‐pathway analysis reveals that structural sensitivity is pronounced, and only 10 of the catalyst configurations are significantly active across the full pathway. The turnover frequency of the studied inverse structures is largely determined by reaction steps after methoxy formation, rather than the formate hydrogenation steps, and the energy of the methoxy intermediate is a key reactivity descriptor. Two hypotheses are presented for the ensemble average activity: where the probabilities of site populations are determined at the formate intermediate, or at the methoxy resting state. The latter, compared to the former, drastically changes the site distribution, eliminating active structures and decreasing the average rate by a factor of 1000. Catalyst rigidity helps maintain activity by slowing down the structural evolution from the more active formate‐bound states to the less active methoxy‐bound states.</w:t>
      </w:r>
    </w:p>
    <w:p>
      <w:pPr>
        <w:spacing w:before="120" w:after="120"/>
      </w:pPr>
      <w:r>
        <w:rPr>
          <w:sz w:val="18"/>
        </w:rPr>
        <w:t>——————————————————————————————————————————————————————————————————————</w:t>
      </w:r>
    </w:p>
    <w:p>
      <w:pPr>
        <w:spacing w:before="160" w:after="40" w:line="240" w:lineRule="auto"/>
      </w:pPr>
      <w:r>
        <w:rPr>
          <w:b/>
        </w:rPr>
        <w:t xml:space="preserve">[45] </w:t>
      </w:r>
      <w:hyperlink r:id="rId234">
        <w:r>
          <w:rPr>
            <w:color w:val="1155CC"/>
            <w:u w:val="single"/>
          </w:rPr>
          <w:t>用于近乎统一的硝酸盐至氨电催化的光热响应人工酶组装工程</w:t>
        </w:r>
      </w:hyperlink>
    </w:p>
    <w:p>
      <w:pPr>
        <w:spacing w:before="0" w:after="80"/>
      </w:pPr>
      <w:r>
        <w:rPr>
          <w:i/>
          <w:sz w:val="20"/>
        </w:rPr>
        <w:t>EN: Photothermal‐Responsive Artificial Enzyme Assembly Engineering for Near‐Unity Nitrate‐to‐Ammonia Electrocatalysis</w:t>
      </w:r>
    </w:p>
    <w:p>
      <w:pPr>
        <w:spacing w:before="0" w:after="120"/>
      </w:pPr>
      <w:r>
        <w:rPr>
          <w:b/>
        </w:rPr>
        <w:t xml:space="preserve">Source: </w:t>
      </w:r>
      <w:r>
        <w:t>Wiley: Angewandte Chemie International Edition: Table of Contents</w:t>
      </w:r>
      <w:r>
        <w:t xml:space="preserve">    </w:t>
      </w:r>
      <w:r>
        <w:rPr>
          <w:b/>
        </w:rPr>
        <w:t xml:space="preserve">Pub date: </w:t>
      </w:r>
      <w:r>
        <w:t>2026-06-03 12:16:35+00:00</w:t>
      </w:r>
      <w:r>
        <w:t xml:space="preserve">    </w:t>
      </w:r>
      <w:r>
        <w:rPr>
          <w:b/>
        </w:rPr>
        <w:t xml:space="preserve">DOI: </w:t>
      </w:r>
      <w:hyperlink r:id="rId235">
        <w:r>
          <w:rPr>
            <w:color w:val="1155CC"/>
            <w:u w:val="single"/>
          </w:rPr>
          <w:t>10.1002/anie.8218979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天然酶促硝酸盐（NO</w:t>
      </w:r>
      <w:r>
        <w:rPr>
          <w:vertAlign w:val="subscript"/>
        </w:rPr>
        <w:t>3</w:t>
      </w:r>
      <w:r>
        <w:t>－</w:t>
      </w:r>
      <w:r>
        <w:t xml:space="preserve"> </w:t>
      </w:r>
      <w:r>
        <w:t>）转换在人为干扰下表现出固有的局限性。在此，我们提出了一种将光热模块与仿生催化框架集成的人工酶组装工程，旨在超越天然酶的功能。集成催化剂（Cu</w:t>
      </w:r>
      <w:r>
        <w:t xml:space="preserve"> </w:t>
      </w:r>
      <w:r>
        <w:t>x</w:t>
      </w:r>
      <w:r>
        <w:t xml:space="preserve"> </w:t>
      </w:r>
      <w:r>
        <w:t>/铜</w:t>
      </w:r>
      <w:r>
        <w:rPr>
          <w:vertAlign w:val="subscript"/>
        </w:rPr>
        <w:t>1</w:t>
      </w:r>
      <w:r>
        <w:t>‐NC）具有共存的铜簇和固定在氮掺杂碳基底上的单原子。在光电系统中，催化剂表现出接近 100% 的氨（NH</w:t>
      </w:r>
      <w:r>
        <w:rPr>
          <w:vertAlign w:val="subscript"/>
        </w:rPr>
        <w:t>3</w:t>
      </w:r>
      <w:r>
        <w:t>) 选择性，带有 NH</w:t>
      </w:r>
      <w:r>
        <w:rPr>
          <w:vertAlign w:val="subscript"/>
        </w:rPr>
        <w:t>3</w:t>
      </w:r>
      <w:r>
        <w:t>与未改性的单原子催化剂（Cu</w:t>
      </w:r>
      <w:r>
        <w:rPr>
          <w:vertAlign w:val="subscript"/>
        </w:rPr>
        <w:t>1</w:t>
      </w:r>
      <w:r>
        <w:t>‐C)。原子和分子水平的机理研究表明，Cu簇和Cu单原子成功地模拟了含铜亚硝酸还原酶（Cu-NIR）中的T1Cu和T2Cu，在NO过程中提供电子和质子</w:t>
      </w:r>
      <w:r>
        <w:rPr>
          <w:vertAlign w:val="subscript"/>
        </w:rPr>
        <w:t>3</w:t>
      </w:r>
      <w:r>
        <w:t>－</w:t>
      </w:r>
      <w:r>
        <w:t xml:space="preserve"> </w:t>
      </w:r>
      <w:r>
        <w:t>还原过程。氮掺杂碳底物具有类似于酶中氨基酸残基的不对称电子分布功能，构建了有效的*H转移网络。原位检测和物理建模表明，Cu团簇的等离激元共振产生的电磁场强度为对数44.8</w:t>
      </w:r>
    </w:p>
    <w:p>
      <w:pPr>
        <w:spacing w:before="0" w:after="200" w:lineRule="auto" w:line="276"/>
      </w:pPr>
      <w:r>
        <w:rPr>
          <w:b/>
        </w:rPr>
        <w:t xml:space="preserve">Abstract (EN): </w:t>
      </w:r>
      <w:r>
        <w:t>Natural enzymatic nitrate (NO</w:t>
      </w:r>
      <w:r>
        <w:rPr>
          <w:vertAlign w:val="subscript"/>
        </w:rPr>
        <w:t>3</w:t>
      </w:r>
      <w:r>
        <w:t>‒</w:t>
      </w:r>
      <w:r>
        <w:t xml:space="preserve"> </w:t>
      </w:r>
      <w:r>
        <w:t>) conversion exhibits inherent limitations under anthropogenic disturbances. Herein, we proposed an artificial enzyme assembly engineering that integrated a photothermal module with a biomimetic catalytic framework, aiming to transcend the functionality of natural enzyme. The integrated catalyst (Cu</w:t>
      </w:r>
      <w:r>
        <w:t xml:space="preserve"> </w:t>
      </w:r>
      <w:r>
        <w:t>x</w:t>
      </w:r>
      <w:r>
        <w:t xml:space="preserve"> </w:t>
      </w:r>
      <w:r>
        <w:t>/Cu</w:t>
      </w:r>
      <w:r>
        <w:rPr>
          <w:vertAlign w:val="subscript"/>
        </w:rPr>
        <w:t>1</w:t>
      </w:r>
      <w:r>
        <w:t>‐NC) features coexisting Cu clusters and single atoms anchored on a nitrogen‐doped carbon substrate. In a photo‐electro system, the catalyst exhibited nearly 100% ammonia (NH</w:t>
      </w:r>
      <w:r>
        <w:rPr>
          <w:vertAlign w:val="subscript"/>
        </w:rPr>
        <w:t>3</w:t>
      </w:r>
      <w:r>
        <w:t>) selectivity, with an NH</w:t>
      </w:r>
      <w:r>
        <w:rPr>
          <w:vertAlign w:val="subscript"/>
        </w:rPr>
        <w:t>3</w:t>
      </w:r>
      <w:r>
        <w:t>yield increased by 23.1 times compared to the unmodified single‐atom catalyst (Cu</w:t>
      </w:r>
      <w:r>
        <w:rPr>
          <w:vertAlign w:val="subscript"/>
        </w:rPr>
        <w:t>1</w:t>
      </w:r>
      <w:r>
        <w:t>‐C). Mechanistic studies at the atomic and molecular levels reveal that, Cu clusters and Cu single atoms successfully mimic T1Cu and T2Cu in copper‐containing nitrite reductase (Cu‐NIR), supplying electrons and protons during NO</w:t>
      </w:r>
      <w:r>
        <w:rPr>
          <w:vertAlign w:val="subscript"/>
        </w:rPr>
        <w:t>3</w:t>
      </w:r>
      <w:r>
        <w:t>‒</w:t>
      </w:r>
      <w:r>
        <w:t xml:space="preserve"> </w:t>
      </w:r>
      <w:r>
        <w:t>reduction process. Nitrogen‐doped carbon substrate possesses an asymmetric electron distribution function akin to that of amino acid residues in enzymes, constructing an efficient *H transfer network. In situ detection and physical modeling demonstrated that, the plasmonic resonance of Cu clusters generates an electromagnetic field intensity of 44.8 on a log</w:t>
      </w:r>
      <w:r>
        <w:rPr>
          <w:vertAlign w:val="subscript"/>
        </w:rPr>
        <w:t>10</w:t>
      </w:r>
      <w:r>
        <w:t>(|E|</w:t>
      </w:r>
      <w:r>
        <w:rPr>
          <w:vertAlign w:val="subscript"/>
        </w:rPr>
        <w:t>2</w:t>
      </w:r>
      <w:r>
        <w:t>) scale at the interatomic gaps and produces an interfacial thermal field of 80.1°C within 1 min under irradiation of 400 mW·cm</w:t>
      </w:r>
      <w:r>
        <w:t xml:space="preserve"> </w:t>
      </w:r>
      <w:r>
        <w:t>−2</w:t>
      </w:r>
      <w:r>
        <w:t xml:space="preserve"> </w:t>
      </w:r>
      <w:r>
        <w:t>, thereby promoting reactivity. This work offers a state‐of‐the‐art photothermal‐responsive artificial enzyme assembly strategy for directed NO</w:t>
      </w:r>
      <w:r>
        <w:rPr>
          <w:vertAlign w:val="subscript"/>
        </w:rPr>
        <w:t>3</w:t>
      </w:r>
      <w:r>
        <w:t>‒</w:t>
      </w:r>
      <w:r>
        <w:t xml:space="preserve"> </w:t>
      </w:r>
      <w:r>
        <w:t>conversion.</w:t>
      </w:r>
    </w:p>
    <w:p>
      <w:pPr>
        <w:spacing w:before="120" w:after="120"/>
      </w:pPr>
      <w:r>
        <w:rPr>
          <w:sz w:val="18"/>
        </w:rPr>
        <w:t>——————————————————————————————————————————————————————————————————————</w:t>
      </w:r>
    </w:p>
    <w:p>
      <w:pPr>
        <w:spacing w:before="160" w:after="40" w:line="240" w:lineRule="auto"/>
      </w:pPr>
      <w:r>
        <w:rPr>
          <w:b/>
        </w:rPr>
        <w:t xml:space="preserve">[46] </w:t>
      </w:r>
      <w:hyperlink r:id="rId236">
        <w:r>
          <w:rPr>
            <w:color w:val="1155CC"/>
            <w:u w:val="single"/>
          </w:rPr>
          <w:t>高密度 Fe─N─C 催化剂上定制的 O─O 自由基偶联路线，用于稳定的工业规模水氧化</w:t>
        </w:r>
      </w:hyperlink>
    </w:p>
    <w:p>
      <w:pPr>
        <w:spacing w:before="0" w:after="80"/>
      </w:pPr>
      <w:r>
        <w:rPr>
          <w:i/>
          <w:sz w:val="20"/>
        </w:rPr>
        <w:t>EN: Customized O─O Radical Coupling Route on High‐Density Fe─N─C Catalysts for Stable Industrial‐Scale Water Oxidation</w:t>
      </w:r>
    </w:p>
    <w:p>
      <w:pPr>
        <w:spacing w:before="0" w:after="120"/>
      </w:pPr>
      <w:r>
        <w:rPr>
          <w:b/>
        </w:rPr>
        <w:t xml:space="preserve">Source: </w:t>
      </w:r>
      <w:r>
        <w:t>Wiley: Angewandte Chemie International Edition: Table of Contents</w:t>
      </w:r>
      <w:r>
        <w:t xml:space="preserve">    </w:t>
      </w:r>
      <w:r>
        <w:rPr>
          <w:b/>
        </w:rPr>
        <w:t xml:space="preserve">Pub date: </w:t>
      </w:r>
      <w:r>
        <w:t>2026-06-03 14:33:13+00:00</w:t>
      </w:r>
      <w:r>
        <w:t xml:space="preserve">    </w:t>
      </w:r>
      <w:r>
        <w:rPr>
          <w:b/>
        </w:rPr>
        <w:t xml:space="preserve">DOI: </w:t>
      </w:r>
      <w:hyperlink r:id="rId237">
        <w:r>
          <w:rPr>
            <w:color w:val="1155CC"/>
            <w:u w:val="single"/>
          </w:rPr>
          <w:t>10.1002/anie.9504269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成本、高效且耐用的析氧反应（OER）催化剂对于通过阴离子交换膜水电解推进大规模氢气生产至关重要。然而，目前最先进的催化剂因高电流密度下的操作稳定性不足以及动态操作条件下缺乏对反应路径的精确控制而受到阻碍。在这项工作中，理论计算揭示了Fe位点密度对Fe─N─C单原子催化剂上关键OER中间体吸附能的连续调节作用。实验结果进一步表明，通过逐渐增加 Fe 位点密度，表面</w:t>
      </w:r>
      <w:r>
        <w:t xml:space="preserve"> </w:t>
      </w:r>
      <w:r>
        <w:t>*</w:t>
      </w:r>
      <w:r>
        <w:t xml:space="preserve"> </w:t>
      </w:r>
      <w:r>
        <w:t>OH 覆盖范围可以进行微调，从而实现 OER 机制从吸附演化机制到氧化物途径机制 (OPM) 的可控切换。 OPM 后的高密度 Fe─N─C 催化剂（HDFe-N-C，Fe 负载量 14.7 wt.%）表现出卓越的电化学稳定性，可在 500 mA cm 电流下连续运行 2000 小时</w:t>
      </w:r>
      <w:r>
        <w:t xml:space="preserve"> </w:t>
      </w:r>
      <w:r>
        <w:t>−2</w:t>
      </w:r>
      <w:r>
        <w:t xml:space="preserve"> </w:t>
      </w:r>
      <w:r>
        <w:t>具有 288 mV 的低过电势。当集成到阴离子交换膜电解槽中时，该装置可达到 5 A cm</w:t>
      </w:r>
      <w:r>
        <w:t xml:space="preserve"> </w:t>
      </w:r>
      <w:r>
        <w:t>−2</w:t>
      </w:r>
      <w:r>
        <w:t xml:space="preserve"> </w:t>
      </w:r>
      <w:r>
        <w:t>仅需 2.15 V 即可保持稳定性能 500 小时。</w:t>
      </w:r>
    </w:p>
    <w:p>
      <w:pPr>
        <w:spacing w:before="0" w:after="200" w:lineRule="auto" w:line="276"/>
      </w:pPr>
      <w:r>
        <w:rPr>
          <w:b/>
        </w:rPr>
        <w:t xml:space="preserve">Abstract (EN): </w:t>
      </w:r>
      <w:r>
        <w:t>Low‐cost, efficient, and durable oxygen evolution reaction (OER) catalysts are essential for advancing large‐scale hydrogen production via anion‐exchange membrane water electrolysis. However, current state‐of‐the‐art catalysts are hindered by insufficient operational stability at high current densities and a lack of precise control over reaction pathways under dynamic operating conditions. In this work, theoretical calculations reveal a continuous regulatory effect of Fe site density on the adsorption energies of key OER intermediates on Fe─N─C single‐atom catalysts. Experimental results further demonstrate that by progressively increasing the Fe site density, the surface</w:t>
      </w:r>
      <w:r>
        <w:t xml:space="preserve"> </w:t>
      </w:r>
      <w:r>
        <w:t>*</w:t>
      </w:r>
      <w:r>
        <w:t xml:space="preserve"> </w:t>
      </w:r>
      <w:r>
        <w:t>OH coverage can be finely tuned, enabling a controllable switch of the OER mechanism from an adsorption evolution mechanism to an oxide pathway mechanism (OPM). A high‐density Fe─N─C catalyst (HDFe‐N‐C, Fe loading 14.7 wt.%) following OPM exhibits remarkable electrochemical stability, operating continuously for 2000 h at 500 mA cm</w:t>
      </w:r>
      <w:r>
        <w:t xml:space="preserve"> </w:t>
      </w:r>
      <w:r>
        <w:t>−2</w:t>
      </w:r>
      <w:r>
        <w:t xml:space="preserve"> </w:t>
      </w:r>
      <w:r>
        <w:t>with a low overpotential of 288 mV. When integrated into an anion‐exchange membrane electrolyzer, the device achieves 5 A cm</w:t>
      </w:r>
      <w:r>
        <w:t xml:space="preserve"> </w:t>
      </w:r>
      <w:r>
        <w:t>−2</w:t>
      </w:r>
      <w:r>
        <w:t xml:space="preserve"> </w:t>
      </w:r>
      <w:r>
        <w:t>at only 2.15 V and maintains stable performance for 500 h.</w:t>
      </w:r>
    </w:p>
    <w:p>
      <w:pPr>
        <w:spacing w:before="120" w:after="120"/>
      </w:pPr>
      <w:r>
        <w:rPr>
          <w:sz w:val="18"/>
        </w:rPr>
        <w:t>——————————————————————————————————————————————————————————————————————</w:t>
      </w:r>
    </w:p>
    <w:p>
      <w:pPr>
        <w:spacing w:before="160" w:after="40" w:line="240" w:lineRule="auto"/>
      </w:pPr>
      <w:r>
        <w:rPr>
          <w:b/>
        </w:rPr>
        <w:t xml:space="preserve">[47] </w:t>
      </w:r>
      <w:hyperlink r:id="rId238">
        <w:r>
          <w:rPr>
            <w:color w:val="1155CC"/>
            <w:u w:val="single"/>
          </w:rPr>
          <w:t>Ru 团簇的尺寸依赖性动态表面状态：调节界面水结构以增强碱性析氢反应</w:t>
        </w:r>
      </w:hyperlink>
    </w:p>
    <w:p>
      <w:pPr>
        <w:spacing w:before="0" w:after="80"/>
      </w:pPr>
      <w:r>
        <w:rPr>
          <w:i/>
          <w:sz w:val="20"/>
        </w:rPr>
        <w:t>EN: Size-Dependent Dynamic Surface States of Ru Clusters: Modulating Interfacial Water Structure for Enhanced Alkaline Hydrogen Evolution Reaction</w:t>
      </w:r>
    </w:p>
    <w:p>
      <w:pPr>
        <w:spacing w:before="0" w:after="120"/>
      </w:pPr>
      <w:r>
        <w:rPr>
          <w:b/>
        </w:rPr>
        <w:t xml:space="preserve">Source: </w:t>
      </w:r>
      <w:r>
        <w:t>RSC - Energy Environ. Sci. latest articles</w:t>
      </w:r>
      <w:r>
        <w:t xml:space="preserve">    </w:t>
      </w:r>
      <w:r>
        <w:rPr>
          <w:b/>
        </w:rPr>
        <w:t xml:space="preserve">Pub date: </w:t>
      </w:r>
      <w:r>
        <w:t>2026-06-03 23:00:00+00:00</w:t>
      </w:r>
    </w:p>
    <w:p>
      <w:pPr>
        <w:spacing w:before="0" w:after="120"/>
      </w:pPr>
      <w:r>
        <w:rPr>
          <w:b/>
        </w:rPr>
        <w:t xml:space="preserve">Notes: </w:t>
      </w:r>
      <w:r>
        <w:t>abstract_source=rsc_html</w:t>
      </w:r>
    </w:p>
    <w:p>
      <w:pPr>
        <w:spacing w:before="0" w:after="80" w:lineRule="auto" w:line="276"/>
      </w:pPr>
      <w:r>
        <w:rPr>
          <w:b/>
        </w:rPr>
        <w:t xml:space="preserve">摘要（ZH）: </w:t>
      </w:r>
      <w:r>
        <w:t>构建明确的原子结构是提高催化性能和金属利用率的关键策略。在这种背景下，亚纳米团簇通过提供独特的电子结构和有效的金属利用，弥合了单原子和纳米粒子之间的差距，引起了人们的极大兴趣。然而，电化学条件下活性位点的动态表面态常常被忽视。这对于亚纳米团簇尤其重要，其中大量的低配位金属原子导致不同的表面行为。在此，我们通过探测碱性析氢反应（HER）条件下尺寸依赖性氧化态（从原子分散结构到亚纳米和更大的Ru簇）来阐明Ru催化剂的动态表面行为。通过结合原位X射线吸收光谱和原位衰减全反射表面增强红外吸收光谱，我们揭示了亚纳米Ru簇即使在还原反应条件下也能维持部分氧化的表面态，并伴随着界面水结构的显着调制。得益于动态稳定的氧化表面态，~1 nm Ru 亚纳米团簇即使在阴离子交换膜水电解槽中 50 ℃ 的低工作温度下，也能在 2.0 V 电压下实现工业相关的电流密度 5.34 A cm-2。值得注意的是，即使达到能源部 (DOE) 的最终目标负载，设计的催化剂也超过了 DOE 2026 年的性能目标。这些f</w:t>
      </w:r>
    </w:p>
    <w:p>
      <w:pPr>
        <w:spacing w:before="0" w:after="200" w:lineRule="auto" w:line="276"/>
      </w:pPr>
      <w:r>
        <w:rPr>
          <w:b/>
        </w:rPr>
        <w:t xml:space="preserve">Abstract (EN): </w:t>
      </w:r>
      <w:r>
        <w:t>Constructing well-defined atomic structures is a pivotal strategy for enhancing catalytic performance and metal utilization. In this context, sub-nanometer clusters, bridging the gap between single atoms and nanoparticles, have attracted considerable interest by offering distinct electronic structures with efficient metal utilization. However, the dynamic surface states of active sites under electrochemical conditions have often been overlooked. This is particularly critical for sub-nanometer clusters, where the abundance of low-coordinated metal atoms leads to distinct surface behavior. Herein, we elucidate the dynamic surface behavior of Ru catalysts by probing size-dependent oxidation states under alkaline hydrogen evolution reaction (HER) conditions, ranging from atomically dispersed structures to sub-nanometer and larger Ru clusters. By combining in situ X-ray absorption spectroscopy and in situ attenuated total reflectance surface-enhanced infrared absorption spectroscopy, we reveal that sub-nanometer Ru clusters sustain partially oxidized surface states even under reductive reaction conditions, accompanied by pronounced modulation of the interfacial water structure. Benefiting from the dynamically stable oxidized surface states, ~1 nm Ru sub-nanometer clusters achieve an industrially relevant current density of 5.34 A cm-2 at 2.0 V even at a low operating temperature of 50 ℃ in an anion exchange membrane water electrolyzer. Notably, even with the Department of Energy (DOE) ultimate target loading, the designed catalyst exceeds the 2026 DOE performance target. These findings highlight the critical role of dynamic surface states in cluster catalysts and demonstrate that tuning the atomic structure of Ru provides an effective strategy to optimize interfacial water structure for advanced HER electrocatalysts.</w:t>
      </w:r>
    </w:p>
    <w:p>
      <w:pPr>
        <w:spacing w:before="120" w:after="120"/>
      </w:pPr>
      <w:r>
        <w:rPr>
          <w:sz w:val="18"/>
        </w:rPr>
        <w:t>——————————————————————————————————————————————————————————————————————</w:t>
      </w:r>
    </w:p>
    <w:p>
      <w:pPr>
        <w:spacing w:before="160" w:after="40" w:line="240" w:lineRule="auto"/>
      </w:pPr>
      <w:r>
        <w:rPr>
          <w:b/>
        </w:rPr>
        <w:t xml:space="preserve">[48] </w:t>
      </w:r>
      <w:hyperlink r:id="rId239">
        <w:r>
          <w:rPr>
            <w:color w:val="1155CC"/>
            <w:u w:val="single"/>
          </w:rPr>
          <w:t>界面氢键网络调节能够在无铜电催化剂上选择性地将二氧化碳还原为乙醇</w:t>
        </w:r>
      </w:hyperlink>
    </w:p>
    <w:p>
      <w:pPr>
        <w:spacing w:before="0" w:after="80"/>
      </w:pPr>
      <w:r>
        <w:rPr>
          <w:i/>
          <w:sz w:val="20"/>
        </w:rPr>
        <w:t>EN: Interfacial hydrogen-bond network regulation enables selective CO2 reduction to ethanol on copper-free electrocatalysts</w:t>
      </w:r>
    </w:p>
    <w:p>
      <w:pPr>
        <w:spacing w:before="0" w:after="120"/>
      </w:pPr>
      <w:r>
        <w:rPr>
          <w:b/>
        </w:rPr>
        <w:t xml:space="preserve">Source: </w:t>
      </w:r>
      <w:r>
        <w:t>Chem</w:t>
      </w:r>
      <w:r>
        <w:t xml:space="preserve">    </w:t>
      </w:r>
      <w:r>
        <w:rPr>
          <w:b/>
        </w:rPr>
        <w:t xml:space="preserve">Pub date: </w:t>
      </w:r>
      <w:r>
        <w:t>2026-06-04 00:00:00+00:00</w:t>
      </w:r>
      <w:r>
        <w:t xml:space="preserve">    </w:t>
      </w:r>
      <w:r>
        <w:rPr>
          <w:b/>
        </w:rPr>
        <w:t xml:space="preserve">DOI: </w:t>
      </w:r>
      <w:hyperlink r:id="rId240">
        <w:r>
          <w:rPr>
            <w:color w:val="1155CC"/>
            <w:u w:val="single"/>
          </w:rPr>
          <w:t>10.1016/j.chempr.2026.103078</w:t>
        </w:r>
      </w:hyperlink>
    </w:p>
    <w:p>
      <w:pPr>
        <w:spacing w:before="0" w:after="120"/>
      </w:pPr>
      <w:r>
        <w:rPr>
          <w:b/>
        </w:rPr>
        <w:t xml:space="preserve">Notes: </w:t>
      </w:r>
      <w:r>
        <w:t>abstract_source=rss_cell</w:t>
      </w:r>
    </w:p>
    <w:p>
      <w:pPr>
        <w:spacing w:before="0" w:after="80" w:lineRule="auto" w:line="276"/>
      </w:pPr>
      <w:r>
        <w:rPr>
          <w:b/>
        </w:rPr>
        <w:t xml:space="preserve">摘要（ZH）: </w:t>
      </w:r>
      <w:r>
        <w:t>将二氧化碳选择性电还原为乙醇（一种可储存燃料）几乎仅限于铜。在此，设计了一种无铜 Ag/Cr2O3 催化剂，在高氯酸盐的辅助下，在~160 mA/cm2 下生产法拉第效率 &gt;50% 的乙醇。高氯酸盐的存在破坏了连续的氢键网络，从而抑制了竞争性的氢释放。 Ag-Cr不对称位点进一步稳定C-C偶联中间体并降低乙烯的乙醇途径障碍，从而实现选择性乙醇生成。</w:t>
      </w:r>
    </w:p>
    <w:p>
      <w:pPr>
        <w:spacing w:before="0" w:after="200" w:lineRule="auto" w:line="276"/>
      </w:pPr>
      <w:r>
        <w:rPr>
          <w:b/>
        </w:rPr>
        <w:t xml:space="preserve">Abstract (EN): </w:t>
      </w:r>
      <w:r>
        <w:t>Selective electroreduction of CO2 into ethanol—a storable fuel—has been limited almost exclusively to copper. Herein, a copper-free Ag/Cr2O3 catalyst is designed to produce ethanol with &gt;50% faradaic efficiency at ∼160 mA/cm2 with the assistance of perchlorate. The presence of perchlorate disrupts the continuous hydrogen-bond network, thereby inhibiting the competing hydrogen evolution. The Ag–Cr asymmetric sites further stabilize the C–C coupling intermediates and lower the ethanol pathway barriers over ethylene, thus enabling selective ethanol generation.</w:t>
      </w:r>
    </w:p>
    <w:p>
      <w:pPr>
        <w:spacing w:before="120" w:after="120"/>
      </w:pPr>
      <w:r>
        <w:rPr>
          <w:sz w:val="18"/>
        </w:rPr>
        <w:t>——————————————————————————————————————————————————————————————————————</w:t>
      </w:r>
    </w:p>
    <w:p>
      <w:pPr>
        <w:spacing w:before="160" w:after="40" w:line="240" w:lineRule="auto"/>
      </w:pPr>
      <w:r>
        <w:rPr>
          <w:b/>
        </w:rPr>
        <w:t xml:space="preserve">[49] </w:t>
      </w:r>
      <w:hyperlink r:id="rId241">
        <w:r>
          <w:rPr>
            <w:color w:val="1155CC"/>
            <w:u w:val="single"/>
          </w:rPr>
          <w:t>飞秒激光设计的氧空位使晶格氧驱动的析氧反应能够用于工业水电解</w:t>
        </w:r>
      </w:hyperlink>
    </w:p>
    <w:p>
      <w:pPr>
        <w:spacing w:before="0" w:after="80"/>
      </w:pPr>
      <w:r>
        <w:rPr>
          <w:i/>
          <w:sz w:val="20"/>
        </w:rPr>
        <w:t>EN: Femtosecond Laser‐Engineered Oxygen Vacancies Enable Lattice Oxygen‐Driven Oxygen Evolution Reaction for Industrial Water Electrolysis</w:t>
      </w:r>
    </w:p>
    <w:p>
      <w:pPr>
        <w:spacing w:before="0" w:after="120"/>
      </w:pPr>
      <w:r>
        <w:rPr>
          <w:b/>
        </w:rPr>
        <w:t xml:space="preserve">Source: </w:t>
      </w:r>
      <w:r>
        <w:t>Wiley: Advanced Energy Materials: Table of Contents</w:t>
      </w:r>
      <w:r>
        <w:t xml:space="preserve">    </w:t>
      </w:r>
      <w:r>
        <w:rPr>
          <w:b/>
        </w:rPr>
        <w:t xml:space="preserve">Pub date: </w:t>
      </w:r>
      <w:r>
        <w:t>2026-06-04 07:42:20+00:00</w:t>
      </w:r>
      <w:r>
        <w:t xml:space="preserve">    </w:t>
      </w:r>
      <w:r>
        <w:rPr>
          <w:b/>
        </w:rPr>
        <w:t xml:space="preserve">DOI: </w:t>
      </w:r>
      <w:hyperlink r:id="rId242">
        <w:r>
          <w:rPr>
            <w:color w:val="1155CC"/>
            <w:u w:val="single"/>
          </w:rPr>
          <w:t>10.1002/aenm.71166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工业水电解 (WE) 需要析氧电极，该电极将固有催化活性与高电流密度下的高效传质相结合。在这里，我们报告了一种单步飞秒激光界面工程策略，用于制造具有分层微/纳米结构和氧空位相关表面特征的自支撑镍基阳极。这种界面设计同时提供超亲水/超疏气润湿性以实现快速气液传输，并调节表面电子特性以增强析氧反应（OER）活性。因此，激光结构电极在工业相关条件下表现出增强的 OER 活性以及强大的操作稳定性。当集成到阴离子交换膜水电解槽 (AEMWE) 中时，系统在 1000 mA cm 下可实现 1.81 V 的电压</w:t>
      </w:r>
      <w:r>
        <w:t xml:space="preserve"> </w:t>
      </w:r>
      <w:r>
        <w:t>−2</w:t>
      </w:r>
      <w:r>
        <w:t xml:space="preserve"> </w:t>
      </w:r>
      <w:r>
        <w:t>同时具有超过 1000 小时的卓越耐用性和可忽略不计的电压衰减率。这种可扩展的激光策略为设计高效稳定的电极以实现可持续的氢气生产提供了一个多功能平台。</w:t>
      </w:r>
    </w:p>
    <w:p>
      <w:pPr>
        <w:spacing w:before="0" w:after="200" w:lineRule="auto" w:line="276"/>
      </w:pPr>
      <w:r>
        <w:rPr>
          <w:b/>
        </w:rPr>
        <w:t xml:space="preserve">Abstract (EN): </w:t>
      </w:r>
      <w:r>
        <w:t>Industrial water electrolysis (WE) requires oxygen evolution electrodes that combine intrinsic catalytic activity with efficient mass transport under high current densities. Here, we report a single‐step femtosecond‐laser interfacial engineering strategy to fabricate self‐supporting nickel‐based anodes with hierarchical micro/nano architectures and oxygen‐vacancy‐related surface features. This interfacial design simultaneously provides superhydrophilic/superaerophobic wettability for rapid gas‐liquid transport and modulates surface electronic properties for enhanced oxygen evolution reaction (OER) activity. As a result, the laser‐structured electrode exhibits enhanced OER activity together with robust operational stability under industrially relevant conditions. When integrated into an anion exchange membrane water electrolyzer (AEMWE), the system achieves a voltage of 1.81 V at 1000 mA cm</w:t>
      </w:r>
      <w:r>
        <w:t xml:space="preserve"> </w:t>
      </w:r>
      <w:r>
        <w:t>−2</w:t>
      </w:r>
      <w:r>
        <w:t xml:space="preserve"> </w:t>
      </w:r>
      <w:r>
        <w:t>alongside exceptional durability over 1000 h with a negligible voltage decay rate. This scalable laser‐enabled strategy provides a versatile platform for designing efficient and stable electrode for sustainable hydrogen production.</w:t>
      </w:r>
    </w:p>
    <w:p>
      <w:pPr>
        <w:spacing w:before="120" w:after="120"/>
      </w:pPr>
      <w:r>
        <w:rPr>
          <w:sz w:val="18"/>
        </w:rPr>
        <w:t>——————————————————————————————————————————————————————————————————————</w:t>
      </w:r>
    </w:p>
    <w:p>
      <w:pPr>
        <w:spacing w:before="160" w:after="40" w:line="240" w:lineRule="auto"/>
      </w:pPr>
      <w:r>
        <w:rPr>
          <w:b/>
        </w:rPr>
        <w:t xml:space="preserve">[50] </w:t>
      </w:r>
      <w:hyperlink r:id="rId243">
        <w:r>
          <w:rPr>
            <w:color w:val="1155CC"/>
            <w:u w:val="single"/>
          </w:rPr>
          <w:t>利用海水和硅废料生产无金属氢气：循环方法</w:t>
        </w:r>
      </w:hyperlink>
    </w:p>
    <w:p>
      <w:pPr>
        <w:spacing w:before="0" w:after="80"/>
      </w:pPr>
      <w:r>
        <w:rPr>
          <w:i/>
          <w:sz w:val="20"/>
        </w:rPr>
        <w:t>EN: Metal‐free Hydrogen Generation from Seawater and Silicon Waste: A Circular Approach</w:t>
      </w:r>
    </w:p>
    <w:p>
      <w:pPr>
        <w:spacing w:before="0" w:after="120"/>
      </w:pPr>
      <w:r>
        <w:rPr>
          <w:b/>
        </w:rPr>
        <w:t xml:space="preserve">Source: </w:t>
      </w:r>
      <w:r>
        <w:t>Wiley: Angewandte Chemie International Edition: Table of Contents</w:t>
      </w:r>
      <w:r>
        <w:t xml:space="preserve">    </w:t>
      </w:r>
      <w:r>
        <w:rPr>
          <w:b/>
        </w:rPr>
        <w:t xml:space="preserve">Pub date: </w:t>
      </w:r>
      <w:r>
        <w:t>2026-06-04 16:17:05+00:00</w:t>
      </w:r>
      <w:r>
        <w:t xml:space="preserve">    </w:t>
      </w:r>
      <w:r>
        <w:rPr>
          <w:b/>
        </w:rPr>
        <w:t xml:space="preserve">DOI: </w:t>
      </w:r>
      <w:hyperlink r:id="rId244">
        <w:r>
          <w:rPr>
            <w:color w:val="1155CC"/>
            <w:u w:val="single"/>
          </w:rPr>
          <w:t>10.1002/anie.9919359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氢是一种原始的能源载体和工业原材料，将在未来的能源转型和脱碳目标中发挥至关重要的作用。硅烷水解代表了一种尚未充分探索的制氢方法，但迄今为止大多数已知的系统都集中在贵金属催化上。在此，我们报告了一种从（海水）和氢硅烷生产氢气的高活性无过渡金属方法，该方法依靠简单碱作为催化剂和二甲亚砜作为促进溶剂的独特组合，并辅以机械和计算研究。值得注意的是，苯基硅烷的水解实现了 202 ± 5 分钟的周转频率 (TOF) –</w:t>
      </w:r>
      <w:r>
        <w:rPr>
          <w:vertAlign w:val="subscript"/>
        </w:rPr>
        <w:t>1</w:t>
      </w:r>
      <w:r>
        <w:t>，远远优于现有的无金属系统（TOF ≤ 8 分钟–</w:t>
      </w:r>
      <w:r>
        <w:rPr>
          <w:vertAlign w:val="subscript"/>
        </w:rPr>
        <w:t>1</w:t>
      </w:r>
      <w:r>
        <w:t>），甚至超越贵金属催化剂（TOF ≤ 170 min–</w:t>
      </w:r>
      <w:r>
        <w:rPr>
          <w:vertAlign w:val="subscript"/>
        </w:rPr>
        <w:t>1</w:t>
      </w:r>
      <w:r>
        <w:t>）。所开发的方法利用聚甲基氢硅氧烷（PMHS）（一种硅工业废料）直接从海水中快速产生氢气，产氢率高达 70.2 mol</w:t>
      </w:r>
      <w:r>
        <w:t xml:space="preserve"> </w:t>
      </w:r>
      <w:r>
        <w:t>氢2</w:t>
      </w:r>
      <w:r>
        <w:t xml:space="preserve"> </w:t>
      </w:r>
      <w:r>
        <w:t>/克</w:t>
      </w:r>
      <w:r>
        <w:t xml:space="preserve"> </w:t>
      </w:r>
      <w:r>
        <w:t>猫</w:t>
      </w:r>
      <w:r>
        <w:t xml:space="preserve"> </w:t>
      </w:r>
      <w:r>
        <w:t>/h。值得注意的是，我们已经证明了溶剂的可回收性，以及 PMHS 水解过程中形成的副产物的再利用。因此，聚硅氧烷副产物被有效地解聚成功能性氯硅烷单体，适用于新型高价值硅聚合物的设计。这些发现强调了更广泛的适用性和</w:t>
      </w:r>
    </w:p>
    <w:p>
      <w:pPr>
        <w:spacing w:before="0" w:after="200" w:lineRule="auto" w:line="276"/>
      </w:pPr>
      <w:r>
        <w:rPr>
          <w:b/>
        </w:rPr>
        <w:t xml:space="preserve">Abstract (EN): </w:t>
      </w:r>
      <w:r>
        <w:t>Hydrogen is a primordial energy carrier and industrial raw material that will play a crucial role in future energy transition and decarbonization ambitions. Silane hydrolysis represents an under‐explored approach to hydrogen generation, yet most known systems have thus far focused on noble‐metal catalysis. Herein we report a highly active transition metal‐free method for the production of hydrogen from (sea)water and hydrosilanes, relying on the unique combination of simple bases as catalyst, and dimethyl sulfoxide as promoting solvent, assisted by mechanistic and computational studies. Remarkably, the hydrolysis of phenylsilane achieved a turnover frequency (TOF) of 202 ± 5 min–</w:t>
      </w:r>
      <w:r>
        <w:rPr>
          <w:vertAlign w:val="subscript"/>
        </w:rPr>
        <w:t>1</w:t>
      </w:r>
      <w:r>
        <w:t>, far superior to existing metal‐free systems (TOF ≤ 8 min–</w:t>
      </w:r>
      <w:r>
        <w:rPr>
          <w:vertAlign w:val="subscript"/>
        </w:rPr>
        <w:t>1</w:t>
      </w:r>
      <w:r>
        <w:t>), and even surpassing noble‐metal catalysts (TOF ≤ 170 min–</w:t>
      </w:r>
      <w:r>
        <w:rPr>
          <w:vertAlign w:val="subscript"/>
        </w:rPr>
        <w:t>1</w:t>
      </w:r>
      <w:r>
        <w:t>). The developed method rapidly generates hydrogen directly from seawater, applying polymethylhydrosiloxane (PMHS), a silicon industry waste, with rates up to 70.2 mol</w:t>
      </w:r>
      <w:r>
        <w:t xml:space="preserve"> </w:t>
      </w:r>
      <w:r>
        <w:t>H2</w:t>
      </w:r>
      <w:r>
        <w:t xml:space="preserve"> </w:t>
      </w:r>
      <w:r>
        <w:t>/g</w:t>
      </w:r>
      <w:r>
        <w:t xml:space="preserve"> </w:t>
      </w:r>
      <w:r>
        <w:t>cat</w:t>
      </w:r>
      <w:r>
        <w:t xml:space="preserve"> </w:t>
      </w:r>
      <w:r>
        <w:t>/h. Notably, we have demonstrated the recyclability of the solvent, and re‐use of the by‐products formed during PMHS hydrolysis. Thus, the polysiloxane by‐products were efficiently depolymerized into functional chlorosilane monomers, which are suitable for the design of new high‐value silicon polymers. These findings highlight the broader applicability and circularity of our integrated approach.</w:t>
      </w:r>
    </w:p>
    <w:p>
      <w:pPr>
        <w:spacing w:before="120" w:after="120"/>
      </w:pPr>
      <w:r>
        <w:rPr>
          <w:sz w:val="18"/>
        </w:rPr>
        <w:t>——————————————————————————————————————————————————————————————————————</w:t>
      </w:r>
    </w:p>
    <w:p>
      <w:pPr>
        <w:spacing w:before="160" w:after="40" w:line="240" w:lineRule="auto"/>
      </w:pPr>
      <w:r>
        <w:rPr>
          <w:b/>
        </w:rPr>
        <w:t xml:space="preserve">[51] </w:t>
      </w:r>
      <w:hyperlink r:id="rId245">
        <w:r>
          <w:rPr>
            <w:color w:val="1155CC"/>
            <w:u w:val="single"/>
          </w:rPr>
          <w:t>揭示电催化氢化中的异质中间体相互作用：机械理解和性能调节的框架</w:t>
        </w:r>
      </w:hyperlink>
    </w:p>
    <w:p>
      <w:pPr>
        <w:spacing w:before="0" w:after="80"/>
      </w:pPr>
      <w:r>
        <w:rPr>
          <w:i/>
          <w:sz w:val="20"/>
        </w:rPr>
        <w:t>EN: Unravelling hetero-intermediate interactions in electrocatalytic hydrogenation: a framework for mechanistic understanding and performance regulation</w:t>
      </w:r>
    </w:p>
    <w:p>
      <w:pPr>
        <w:spacing w:before="0" w:after="120"/>
      </w:pPr>
      <w:r>
        <w:rPr>
          <w:b/>
        </w:rPr>
        <w:t xml:space="preserve">Source: </w:t>
      </w:r>
      <w:r>
        <w:t>RSC - Chem. Soc. Rev. latest articles</w:t>
      </w:r>
      <w:r>
        <w:t xml:space="preserve">    </w:t>
      </w:r>
      <w:r>
        <w:rPr>
          <w:b/>
        </w:rPr>
        <w:t xml:space="preserve">Pub date: </w:t>
      </w:r>
      <w:r>
        <w:t>2026-06-04 23:00:00+00:00</w:t>
      </w:r>
    </w:p>
    <w:p>
      <w:pPr>
        <w:spacing w:before="0" w:after="120"/>
      </w:pPr>
      <w:r>
        <w:rPr>
          <w:b/>
        </w:rPr>
        <w:t xml:space="preserve">Notes: </w:t>
      </w:r>
      <w:r>
        <w:t>abstract_source=rsc_html</w:t>
      </w:r>
    </w:p>
    <w:p>
      <w:pPr>
        <w:spacing w:before="0" w:after="80" w:lineRule="auto" w:line="276"/>
      </w:pPr>
      <w:r>
        <w:rPr>
          <w:b/>
        </w:rPr>
        <w:t xml:space="preserve">摘要（ZH）: </w:t>
      </w:r>
      <w:r>
        <w:t>电催化加氢（ECH）反应为使用水作为氢源升级可再生原料提供了一条可持续的途径。然而，其效率和选择性往往受到异质中间体之间复杂的相互作用的限制，例如水衍生的氢物种和不同的氢受体，使得反应途径和机制难以控制。本综述旨在深入了解 ECH 反应。引入了耦合、竞争和促进三种代表性模型来捕获反应过程中关键步骤中间体之间的主要相互作用模式。通过关注这些相互作用如何影响途径进化和产品选择性，该框架为解释复杂的 ECH 系统和理解性能调节提供了机械清晰度。还讨论了该领域当前的挑战和有希望的机遇的展望。本综述为理解高效 ECH 反应的机制和性能调节提供了建设性的视角。</w:t>
      </w:r>
    </w:p>
    <w:p>
      <w:pPr>
        <w:spacing w:before="0" w:after="200" w:lineRule="auto" w:line="276"/>
      </w:pPr>
      <w:r>
        <w:rPr>
          <w:b/>
        </w:rPr>
        <w:t xml:space="preserve">Abstract (EN): </w:t>
      </w:r>
      <w:r>
        <w:t>Electrocatalytic hydrogenation (ECH) reaction offers a sustainable route for upgrading renewable feedstocks using water as the hydrogen source. However, its efficiency and selectivity are often limited by the complex interplay between hetero-intermediates, such as water-derived hydrogen species and diverse hydrogen acceptors, making it difficult to control reaction pathways and mechanisms. This review aims to provide an insight into ECH reactions. Three representative models, including coupling, competitive, and promotion, are introduced to capture the dominant interaction modes among intermediates at key steps during reaction. By focusing on how these interactions shape pathway evolution and product selectivity, the framework provides mechanistic clarity for interpreting complex ECH systems and understanding performance regulation. An outlook on the current challenges and promising opportunities in this field is also discussed. This review offers a constructive perspective for understanding mechanism and performance regulation of efficient ECH reactions.</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246">
        <w:r>
          <w:rPr>
            <w:color w:val="1155CC"/>
            <w:u w:val="single"/>
          </w:rPr>
          <w:t>在能源价格上涨的情况下重新思考欧盟的能源转型战略</w:t>
        </w:r>
      </w:hyperlink>
    </w:p>
    <w:p>
      <w:pPr>
        <w:spacing w:before="0" w:after="80"/>
      </w:pPr>
      <w:r>
        <w:rPr>
          <w:i/>
          <w:sz w:val="20"/>
        </w:rPr>
        <w:t>EN: Rethinking energy transition strategies for the European Union amid rising energy prices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247">
        <w:r>
          <w:rPr>
            <w:color w:val="1155CC"/>
            <w:u w:val="single"/>
          </w:rPr>
          <w:t>10.1073/pnas.2609606123</w:t>
        </w:r>
      </w:hyperlink>
    </w:p>
    <w:p>
      <w:pPr>
        <w:spacing w:before="0" w:after="120"/>
      </w:pPr>
      <w:r>
        <w:rPr>
          <w:b/>
        </w:rPr>
        <w:t xml:space="preserve">Notes: </w:t>
      </w:r>
      <w:r>
        <w:t>abstract_source=crossref</w:t>
      </w:r>
    </w:p>
    <w:p>
      <w:pPr>
        <w:spacing w:before="0" w:after="80" w:lineRule="auto" w:line="276"/>
      </w:pPr>
      <w:r>
        <w:rPr>
          <w:b/>
        </w:rPr>
        <w:t xml:space="preserve">摘要（ZH）: </w:t>
      </w:r>
      <w:r>
        <w:t>地缘政治紧张局势和主要能源进口中断导致欧盟能源价格大幅上涨，造成持续的能源供应缺口，给能源安全带来长期挑战。在这里，我们介绍了一个综合框架，将先进的温室气体和空气污染相互作用与协同（GAINS）模型与系统动态WILIAM（“在限制内”）综合评估模型相结合，以系统地评估缩小这一能源差距的策略。我们发现，短期内缩小能源缺口的措施会加剧经济或公共卫生负担，这凸显了从长远来看需要更可持续的解决方案。我们的进一步分析表明，专注于可再生能源转型的长期战略不仅可以缩小能源缺口，还可以带来相当于 2050 年预计 GDP 约 3% 的净收益。此外，我们发现能源价格上涨极大地影响了加速能源转型的成本效益。在当前高能源价格水平下，提前5至20年实现2050年能源目标的效益可能会超过额外成本。考虑平准化电力成本（LCOE）的动态趋势，特别是在可再生能源快速扩张的情况下，对于避免对绿色转型效益过于乐观的估计至关重要。我们的研究结果表明，在面临能源危机时，及时向可再生能源过渡对欧盟有利，而主动调整能源价格的政策可以促进更绿色、更可持续的能源转型。</w:t>
      </w:r>
    </w:p>
    <w:p>
      <w:pPr>
        <w:spacing w:before="0" w:after="200" w:lineRule="auto" w:line="276"/>
      </w:pPr>
      <w:r>
        <w:rPr>
          <w:b/>
        </w:rPr>
        <w:t xml:space="preserve">Abstract (EN): </w:t>
      </w:r>
      <w:r>
        <w:t>Geopolitical tensions and the disruption of major energy imports have sharply elevated energy prices across the European Union (EU), creating a persistent energy supply gap and posing long-term challenges for energy security. Here, we introduce a comprehensive framework integrating the advanced Greenhouse Gas and Air Pollution Interactions and Synergies (GAINS) model with a system dynamic WILIAM (“Within limits”) Integrated Assessment Model to systematically evaluate strategies for closing this energy gap. We find that measures to close the energy gap in the short term exacerbate either economic or public health burdens, highlighting the need for more sustainable solutions in the long term. Our further analysis shows that long-term strategies focused on renewable energy transitions not only close the energy gap but also bring net benefits equivalent to ~3% of projected GDP for 2050. Moreover, we find that rising energy prices substantially influence the cost-effectiveness of accelerated energy transitions. Under current high energy price levels, the benefits from achieving energy targets set for 2050 by 5 to 20 y in advance could outweigh the additional costs. The consideration of dynamic trends in the levelized cost of electricity (LCOE), particularly under rapid renewables expansion, is critical for avoiding overly optimistic estimations of green transition benefits. Our findings suggest that a timely transition to renewable energy benefits the EU in the face of the energy crisis, and policies proactively adjusting energy prices could facilitate a greener, more sustainable future.</w:t>
      </w:r>
    </w:p>
    <w:p>
      <w:pPr>
        <w:spacing w:before="120" w:after="120"/>
      </w:pPr>
      <w:r>
        <w:rPr>
          <w:sz w:val="18"/>
        </w:rPr>
        <w:t>——————————————————————————————————————————————————————————————————————</w:t>
      </w:r>
    </w:p>
    <w:p>
      <w:pPr>
        <w:spacing w:before="160" w:after="40" w:line="240" w:lineRule="auto"/>
      </w:pPr>
      <w:r>
        <w:rPr>
          <w:b/>
        </w:rPr>
        <w:t xml:space="preserve">[2] </w:t>
      </w:r>
      <w:hyperlink r:id="rId248">
        <w:r>
          <w:rPr>
            <w:color w:val="1155CC"/>
            <w:u w:val="single"/>
          </w:rPr>
          <w:t>氢键有机框架中的分隔孔隙可实现高容量 C3H6/C2H4 分离</w:t>
        </w:r>
      </w:hyperlink>
    </w:p>
    <w:p>
      <w:pPr>
        <w:spacing w:before="0" w:after="80"/>
      </w:pPr>
      <w:r>
        <w:rPr>
          <w:i/>
          <w:sz w:val="20"/>
        </w:rPr>
        <w:t>EN: Compartmentalized Porosity in a Hydrogen‐Bonded Organic Framework Enables High‐Capacity C3H6/C2H4 Separation</w:t>
      </w:r>
    </w:p>
    <w:p>
      <w:pPr>
        <w:spacing w:before="0" w:after="120"/>
      </w:pPr>
      <w:r>
        <w:rPr>
          <w:b/>
        </w:rPr>
        <w:t xml:space="preserve">Source: </w:t>
      </w:r>
      <w:r>
        <w:t>Wiley: Advanced Materials: Table of Contents</w:t>
      </w:r>
      <w:r>
        <w:t xml:space="preserve">    </w:t>
      </w:r>
      <w:r>
        <w:rPr>
          <w:b/>
        </w:rPr>
        <w:t xml:space="preserve">Pub date: </w:t>
      </w:r>
      <w:r>
        <w:t>2026-06-01 11:29:51+00:00</w:t>
      </w:r>
      <w:r>
        <w:t xml:space="preserve">    </w:t>
      </w:r>
      <w:r>
        <w:rPr>
          <w:b/>
        </w:rPr>
        <w:t xml:space="preserve">DOI: </w:t>
      </w:r>
      <w:hyperlink r:id="rId249">
        <w:r>
          <w:rPr>
            <w:color w:val="1155CC"/>
            <w:u w:val="single"/>
          </w:rPr>
          <w:t>10.1002/adma.73579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氢键有机骨架（HOF）是用于气体分离的有前途的吸附剂，但容量突破常常受到孔结构权衡的限制，其中孔体积的增加伴随着空腔扩张和约束减弱。在此，我们报告了 HOF-BUT-1，它由前所未有的 8 连接接头构建而成，从而产生分隔的孔隙度。因此，该 HOF 结合了高孔隙率（孔体积 = 0.95 cm</w:t>
      </w:r>
      <w:r>
        <w:rPr>
          <w:vertAlign w:val="subscript"/>
        </w:rPr>
        <w:t>3</w:t>
      </w:r>
      <w:r>
        <w:t>/g)，最大空腔直径较小，为 7.6 Å。凭借其平衡的孔隙结构，HOF-BUT-1 在 298 K 和 1 bar 下表现出创纪录的高丙烯吸收量 8.83 mmol/g，因此具有最高的分离电位 (Δ</w:t>
      </w:r>
      <w:r>
        <w:t xml:space="preserve"> </w:t>
      </w:r>
      <w:r>
        <w:t>问</w:t>
      </w:r>
      <w:r>
        <w:t xml:space="preserve"> </w:t>
      </w:r>
      <w:r>
        <w:t>) 为 6.45 mmol/g（对于等摩尔 C）</w:t>
      </w:r>
      <w:r>
        <w:rPr>
          <w:vertAlign w:val="subscript"/>
        </w:rPr>
        <w:t>3</w:t>
      </w:r>
      <w:r>
        <w:t>H</w:t>
      </w:r>
      <w:r>
        <w:rPr>
          <w:vertAlign w:val="subscript"/>
        </w:rPr>
        <w:t>6</w:t>
      </w:r>
      <w:r>
        <w:t>/C</w:t>
      </w:r>
      <w:r>
        <w:rPr>
          <w:vertAlign w:val="subscript"/>
        </w:rPr>
        <w:t>2</w:t>
      </w:r>
      <w:r>
        <w:t>H</w:t>
      </w:r>
      <w:r>
        <w:rPr>
          <w:vertAlign w:val="subscript"/>
        </w:rPr>
        <w:t>4</w:t>
      </w:r>
      <w:r>
        <w:t>已报道的 HOF 之间的混合物。动态突破性实验可以提供聚合物级 C</w:t>
      </w:r>
      <w:r>
        <w:rPr>
          <w:vertAlign w:val="subscript"/>
        </w:rPr>
        <w:t>2</w:t>
      </w:r>
      <w:r>
        <w:t>H</w:t>
      </w:r>
      <w:r>
        <w:rPr>
          <w:vertAlign w:val="subscript"/>
        </w:rPr>
        <w:t>4</w:t>
      </w:r>
      <w:r>
        <w:t>(≥99.95%) 和 C</w:t>
      </w:r>
      <w:r>
        <w:rPr>
          <w:vertAlign w:val="subscript"/>
        </w:rPr>
        <w:t>3</w:t>
      </w:r>
      <w:r>
        <w:t>H</w:t>
      </w:r>
      <w:r>
        <w:rPr>
          <w:vertAlign w:val="subscript"/>
        </w:rPr>
        <w:t>6</w:t>
      </w:r>
      <w:r>
        <w:t>(≥99.5%)，产率分别为 4.79 和 2.88 mmol/g，并且在重复循环中保持性能，表明甲醇转化为烯烃产品升级的巨大潜力。</w:t>
      </w:r>
    </w:p>
    <w:p>
      <w:pPr>
        <w:spacing w:before="0" w:after="200" w:lineRule="auto" w:line="276"/>
      </w:pPr>
      <w:r>
        <w:rPr>
          <w:b/>
        </w:rPr>
        <w:t xml:space="preserve">Abstract (EN): </w:t>
      </w:r>
      <w:r>
        <w:t>Hydrogen‐bonded organic frameworks (HOFs) are promising adsorbents for gas separation, yet capacity breakthroughs are frequently limited by a pore‐architecture trade‐off in which increased pore volume is accompanied by cavity expansion and weakened confinement. Herein, we report HOF‐BUT‐1, constructed from an unprecedented 8‐connected linker, resulting in compartmentalized porosity. This HOF thus combines high porosity (pore volume = 0.95 cm</w:t>
      </w:r>
      <w:r>
        <w:rPr>
          <w:vertAlign w:val="subscript"/>
        </w:rPr>
        <w:t>3</w:t>
      </w:r>
      <w:r>
        <w:t>/g) with a small largest cavity diameter of 7.6 Å. Enabled by its balanced pore structure, HOF‐BUT‐1 exhibits a record‐high propylene uptake of 8.83 mmol/g at 298 K and 1 bar, and thereby the highest separation potential (Δ</w:t>
      </w:r>
      <w:r>
        <w:t xml:space="preserve"> </w:t>
      </w:r>
      <w:r>
        <w:t>Q</w:t>
      </w:r>
      <w:r>
        <w:t xml:space="preserve"> </w:t>
      </w:r>
      <w:r>
        <w:t>) of 6.45 mmol/g for equimolar C</w:t>
      </w:r>
      <w:r>
        <w:rPr>
          <w:vertAlign w:val="subscript"/>
        </w:rPr>
        <w:t>3</w:t>
      </w:r>
      <w:r>
        <w:t>H</w:t>
      </w:r>
      <w:r>
        <w:rPr>
          <w:vertAlign w:val="subscript"/>
        </w:rPr>
        <w:t>6</w:t>
      </w:r>
      <w:r>
        <w:t>/C</w:t>
      </w:r>
      <w:r>
        <w:rPr>
          <w:vertAlign w:val="subscript"/>
        </w:rPr>
        <w:t>2</w:t>
      </w:r>
      <w:r>
        <w:t>H</w:t>
      </w:r>
      <w:r>
        <w:rPr>
          <w:vertAlign w:val="subscript"/>
        </w:rPr>
        <w:t>4</w:t>
      </w:r>
      <w:r>
        <w:t>mixture among reported HOFs. Dynamic breakthrough experiments can deliver polymer‐grade C</w:t>
      </w:r>
      <w:r>
        <w:rPr>
          <w:vertAlign w:val="subscript"/>
        </w:rPr>
        <w:t>2</w:t>
      </w:r>
      <w:r>
        <w:t>H</w:t>
      </w:r>
      <w:r>
        <w:rPr>
          <w:vertAlign w:val="subscript"/>
        </w:rPr>
        <w:t>4</w:t>
      </w:r>
      <w:r>
        <w:t>(≥99.95%) and C</w:t>
      </w:r>
      <w:r>
        <w:rPr>
          <w:vertAlign w:val="subscript"/>
        </w:rPr>
        <w:t>3</w:t>
      </w:r>
      <w:r>
        <w:t>H</w:t>
      </w:r>
      <w:r>
        <w:rPr>
          <w:vertAlign w:val="subscript"/>
        </w:rPr>
        <w:t>6</w:t>
      </w:r>
      <w:r>
        <w:t>(≥99.5%) with productivities of 4.79 and 2.88 mmol/g, respectively, and maintain performance over repeated cycles, demonstrating high potential for methanol‐to‐olefins products upgrading.</w:t>
      </w:r>
    </w:p>
    <w:p>
      <w:pPr>
        <w:spacing w:before="120" w:after="120"/>
      </w:pPr>
      <w:r>
        <w:rPr>
          <w:sz w:val="18"/>
        </w:rPr>
        <w:t>——————————————————————————————————————————————————————————————————————</w:t>
      </w:r>
    </w:p>
    <w:p>
      <w:pPr>
        <w:spacing w:before="160" w:after="40" w:line="240" w:lineRule="auto"/>
      </w:pPr>
      <w:r>
        <w:rPr>
          <w:b/>
        </w:rPr>
        <w:t xml:space="preserve">[3] </w:t>
      </w:r>
      <w:hyperlink r:id="rId164">
        <w:r>
          <w:rPr>
            <w:color w:val="1155CC"/>
            <w:u w:val="single"/>
          </w:rPr>
          <w:t>美国墨西哥湾沿岸炼油厂利用核能和化石能源固碳的技术经济和环境比较分析</w:t>
        </w:r>
      </w:hyperlink>
    </w:p>
    <w:p>
      <w:pPr>
        <w:spacing w:before="0" w:after="80"/>
      </w:pPr>
      <w:r>
        <w:rPr>
          <w:i/>
          <w:sz w:val="20"/>
        </w:rPr>
        <w:t>EN: Comparative techno-economic and environmental analysis of using nuclear energy and fossil energy with carbon sequestration in U.S. Gulf Coast petroleum refineries</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250">
        <w:r>
          <w:rPr>
            <w:color w:val="1155CC"/>
            <w:u w:val="single"/>
          </w:rPr>
          <w:t>用于规划综合能源系统能源管理的知识嵌入强化学习框架</w:t>
        </w:r>
      </w:hyperlink>
    </w:p>
    <w:p>
      <w:pPr>
        <w:spacing w:before="0" w:after="80"/>
      </w:pPr>
      <w:r>
        <w:rPr>
          <w:i/>
          <w:sz w:val="20"/>
        </w:rPr>
        <w:t>EN: A knowledge-embedded reinforcement learning framework for energy management of planned integrated energy systems</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51">
        <w:r>
          <w:rPr>
            <w:color w:val="1155CC"/>
            <w:u w:val="single"/>
          </w:rPr>
          <w:t>基础设施耦合路边太阳能对中国交通脱碳的国家级评估</w:t>
        </w:r>
      </w:hyperlink>
    </w:p>
    <w:p>
      <w:pPr>
        <w:spacing w:before="0" w:after="80"/>
      </w:pPr>
      <w:r>
        <w:rPr>
          <w:i/>
          <w:sz w:val="20"/>
        </w:rPr>
        <w:t>EN: National-level assessment of infrastructure-coupled roadside solar energy toward transportation decarbonization in China</w:t>
      </w:r>
    </w:p>
    <w:p>
      <w:pPr>
        <w:spacing w:before="0" w:after="120"/>
      </w:pPr>
      <w:r>
        <w:rPr>
          <w:b/>
        </w:rPr>
        <w:t xml:space="preserve">Source: </w:t>
      </w:r>
      <w:r>
        <w:t>Earth and environmental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交通运输脱碳需要采取将可再生能源发电嵌入现有基础设施的方法。在这里，我们展示了可以使用将分段运输走廊与气象网格连接起来的地理空间框架来量化中国公路和铁路沿线的路边光伏部署。该方法将 480,019 公里的交通基础设施映射到 4,133 个气象网格，并为粗略的区域平均提供了可扩展的替代方案。在所有部署场景中，路边光伏系统可支持40.91-202.84吉瓦的装机容量，每年发电56.6-239.2太瓦时。在基准情景下，年发电量达到约100.6太瓦时，相当于当前交通部门电力需求的约50%。每年减少的碳排放量达到 33.62-143.97 公吨二氧化碳。结果显示，区域异质性很强，华北和华中地区近期潜力最大，而西北地区则可以作为发电输出地区。这些发现为特定区域的基础设施规划和更加协调的交通能源系统整合提供了基础。</w:t>
      </w:r>
    </w:p>
    <w:p>
      <w:pPr>
        <w:spacing w:before="0" w:after="200" w:lineRule="auto" w:line="276"/>
      </w:pPr>
      <w:r>
        <w:rPr>
          <w:b/>
        </w:rPr>
        <w:t xml:space="preserve">Abstract (EN): </w:t>
      </w:r>
      <w:r>
        <w:t>Decarbonizing transportation requires approaches that embed renewable generation into existing infrastructure. Here we show that roadside photovoltaic deployment along China’s roads and railways can be quantified using a geospatial framework that links segmented transport corridors to meteorological grids. The approach maps 480,019 km of transport infrastructure to 4,133 meteorological grids and provides a scalable alternative to coarse regional averaging. Across all deployment scenarios, roadside photovoltaic systems could support 40.91-202.84 GW of installed capacity and generate 56.6-239.2 TWh of electricity annually. Under the baseline scenario, annual generation reaches about 100.6 TWh, equivalent to about 50% of current transport-sector electricity demand. The resulting carbon reduction reaches 33.62-143.97 Mt CO2 annually. The results reveal strong regional heterogeneity, with North and Central China showing the highest near-term potential, while Northwest China could act as a generation-export region. These findings provide a basis for region-specific infrastructure planning and more coordinated transport-energy system integration.</w:t>
      </w:r>
    </w:p>
    <w:p>
      <w:pPr>
        <w:spacing w:before="120" w:after="120"/>
      </w:pPr>
      <w:r>
        <w:rPr>
          <w:sz w:val="18"/>
        </w:rPr>
        <w:t>——————————————————————————————————————————————————————————————————————</w:t>
      </w:r>
    </w:p>
    <w:p>
      <w:pPr>
        <w:spacing w:before="160" w:after="40" w:line="240" w:lineRule="auto"/>
      </w:pPr>
      <w:r>
        <w:rPr>
          <w:b/>
        </w:rPr>
        <w:t xml:space="preserve">[6] </w:t>
      </w:r>
      <w:hyperlink r:id="rId252">
        <w:r>
          <w:rPr>
            <w:color w:val="1155CC"/>
            <w:u w:val="single"/>
          </w:rPr>
          <w:t>使用无模型强化学习在实时不平衡市场中进行自适应电动汽车充电调度</w:t>
        </w:r>
      </w:hyperlink>
    </w:p>
    <w:p>
      <w:pPr>
        <w:spacing w:before="0" w:after="80"/>
      </w:pPr>
      <w:r>
        <w:rPr>
          <w:i/>
          <w:sz w:val="20"/>
        </w:rPr>
        <w:t>EN: Adaptive EV charging scheduling in real-time imbalance markets using model-free reinforcement learning</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253">
        <w:r>
          <w:rPr>
            <w:color w:val="1155CC"/>
            <w:u w:val="single"/>
          </w:rPr>
          <w:t>基于特征增强和结构感知聚类的自适应条件触发双模态图网络光伏功率预测</w:t>
        </w:r>
      </w:hyperlink>
    </w:p>
    <w:p>
      <w:pPr>
        <w:spacing w:before="0" w:after="80"/>
      </w:pPr>
      <w:r>
        <w:rPr>
          <w:i/>
          <w:sz w:val="20"/>
        </w:rPr>
        <w:t>EN: An adaptive conditional triggered dual-modal graph network for photovoltaic power prediction based on feature enhancement and structure-aware clustering</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254">
        <w:r>
          <w:rPr>
            <w:color w:val="1155CC"/>
            <w:u w:val="single"/>
          </w:rPr>
          <w:t>考虑间歇性停车模式的以用户为中心的电动汽车充放电非近视优化</w:t>
        </w:r>
      </w:hyperlink>
    </w:p>
    <w:p>
      <w:pPr>
        <w:spacing w:before="0" w:after="80"/>
      </w:pPr>
      <w:r>
        <w:rPr>
          <w:i/>
          <w:sz w:val="20"/>
        </w:rPr>
        <w:t>EN: Non-myopic optimization of user-centric electric vehicle charging and discharging considering intermittent parking patterns</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255">
        <w:r>
          <w:rPr>
            <w:color w:val="1155CC"/>
            <w:u w:val="single"/>
          </w:rPr>
          <w:t>协同脉冲电催化实现尼龙单体己二酸的绿色高效合成</w:t>
        </w:r>
      </w:hyperlink>
    </w:p>
    <w:p>
      <w:pPr>
        <w:spacing w:before="0" w:after="80"/>
      </w:pPr>
      <w:r>
        <w:rPr>
          <w:i/>
          <w:sz w:val="20"/>
        </w:rPr>
        <w:t>EN: Synergistic pulsed electrocatalysis enables green and efficient synthesis of nylon monomer adipic acid</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己二酸（AA）是一种关键单体，由环己酮-环己醇混合物（KA油）经高温硝酸氧化而生产；具有大量碳足迹的二氧化氮密集型工艺。 KA 的电力电氧化升级很有吸引力，但由于氧气利用率差、氧气析出以及催化剂在电势下快速钝化，导致活性-稳定性-选择性权衡，因此不切实际。我们提出了一种集成电催化平台，将 α-FeO​​OH/NiFe 层状双氢氧化物 (NiFe-LDH) 异质结催化剂与脉冲电解 (PE) 相结合，用于绿色、高效的 AA 生产。异质界面引导 α-FeO​​OH 和 NiFe-LDH 之间的电子桥联，降低 C-C 断裂的能垒，并为选择性 AA 创建表面位点。 PE 模式将电氧化与催化位点再生分离，循环刷新中毒中心以防止中间积累。该策略在 300 小时内实现了 6.73 mmol h−1 cm−2 AA 产率和 90.06% 的法拉第效率。此外，在 300 mA cm−2 下将阳极 AA 合成与阴极 CO2 转化为甲酸盐的流动电解槽耦合，可实现可扩展、可持续的尼龙单体生产。</w:t>
      </w:r>
    </w:p>
    <w:p>
      <w:pPr>
        <w:spacing w:before="0" w:after="200" w:lineRule="auto" w:line="276"/>
      </w:pPr>
      <w:r>
        <w:rPr>
          <w:b/>
        </w:rPr>
        <w:t xml:space="preserve">Abstract (EN): </w:t>
      </w:r>
      <w:r>
        <w:t>Adipic acid (AA), a pivotal monomer, is produced via high-temperature nitric acid oxidation of cyclohexanone–cyclohexanol mixture (KA oil); a NO2-intensive process with a large carbon footprint. Electricity-powered electro-oxidative upgrading of KA is appealing, but impractical due to poor O2 utilization, oxygen evolution, and rapid catalyst passivation under potentials, causing an activity–stability–selectivity trade-off. We present an integrated electrocatalytic platform combining an α-FeOOH/NiFe layered double hydroxide (NiFe-LDH) heterojunction catalyst with pulsed electrolysis (PE) for green, efficient AA production. The heterointerface directs electron bridging between α-FeOOH and NiFe-LDH, lowering energy barriers for C–C scission, and creating surface sites for selective AA. PE mode decouples electro-oxidation from catalytic-site regeneration, cyclically refreshing poisoned centers to prevent intermediate accumulation. This strategy achieves 6.73 mmol h−1 cm−2 AA yield with 90.06% Faradaic efficiency over 300 h. Moreover a flow electrolyzer coupling anodic AA synthesis with cathodic CO2-to-formate conversion at 300 mA cm−2 enables scalable, sustainable nylon-monomer production.</w:t>
      </w:r>
    </w:p>
    <w:p>
      <w:pPr>
        <w:spacing w:before="120" w:after="120"/>
      </w:pPr>
      <w:r>
        <w:rPr>
          <w:sz w:val="18"/>
        </w:rPr>
        <w:t>——————————————————————————————————————————————————————————————————————</w:t>
      </w:r>
    </w:p>
    <w:p>
      <w:pPr>
        <w:spacing w:before="160" w:after="40" w:line="240" w:lineRule="auto"/>
      </w:pPr>
      <w:r>
        <w:rPr>
          <w:b/>
        </w:rPr>
        <w:t xml:space="preserve">[10] </w:t>
      </w:r>
      <w:hyperlink r:id="rId256">
        <w:r>
          <w:rPr>
            <w:color w:val="1155CC"/>
            <w:u w:val="single"/>
          </w:rPr>
          <w:t>定制固有微孔聚合物作为连续流动反应分离过程的光氧化还原催化剂</w:t>
        </w:r>
      </w:hyperlink>
    </w:p>
    <w:p>
      <w:pPr>
        <w:spacing w:before="0" w:after="80"/>
      </w:pPr>
      <w:r>
        <w:rPr>
          <w:i/>
          <w:sz w:val="20"/>
        </w:rPr>
        <w:t>EN: Tailoring polymers of intrinsic microporosity as photoredox catalysts for continuous-flow reaction–separation processes</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开发兼具均匀反应性和有效可回收性的可持续、无金属光催化剂仍然是光氧化还原催化领域的一个关键挑战。在这里，我们报告了一系列合理设计的固有微孔聚合物（PIM），专为可见光驱动的光氧化还原反应而设计。通过整合计算机预测、光物理和材料表征以及一系列基准研究，我们采用多学科方法，将这些 PIM 确立为高效光催化剂，在各种光氧化还原反应中具有广泛的适用性，包括 Minisci 反应、芳基胺化、三氟甲基化、自由基磺酰化和双 Ni 催化的 C-N、C-C 和 C-S 偶联。我们进一步评估了多种回收策略，包括沉淀、异质涂层和纳滤均质回收。 PIM 催化剂在纳滤中表现出近乎完全的保留，从而能够开发具有在线催化剂回收和实时过程监控功能的连续流反应分离系统。这项工作建立了一个可调节、可扩展和可回收的光催化平台，并为可持续的连续流动精细化学品制造提供了蓝图。</w:t>
      </w:r>
    </w:p>
    <w:p>
      <w:pPr>
        <w:spacing w:before="0" w:after="200" w:lineRule="auto" w:line="276"/>
      </w:pPr>
      <w:r>
        <w:rPr>
          <w:b/>
        </w:rPr>
        <w:t xml:space="preserve">Abstract (EN): </w:t>
      </w:r>
      <w:r>
        <w:t>The development of sustainable, metal-free photocatalysts that combine homogeneous reactivity with effective recyclability remains a key challenge in photoredox catalysis. Here, we report a series of rationally designed polymers of intrinsic microporosity (PIMs) tailored for visible light-driven photoredox reactions. Using a multidisciplinary approach by integrating in silico predictions, photophysical and materials characterization, and a series of benchmarking studies, we establish these PIMs as highly effective photocatalysts with broad applicability across diverse photoredox reactions, including Minisci reactions, aryl amination, trifluoromethylation, radical sulfonylation, and dual Ni-catalyzed C–N, C–C, and C–S couplings. We further evaluate multiple recycling strategies, including precipitation, heterogeneous coating, and homogeneous recovery by nanofiltration. The PIM catalysts exhibit near-complete retention in nanofiltration, enabling the development of a continuous-flow reaction–separation system with in-line catalyst recovery and real-time process monitoring. This work establishes a platform for tunable, scalable, and recyclable photocatalysis and provides a blueprint for sustainable continuous-flow fine chemical manufacturing.</w:t>
      </w:r>
    </w:p>
    <w:p>
      <w:pPr>
        <w:spacing w:before="120" w:after="120"/>
      </w:pPr>
      <w:r>
        <w:rPr>
          <w:sz w:val="18"/>
        </w:rPr>
        <w:t>——————————————————————————————————————————————————————————————————————</w:t>
      </w:r>
    </w:p>
    <w:p>
      <w:pPr>
        <w:spacing w:before="160" w:after="40" w:line="240" w:lineRule="auto"/>
      </w:pPr>
      <w:r>
        <w:rPr>
          <w:b/>
        </w:rPr>
        <w:t xml:space="preserve">[11] </w:t>
      </w:r>
      <w:hyperlink r:id="rId212">
        <w:r>
          <w:rPr>
            <w:color w:val="1155CC"/>
            <w:u w:val="single"/>
          </w:rPr>
          <w:t>考虑频率储备市场中生产调度和电解槽灵活性的氢加热钢厂部门耦合联合优化</w:t>
        </w:r>
      </w:hyperlink>
    </w:p>
    <w:p>
      <w:pPr>
        <w:spacing w:before="0" w:after="80"/>
      </w:pPr>
      <w:r>
        <w:rPr>
          <w:i/>
          <w:sz w:val="20"/>
        </w:rPr>
        <w:t>EN: Sector-coupled co-optimization for hydrogen-heated steel plants considering production scheduling and electrolyzer flexibility in frequency reserve market</w:t>
      </w:r>
    </w:p>
    <w:p>
      <w:pPr>
        <w:spacing w:before="0" w:after="120"/>
      </w:pPr>
      <w:r>
        <w:rPr>
          <w:b/>
        </w:rPr>
        <w:t xml:space="preserve">Source: </w:t>
      </w:r>
      <w:r>
        <w:t>ScienceDirect Publication: Applied Energy</w:t>
      </w:r>
      <w:r>
        <w:t xml:space="preserve">    </w:t>
      </w:r>
      <w:r>
        <w:rPr>
          <w:b/>
        </w:rPr>
        <w:t xml:space="preserve">Pub date: </w:t>
      </w:r>
      <w:r>
        <w:t>2026-06-03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57">
        <w:r>
          <w:rPr>
            <w:color w:val="1155CC"/>
            <w:u w:val="single"/>
          </w:rPr>
          <w:t>分阶段排放交易计划下碳减排技术的分阶段投资：实物期权分析</w:t>
        </w:r>
      </w:hyperlink>
    </w:p>
    <w:p>
      <w:pPr>
        <w:spacing w:before="0" w:after="80"/>
      </w:pPr>
      <w:r>
        <w:rPr>
          <w:i/>
          <w:sz w:val="20"/>
        </w:rPr>
        <w:t>EN: Staged investments in carbon abatement technologies under a phased emission trading scheme: A real options analysis</w:t>
      </w:r>
    </w:p>
    <w:p>
      <w:pPr>
        <w:spacing w:before="0" w:after="120"/>
      </w:pPr>
      <w:r>
        <w:rPr>
          <w:b/>
        </w:rPr>
        <w:t xml:space="preserve">Source: </w:t>
      </w:r>
      <w:r>
        <w:t>ScienceDirect Publication: Applied Energy</w:t>
      </w:r>
      <w:r>
        <w:t xml:space="preserve">    </w:t>
      </w:r>
      <w:r>
        <w:rPr>
          <w:b/>
        </w:rPr>
        <w:t xml:space="preserve">Pub date: </w:t>
      </w:r>
      <w:r>
        <w:t>2026-06-03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58">
        <w:r>
          <w:rPr>
            <w:color w:val="1155CC"/>
            <w:u w:val="single"/>
          </w:rPr>
          <w:t>LG-Transformer：学习图变压器框架，可实现燃料设计的多种物理化学特性预测</w:t>
        </w:r>
      </w:hyperlink>
    </w:p>
    <w:p>
      <w:pPr>
        <w:spacing w:before="0" w:after="80"/>
      </w:pPr>
      <w:r>
        <w:rPr>
          <w:i/>
          <w:sz w:val="20"/>
        </w:rPr>
        <w:t>EN: LG-Transformer: learned-graph transformer framework enabling diverse physicochemical properties prediction toward fuel design</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绿色燃料对于交通运输行业脱碳至关重要，需要准确预测不同的物理化学特性，以优化发动机性能和排放。尽管基于人工智能的模型显示出加速燃料设计的巨大潜力，但大多数现有方法无法以可解释的方式利用燃料分子内部和之间的内部和外部信息，从而限制了它们对各种特性预测的普遍性。为了解决这些挑战，提出了一种深度学习框架，即学习图特征融合变压器（LG-Transformer）。与在原子键分子图上运行的传统图神经网络 (GNN) 不同，LG-Transformer 采用对比学习来构建由拓扑描述符和属性相似性引导的分子间关系图，从而能够通过 Transformer 层进行属性感知特征传播以进行各种属性预测。为了支持这项工作，我们开发了一个全面的燃料特性数据库，其中包含 26 个化学类别的 1850 种不同分子，每个分子都注释有 17 种与发动机性能相关的关键物理化学特性。在这里，我们展示了 LG-Transformer 实现了卓越的预测性能，平均 R2 为 0.900，显着优于其他 GNN 和深度学习基线。此外，通过积分梯度进行的可解释性分析揭示了潜在的分子结构-性质关系。</w:t>
      </w:r>
    </w:p>
    <w:p>
      <w:pPr>
        <w:spacing w:before="0" w:after="200" w:lineRule="auto" w:line="276"/>
      </w:pPr>
      <w:r>
        <w:rPr>
          <w:b/>
        </w:rPr>
        <w:t xml:space="preserve">Abstract (EN): </w:t>
      </w:r>
      <w:r>
        <w:t>Green fuels are essential for decarbonizing transportation sectors, requiring accurate prediction of different physicochemical properties to optimize engine performance and emissions. Although artificial intelligence-based models demonstrate significant potential to accelerate fuel design, most existing methods cannot utilize the internal and external information within and between fuel molecules with interpretability, limiting their generalizability for diverse properties prediction. To address these challenges, a deep learning framework, the learned graph feature fusion Transformer (LG-Transformer), is proposed. Unlike conventional graph neural networks (GNNs) that operate on atom-bond molecular graphs, LG-Transformer employs contrastive learning to construct an inter-molecular relationship graph guided by topological descriptors and property similarity, enabling property-aware feature propagation through Transformer layers for various property prediction. Supporting this effort, a comprehensive fuel property database is developed, containing 1850 diverse molecules across 26 chemical classes, each annotated with 17 key physicochemical properties relevant to engine performance. Here we show that LG-Transformer achieves superior predictive performance with an average R2 of 0.900, significantly outperforming other GNN and deep learning baselines. Additionally, interpretability analyses via integrated gradients reveal underlying molecular structure-property relationships.</w:t>
      </w:r>
    </w:p>
    <w:p>
      <w:pPr>
        <w:spacing w:before="120" w:after="120"/>
      </w:pPr>
      <w:r>
        <w:rPr>
          <w:sz w:val="18"/>
        </w:rPr>
        <w:t>——————————————————————————————————————————————————————————————————————</w:t>
      </w:r>
    </w:p>
    <w:p>
      <w:pPr>
        <w:spacing w:before="160" w:after="40" w:line="240" w:lineRule="auto"/>
      </w:pPr>
      <w:r>
        <w:rPr>
          <w:b/>
        </w:rPr>
        <w:t xml:space="preserve">[14] </w:t>
      </w:r>
      <w:hyperlink r:id="rId259">
        <w:r>
          <w:rPr>
            <w:color w:val="1155CC"/>
            <w:u w:val="single"/>
          </w:rPr>
          <w:t>优化电气化石灰石烧粘土水泥生产的市场招标和能源管理</w:t>
        </w:r>
      </w:hyperlink>
    </w:p>
    <w:p>
      <w:pPr>
        <w:spacing w:before="0" w:after="80"/>
      </w:pPr>
      <w:r>
        <w:rPr>
          <w:i/>
          <w:sz w:val="20"/>
        </w:rPr>
        <w:t>EN: Optimizing market bidding and energy management for electrified limestone calcined clay cement production</w:t>
      </w:r>
    </w:p>
    <w:p>
      <w:pPr>
        <w:spacing w:before="0" w:after="120"/>
      </w:pPr>
      <w:r>
        <w:rPr>
          <w:b/>
        </w:rPr>
        <w:t xml:space="preserve">Source: </w:t>
      </w:r>
      <w:r>
        <w:t>ScienceDirect Publication: Applied Energy</w:t>
      </w:r>
      <w:r>
        <w:t xml:space="preserve">    </w:t>
      </w:r>
      <w:r>
        <w:rPr>
          <w:b/>
        </w:rPr>
        <w:t xml:space="preserve">Pub date: </w:t>
      </w:r>
      <w:r>
        <w:t>2026-06-04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60">
        <w:r>
          <w:rPr>
            <w:color w:val="1155CC"/>
            <w:u w:val="single"/>
          </w:rPr>
          <w:t>通过具有预测驾驶员模型的自适应驾驶性能地图，为人类驱动的电动汽车实现节能生态驾驶</w:t>
        </w:r>
      </w:hyperlink>
    </w:p>
    <w:p>
      <w:pPr>
        <w:spacing w:before="0" w:after="80"/>
      </w:pPr>
      <w:r>
        <w:rPr>
          <w:i/>
          <w:sz w:val="20"/>
        </w:rPr>
        <w:t>EN: Energy-efficient eco-driving for human-driven electric vehicles via adaptive drivability maps with predictive driver modeling</w:t>
      </w:r>
    </w:p>
    <w:p>
      <w:pPr>
        <w:spacing w:before="0" w:after="120"/>
      </w:pPr>
      <w:r>
        <w:rPr>
          <w:b/>
        </w:rPr>
        <w:t xml:space="preserve">Source: </w:t>
      </w:r>
      <w:r>
        <w:t>ScienceDirect Publication: Applied Energy</w:t>
      </w:r>
      <w:r>
        <w:t xml:space="preserve">    </w:t>
      </w:r>
      <w:r>
        <w:rPr>
          <w:b/>
        </w:rPr>
        <w:t xml:space="preserve">Pub date: </w:t>
      </w:r>
      <w:r>
        <w:t>2026-06-04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61">
        <w:r>
          <w:rPr>
            <w:color w:val="1155CC"/>
            <w:u w:val="single"/>
          </w:rPr>
          <w:t>基于机器学习的船上热、电和燃料负载预测，用于海事决策支持</w:t>
        </w:r>
      </w:hyperlink>
    </w:p>
    <w:p>
      <w:pPr>
        <w:spacing w:before="0" w:after="80"/>
      </w:pPr>
      <w:r>
        <w:rPr>
          <w:i/>
          <w:sz w:val="20"/>
        </w:rPr>
        <w:t>EN: Machine learning-based forecasting of onboard thermal, electrical, and fuel load for maritime decision support</w:t>
      </w:r>
    </w:p>
    <w:p>
      <w:pPr>
        <w:spacing w:before="0" w:after="120"/>
      </w:pPr>
      <w:r>
        <w:rPr>
          <w:b/>
        </w:rPr>
        <w:t xml:space="preserve">Source: </w:t>
      </w:r>
      <w:r>
        <w:t>ScienceDirect Publication: Applied Energy</w:t>
      </w:r>
      <w:r>
        <w:t xml:space="preserve">    </w:t>
      </w:r>
      <w:r>
        <w:rPr>
          <w:b/>
        </w:rPr>
        <w:t xml:space="preserve">Pub date: </w:t>
      </w:r>
      <w:r>
        <w:t>2026-06-04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62">
        <w:r>
          <w:rPr>
            <w:color w:val="1155CC"/>
            <w:u w:val="single"/>
          </w:rPr>
          <w:t>生物多样性、气候减缓和净经济价值的景观效率前沿</w:t>
        </w:r>
      </w:hyperlink>
    </w:p>
    <w:p>
      <w:pPr>
        <w:spacing w:before="0" w:after="80"/>
      </w:pPr>
      <w:r>
        <w:rPr>
          <w:i/>
          <w:sz w:val="20"/>
        </w:rPr>
        <w:t>EN: Landscape efficiency frontiers for biodiversity, climate mitigation, and net economic value</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263">
        <w:r>
          <w:rPr>
            <w:color w:val="1155CC"/>
            <w:u w:val="single"/>
          </w:rPr>
          <w:t>10.1126/science.aea9058</w:t>
        </w:r>
      </w:hyperlink>
    </w:p>
    <w:p>
      <w:pPr>
        <w:spacing w:before="0" w:after="120"/>
      </w:pPr>
      <w:r>
        <w:rPr>
          <w:b/>
        </w:rPr>
        <w:t xml:space="preserve">Notes: </w:t>
      </w:r>
      <w:r>
        <w:t>abstract_source=crossref</w:t>
      </w:r>
    </w:p>
    <w:p>
      <w:pPr>
        <w:spacing w:before="0" w:after="80" w:lineRule="auto" w:line="276"/>
      </w:pPr>
      <w:r>
        <w:rPr>
          <w:b/>
        </w:rPr>
        <w:t xml:space="preserve">摘要（ZH）: </w:t>
      </w:r>
      <w:r>
        <w:t>各国政府和多边机构在协调生物多样性、气候和经济发展目标方面面临着艰巨的挑战。我们将空间生物物理和经济数据与优化方法相结合，开发可持续景观效率前沿，显示生物多样性保护、基于土地的气候减缓以及农作物、牲畜和林业生产的净经济价值的最大可行组合。我们在 146 个国家应用了这种方法，发现改善土地利用和土地管理在生物多样性、气候和经济发展方面具有巨大的潜在收益。国家层面的结果总结表明，有可能减少超过 2000 亿吨二氧化碳的气候缓解</w:t>
      </w:r>
      <w:r>
        <w:rPr>
          <w:vertAlign w:val="subscript"/>
        </w:rPr>
        <w:t>2</w:t>
      </w:r>
      <w:r>
        <w:t>等值（增加 &gt;20%）或净经济价值超过 3500 亿美元（增加 &gt;80%），且其他目标没有损失。</w:t>
      </w:r>
    </w:p>
    <w:p>
      <w:pPr>
        <w:spacing w:before="0" w:after="200" w:lineRule="auto" w:line="276"/>
      </w:pPr>
      <w:r>
        <w:rPr>
          <w:b/>
        </w:rPr>
        <w:t xml:space="preserve">Abstract (EN): </w:t>
      </w:r>
      <w:r>
        <w:t>National governments and multilateral institutions face difficult challenges reconciling biodiversity, climate, and economic development goals. We integrated spatial biophysical and economic data with optimization methods to develop sustainable landscape efficiency frontiers that show maximally feasible combinations of biodiversity conservation, land-based climate mitigation, and net economic value from agricultural crops, livestock, and forestry production. We applied this approach in 146 countries and found large potential gains in biodiversity, climate, and economic development from improved land use and land management. Summing national-level results shows the potential to increase climate mitigation by more than 200 billion metric tons of CO</w:t>
      </w:r>
      <w:r>
        <w:rPr>
          <w:vertAlign w:val="subscript"/>
        </w:rPr>
        <w:t>2</w:t>
      </w:r>
      <w:r>
        <w:t>equivalents (&amp;gt;20% increase) or net economic value by more than US$350 billion (&amp;gt;80% increase), without loss in other objectives.</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264">
        <w:r>
          <w:rPr>
            <w:color w:val="1155CC"/>
            <w:u w:val="single"/>
          </w:rPr>
          <w:t>双原子掺杂剂活化铜稀合金可在安培级电流密度下促进 CO2 电还原至 C2+ 产物</w:t>
        </w:r>
      </w:hyperlink>
    </w:p>
    <w:p>
      <w:pPr>
        <w:spacing w:before="0" w:after="80"/>
      </w:pPr>
      <w:r>
        <w:rPr>
          <w:i/>
          <w:sz w:val="20"/>
        </w:rPr>
        <w:t>EN: Dual‐Atom Dopants Activated Copper Dilute Alloy Boosts Electroreduction CO2‐to‐C2+ Products at Ampere‐Level Current Density</w:t>
      </w:r>
    </w:p>
    <w:p>
      <w:pPr>
        <w:spacing w:before="0" w:after="120"/>
      </w:pPr>
      <w:r>
        <w:rPr>
          <w:b/>
        </w:rPr>
        <w:t xml:space="preserve">Source: </w:t>
      </w:r>
      <w:r>
        <w:t>Wiley: Angewandte Chemie International Edition: Table of Contents</w:t>
      </w:r>
      <w:r>
        <w:t xml:space="preserve">    </w:t>
      </w:r>
      <w:r>
        <w:rPr>
          <w:b/>
        </w:rPr>
        <w:t xml:space="preserve">Pub date: </w:t>
      </w:r>
      <w:r>
        <w:t>2026-05-30 11:50:21+00:00</w:t>
      </w:r>
      <w:r>
        <w:t xml:space="preserve">    </w:t>
      </w:r>
      <w:r>
        <w:rPr>
          <w:b/>
        </w:rPr>
        <w:t xml:space="preserve">DOI: </w:t>
      </w:r>
      <w:hyperlink r:id="rId265">
        <w:r>
          <w:rPr>
            <w:color w:val="1155CC"/>
            <w:u w:val="single"/>
          </w:rPr>
          <w:t>10.1002/anie.5598898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电化学CO</w:t>
      </w:r>
      <w:r>
        <w:rPr>
          <w:vertAlign w:val="subscript"/>
        </w:rPr>
        <w:t>2</w:t>
      </w:r>
      <w:r>
        <w:t>还原反应（CO</w:t>
      </w:r>
      <w:r>
        <w:rPr>
          <w:vertAlign w:val="subscript"/>
        </w:rPr>
        <w:t>2</w:t>
      </w:r>
      <w:r>
        <w:t>RR) 与 H</w:t>
      </w:r>
      <w:r>
        <w:rPr>
          <w:vertAlign w:val="subscript"/>
        </w:rPr>
        <w:t>2</w:t>
      </w:r>
      <w:r>
        <w:t>O作为氢供体为生产能量密集的多碳（C</w:t>
      </w:r>
      <w:r>
        <w:t xml:space="preserve"> </w:t>
      </w:r>
      <w:r>
        <w:t>2+</w:t>
      </w:r>
      <w:r>
        <w:t xml:space="preserve"> </w:t>
      </w:r>
      <w:r>
        <w:t>）产品，但由于竞争途径，指导选择性仍然具有挑战性。在这里，我们将原子 Al 和 Zn 构建到纳米多孔 Cu 中来调节 *CO 和 *H 中间体的吸附能。 C的高效电合成</w:t>
      </w:r>
      <w:r>
        <w:t xml:space="preserve"> </w:t>
      </w:r>
      <w:r>
        <w:t>2+</w:t>
      </w:r>
      <w:r>
        <w:t xml:space="preserve"> </w:t>
      </w:r>
      <w:r>
        <w:t>来自二氧化碳的产品</w:t>
      </w:r>
      <w:r>
        <w:rPr>
          <w:vertAlign w:val="subscript"/>
        </w:rPr>
        <w:t>2</w:t>
      </w:r>
      <w:r>
        <w:t>实现了 RR，法拉第效率接近 91.4%，部分电流密度为 -1.5 A cm</w:t>
      </w:r>
      <w:r>
        <w:t xml:space="preserve"> </w:t>
      </w:r>
      <w:r>
        <w:t>−2</w:t>
      </w:r>
      <w:r>
        <w:t xml:space="preserve"> </w:t>
      </w:r>
      <w:r>
        <w:t>，和一个C</w:t>
      </w:r>
      <w:r>
        <w:t xml:space="preserve"> </w:t>
      </w:r>
      <w:r>
        <w:t>2+</w:t>
      </w:r>
      <w:r>
        <w:t xml:space="preserve"> </w:t>
      </w:r>
      <w:r>
        <w:t>/C</w:t>
      </w:r>
      <w:r>
        <w:rPr>
          <w:vertAlign w:val="subscript"/>
        </w:rPr>
        <w:t>1</w:t>
      </w:r>
      <w:r>
        <w:t>在气体供给流通池中比率高达 26.9。实验和理论研究表明，Al</w:t>
      </w:r>
      <w:r>
        <w:rPr>
          <w:vertAlign w:val="subscript"/>
        </w:rPr>
        <w:t>1</w:t>
      </w:r>
      <w:r>
        <w:t>─Cu位点优先促进CO</w:t>
      </w:r>
      <w:r>
        <w:rPr>
          <w:vertAlign w:val="subscript"/>
        </w:rPr>
        <w:t>2</w:t>
      </w:r>
      <w:r>
        <w:t>活化，而 Zn</w:t>
      </w:r>
      <w:r>
        <w:rPr>
          <w:vertAlign w:val="subscript"/>
        </w:rPr>
        <w:t>1</w:t>
      </w:r>
      <w:r>
        <w:t>─Cu位点促进H</w:t>
      </w:r>
      <w:r>
        <w:rPr>
          <w:vertAlign w:val="subscript"/>
        </w:rPr>
        <w:t>2</w:t>
      </w:r>
      <w:r>
        <w:t>O解离保证中间体加氢，从而协同驱动*CO转化为*CHO并促进*CHO─*CO不对称偶联形成C</w:t>
      </w:r>
      <w:r>
        <w:t xml:space="preserve"> </w:t>
      </w:r>
      <w:r>
        <w:t>2+</w:t>
      </w:r>
      <w:r>
        <w:t xml:space="preserve"> </w:t>
      </w:r>
      <w:r>
        <w:t>Cu 网站上的产品。这项工作建立了一种增强质子供应的双原子合金</w:t>
      </w:r>
    </w:p>
    <w:p>
      <w:pPr>
        <w:spacing w:before="0" w:after="200" w:lineRule="auto" w:line="276"/>
      </w:pPr>
      <w:r>
        <w:rPr>
          <w:b/>
        </w:rPr>
        <w:t xml:space="preserve">Abstract (EN): </w:t>
      </w:r>
      <w:r>
        <w:t>Electrochemical CO</w:t>
      </w:r>
      <w:r>
        <w:rPr>
          <w:vertAlign w:val="subscript"/>
        </w:rPr>
        <w:t>2</w:t>
      </w:r>
      <w:r>
        <w:t>reduction reaction (CO</w:t>
      </w:r>
      <w:r>
        <w:rPr>
          <w:vertAlign w:val="subscript"/>
        </w:rPr>
        <w:t>2</w:t>
      </w:r>
      <w:r>
        <w:t>RR) with H</w:t>
      </w:r>
      <w:r>
        <w:rPr>
          <w:vertAlign w:val="subscript"/>
        </w:rPr>
        <w:t>2</w:t>
      </w:r>
      <w:r>
        <w:t>O as the hydrogen donor provides a sustainable and green route to product energy‐dense multi‐carbon (C</w:t>
      </w:r>
      <w:r>
        <w:t xml:space="preserve"> </w:t>
      </w:r>
      <w:r>
        <w:t>2+</w:t>
      </w:r>
      <w:r>
        <w:t xml:space="preserve"> </w:t>
      </w:r>
      <w:r>
        <w:t>) products, but guiding selectivity remains challenging due to competing pathways. Here, we construct atomic Al and Zn into nanoporous Cu to regulate the adsorption energies of *CO and *H intermediates. Efficient electrosynthesis of C</w:t>
      </w:r>
      <w:r>
        <w:t xml:space="preserve"> </w:t>
      </w:r>
      <w:r>
        <w:t>2+</w:t>
      </w:r>
      <w:r>
        <w:t xml:space="preserve"> </w:t>
      </w:r>
      <w:r>
        <w:t>products from CO</w:t>
      </w:r>
      <w:r>
        <w:rPr>
          <w:vertAlign w:val="subscript"/>
        </w:rPr>
        <w:t>2</w:t>
      </w:r>
      <w:r>
        <w:t>RR are achieved, delivering a Faradaic efficiency approaching 91.4%, a partial current density of −1.5 A cm</w:t>
      </w:r>
      <w:r>
        <w:t xml:space="preserve"> </w:t>
      </w:r>
      <w:r>
        <w:t>−2</w:t>
      </w:r>
      <w:r>
        <w:t xml:space="preserve"> </w:t>
      </w:r>
      <w:r>
        <w:t>, and a C</w:t>
      </w:r>
      <w:r>
        <w:t xml:space="preserve"> </w:t>
      </w:r>
      <w:r>
        <w:t>2+</w:t>
      </w:r>
      <w:r>
        <w:t xml:space="preserve"> </w:t>
      </w:r>
      <w:r>
        <w:t>/C</w:t>
      </w:r>
      <w:r>
        <w:rPr>
          <w:vertAlign w:val="subscript"/>
        </w:rPr>
        <w:t>1</w:t>
      </w:r>
      <w:r>
        <w:t>ratio up to 26.9 in gas‐fed flow cells. Experimental and theoretical studies reveal that the Al</w:t>
      </w:r>
      <w:r>
        <w:rPr>
          <w:vertAlign w:val="subscript"/>
        </w:rPr>
        <w:t>1</w:t>
      </w:r>
      <w:r>
        <w:t>─Cu sites preferentially promote CO</w:t>
      </w:r>
      <w:r>
        <w:rPr>
          <w:vertAlign w:val="subscript"/>
        </w:rPr>
        <w:t>2</w:t>
      </w:r>
      <w:r>
        <w:t>activation, while Zn</w:t>
      </w:r>
      <w:r>
        <w:rPr>
          <w:vertAlign w:val="subscript"/>
        </w:rPr>
        <w:t>1</w:t>
      </w:r>
      <w:r>
        <w:t>─Cu sites facilitate H</w:t>
      </w:r>
      <w:r>
        <w:rPr>
          <w:vertAlign w:val="subscript"/>
        </w:rPr>
        <w:t>2</w:t>
      </w:r>
      <w:r>
        <w:t>O dissociation to ensure intermediate hydrogenation, thus synergistically driving the conversion of *CO to *CHO and promoting asymmetric *CHO─*CO coupling to form C</w:t>
      </w:r>
      <w:r>
        <w:t xml:space="preserve"> </w:t>
      </w:r>
      <w:r>
        <w:t>2+</w:t>
      </w:r>
      <w:r>
        <w:t xml:space="preserve"> </w:t>
      </w:r>
      <w:r>
        <w:t>products on Cu site. This work establishes a dual‐atom alloy that enhances proton supply to CO</w:t>
      </w:r>
      <w:r>
        <w:rPr>
          <w:vertAlign w:val="subscript"/>
        </w:rPr>
        <w:t>2</w:t>
      </w:r>
      <w:r>
        <w:t>and intermediates while regulating *CO coverage, providing a rational design concept for electrocatalysts toward the selective reduction of CO</w:t>
      </w:r>
      <w:r>
        <w:rPr>
          <w:vertAlign w:val="subscript"/>
        </w:rPr>
        <w:t>2</w:t>
      </w:r>
      <w:r>
        <w:t>to C</w:t>
      </w:r>
      <w:r>
        <w:t xml:space="preserve"> </w:t>
      </w:r>
      <w:r>
        <w:t>2+</w:t>
      </w:r>
      <w:r>
        <w:t xml:space="preserve"> </w:t>
      </w:r>
      <w:r>
        <w:t>products.</w:t>
      </w:r>
    </w:p>
    <w:p>
      <w:pPr>
        <w:spacing w:before="120" w:after="120"/>
      </w:pPr>
      <w:r>
        <w:rPr>
          <w:sz w:val="18"/>
        </w:rPr>
        <w:t>——————————————————————————————————————————————————————————————————————</w:t>
      </w:r>
    </w:p>
    <w:p>
      <w:pPr>
        <w:spacing w:before="160" w:after="40" w:line="240" w:lineRule="auto"/>
      </w:pPr>
      <w:r>
        <w:rPr>
          <w:b/>
        </w:rPr>
        <w:t xml:space="preserve">[2] </w:t>
      </w:r>
      <w:hyperlink r:id="rId183">
        <w:r>
          <w:rPr>
            <w:color w:val="1155CC"/>
            <w:u w:val="single"/>
          </w:rPr>
          <w:t>CO2 诱导 Pt/CeO2 上的反向晶格氧溢出可实现甲烷的抗硫干重整</w:t>
        </w:r>
      </w:hyperlink>
    </w:p>
    <w:p>
      <w:pPr>
        <w:spacing w:before="0" w:after="80"/>
      </w:pPr>
      <w:r>
        <w:rPr>
          <w:i/>
          <w:sz w:val="20"/>
        </w:rPr>
        <w:t>EN: CO2‐Induced Reverse Lattice Oxygen Spillover on Pt/CeO2 Enables Sulfur‐Resistant Dry Reforming of Methane</w:t>
      </w:r>
    </w:p>
    <w:p>
      <w:pPr>
        <w:spacing w:before="0" w:after="120"/>
      </w:pPr>
      <w:r>
        <w:rPr>
          <w:b/>
        </w:rPr>
        <w:t xml:space="preserve">Source: </w:t>
      </w:r>
      <w:r>
        <w:t>Wiley: Angewandte Chemie International Edition: Table of Contents</w:t>
      </w:r>
      <w:r>
        <w:t xml:space="preserve">    </w:t>
      </w:r>
      <w:r>
        <w:rPr>
          <w:b/>
        </w:rPr>
        <w:t xml:space="preserve">Pub date: </w:t>
      </w:r>
      <w:r>
        <w:t>2026-05-31 16:13:34+00:00</w:t>
      </w:r>
      <w:r>
        <w:t xml:space="preserve">    </w:t>
      </w:r>
      <w:r>
        <w:rPr>
          <w:b/>
        </w:rPr>
        <w:t xml:space="preserve">DOI: </w:t>
      </w:r>
      <w:hyperlink r:id="rId184">
        <w:r>
          <w:rPr>
            <w:color w:val="1155CC"/>
            <w:u w:val="single"/>
          </w:rPr>
          <w:t>10.1002/anie.1664469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甲烷干重整 (DRM) 是沼气升级的关键过程，克服硫中毒尤其具有挑战性。在这项研究中，我们说明了 CeO 的反向晶格氧溢出 (RLOS)</w:t>
      </w:r>
      <w:r>
        <w:rPr>
          <w:vertAlign w:val="subscript"/>
        </w:rPr>
        <w:t>2</w:t>
      </w:r>
      <w:r>
        <w:t>CO 诱导 Pt-O-Ce 界面上的 Pt</w:t>
      </w:r>
      <w:r>
        <w:rPr>
          <w:vertAlign w:val="subscript"/>
        </w:rPr>
        <w:t>2</w:t>
      </w:r>
      <w:r>
        <w:t>，可以将S氧化成SO</w:t>
      </w:r>
      <w:r>
        <w:rPr>
          <w:vertAlign w:val="subscript"/>
        </w:rPr>
        <w:t>2</w:t>
      </w:r>
      <w:r>
        <w:t>，有助于去除硫沉积物。 Pt-O-Ce 界面处的低氧迁移势垒以及 Pt 将硫氧化成 SO 的高活性</w:t>
      </w:r>
      <w:r>
        <w:rPr>
          <w:vertAlign w:val="subscript"/>
        </w:rPr>
        <w:t>2</w:t>
      </w:r>
      <w:r>
        <w:t>制备 Pt/CeO</w:t>
      </w:r>
      <w:r>
        <w:rPr>
          <w:vertAlign w:val="subscript"/>
        </w:rPr>
        <w:t>2</w:t>
      </w:r>
      <w:r>
        <w:t>H 后自我恢复的独特效果</w:t>
      </w:r>
      <w:r>
        <w:rPr>
          <w:vertAlign w:val="subscript"/>
        </w:rPr>
        <w:t>2</w:t>
      </w:r>
      <w:r>
        <w:t>S中毒。此外，原子分散的 Pt/CeO</w:t>
      </w:r>
      <w:r>
        <w:rPr>
          <w:vertAlign w:val="subscript"/>
        </w:rPr>
        <w:t>2</w:t>
      </w:r>
      <w:r>
        <w:t>催化剂进行反应驱动的自适应重组，从而放大 RLOS 效应并实现动态 S 沉积和去除。因此，即使在 H 存在的情况下，催化剂也能在 100 小时内保持恒定的 DRM 活性。</w:t>
      </w:r>
      <w:r>
        <w:rPr>
          <w:vertAlign w:val="subscript"/>
        </w:rPr>
        <w:t>2</w:t>
      </w:r>
      <w:r>
        <w:t>这一发现为设计抗 H 中硫中毒的催化剂铺平了道路</w:t>
      </w:r>
      <w:r>
        <w:rPr>
          <w:vertAlign w:val="subscript"/>
        </w:rPr>
        <w:t>2</w:t>
      </w:r>
      <w:r>
        <w:t>含S流。</w:t>
      </w:r>
    </w:p>
    <w:p>
      <w:pPr>
        <w:spacing w:before="0" w:after="200" w:lineRule="auto" w:line="276"/>
      </w:pPr>
      <w:r>
        <w:rPr>
          <w:b/>
        </w:rPr>
        <w:t xml:space="preserve">Abstract (EN): </w:t>
      </w:r>
      <w:r>
        <w:t>Overcoming sulfur poisoning in dry reforming of methane (DRM), which is a critical process for biogas upgrading, is particularly challenging. In this study, we illustrate that a reverse lattice oxygen spillover (RLOS) from CeO</w:t>
      </w:r>
      <w:r>
        <w:rPr>
          <w:vertAlign w:val="subscript"/>
        </w:rPr>
        <w:t>2</w:t>
      </w:r>
      <w:r>
        <w:t>to Pt on the Pt‐O‐Ce interface, induced by CO</w:t>
      </w:r>
      <w:r>
        <w:rPr>
          <w:vertAlign w:val="subscript"/>
        </w:rPr>
        <w:t>2</w:t>
      </w:r>
      <w:r>
        <w:t>, can oxidize S into SO</w:t>
      </w:r>
      <w:r>
        <w:rPr>
          <w:vertAlign w:val="subscript"/>
        </w:rPr>
        <w:t>2</w:t>
      </w:r>
      <w:r>
        <w:t>, aiding in the removal of S deposits. A low oxygen migration barrier at the Pt–O–Ce interface and Pt's high activity for oxidizing sulfur to SO</w:t>
      </w:r>
      <w:r>
        <w:rPr>
          <w:vertAlign w:val="subscript"/>
        </w:rPr>
        <w:t>2</w:t>
      </w:r>
      <w:r>
        <w:t>make Pt/CeO</w:t>
      </w:r>
      <w:r>
        <w:rPr>
          <w:vertAlign w:val="subscript"/>
        </w:rPr>
        <w:t>2</w:t>
      </w:r>
      <w:r>
        <w:t>uniquely effective at self‐recovering after H</w:t>
      </w:r>
      <w:r>
        <w:rPr>
          <w:vertAlign w:val="subscript"/>
        </w:rPr>
        <w:t>2</w:t>
      </w:r>
      <w:r>
        <w:t>S poisoning. Furthermore, the atomically dispersed Pt/CeO</w:t>
      </w:r>
      <w:r>
        <w:rPr>
          <w:vertAlign w:val="subscript"/>
        </w:rPr>
        <w:t>2</w:t>
      </w:r>
      <w:r>
        <w:t>catalyst undergoes reaction driven adaptive restructuring, which amplifies the RLOS effect and enables dynamic S deposition and removal. As a result, the catalysts maintain constant DRM activity for 100 h, even in the presence of H</w:t>
      </w:r>
      <w:r>
        <w:rPr>
          <w:vertAlign w:val="subscript"/>
        </w:rPr>
        <w:t>2</w:t>
      </w:r>
      <w:r>
        <w:t>S. This discovery paves the way for designing catalysts that resist sulfur poisoning in H</w:t>
      </w:r>
      <w:r>
        <w:rPr>
          <w:vertAlign w:val="subscript"/>
        </w:rPr>
        <w:t>2</w:t>
      </w:r>
      <w:r>
        <w:t>S‐containing streams.</w:t>
      </w:r>
    </w:p>
    <w:p>
      <w:pPr>
        <w:spacing w:before="120" w:after="120"/>
      </w:pPr>
      <w:r>
        <w:rPr>
          <w:sz w:val="18"/>
        </w:rPr>
        <w:t>——————————————————————————————————————————————————————————————————————</w:t>
      </w:r>
    </w:p>
    <w:p>
      <w:pPr>
        <w:spacing w:before="160" w:after="40" w:line="240" w:lineRule="auto"/>
      </w:pPr>
      <w:r>
        <w:rPr>
          <w:b/>
        </w:rPr>
        <w:t xml:space="preserve">[3] </w:t>
      </w:r>
      <w:hyperlink r:id="rId266">
        <w:r>
          <w:rPr>
            <w:color w:val="1155CC"/>
            <w:u w:val="single"/>
          </w:rPr>
          <w:t>结构工程量子点在单个光氧化还原循环中将二氧化碳还原与邻位二胺生产结合起来</w:t>
        </w:r>
      </w:hyperlink>
    </w:p>
    <w:p>
      <w:pPr>
        <w:spacing w:before="0" w:after="80"/>
      </w:pPr>
      <w:r>
        <w:rPr>
          <w:i/>
          <w:sz w:val="20"/>
        </w:rPr>
        <w:t>EN: Structure Engineered Quantum Dots Couple CO2 Reduction With Vicinal Diamines Production in a Single Photoredox Cycle</w:t>
      </w:r>
    </w:p>
    <w:p>
      <w:pPr>
        <w:spacing w:before="0" w:after="120"/>
      </w:pPr>
      <w:r>
        <w:rPr>
          <w:b/>
        </w:rPr>
        <w:t xml:space="preserve">Source: </w:t>
      </w:r>
      <w:r>
        <w:t>Wiley: Angewandte Chemie International Edition: Table of Contents</w:t>
      </w:r>
      <w:r>
        <w:t xml:space="preserve">    </w:t>
      </w:r>
      <w:r>
        <w:rPr>
          <w:b/>
        </w:rPr>
        <w:t xml:space="preserve">Pub date: </w:t>
      </w:r>
      <w:r>
        <w:t>2026-06-01 08:03:49+00:00</w:t>
      </w:r>
      <w:r>
        <w:t xml:space="preserve">    </w:t>
      </w:r>
      <w:r>
        <w:rPr>
          <w:b/>
        </w:rPr>
        <w:t xml:space="preserve">DOI: </w:t>
      </w:r>
      <w:hyperlink r:id="rId267">
        <w:r>
          <w:rPr>
            <w:color w:val="1155CC"/>
            <w:u w:val="single"/>
          </w:rPr>
          <w:t>10.1002/anie.8506641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光催化CO</w:t>
      </w:r>
      <w:r>
        <w:rPr>
          <w:vertAlign w:val="subscript"/>
        </w:rPr>
        <w:t>2</w:t>
      </w:r>
      <w:r>
        <w:t>还原与有机转化作为有效太阳能利用的有前景的策略引起了人们的广泛关注。然而，挑战仍然存在，特别是在实现 CO 的高选择性方面</w:t>
      </w:r>
      <w:r>
        <w:rPr>
          <w:vertAlign w:val="subscript"/>
        </w:rPr>
        <w:t>2</w:t>
      </w:r>
      <w:r>
        <w:t>减少并进一步扩大氧化有机转化的多样性。在此，通过巧妙地设计 CdSe/CdS 量子点 (QD) 的结构，我们报告了光催化 CO 的集成</w:t>
      </w:r>
      <w:r>
        <w:rPr>
          <w:vertAlign w:val="subscript"/>
        </w:rPr>
        <w:t>2</w:t>
      </w:r>
      <w:r>
        <w:t>在可见光下的单个光氧化还原循环中，通过胺的氧化 C-C 偶联来减少邻位二胺的产生。动态实验表明光生电子可还原CO</w:t>
      </w:r>
      <w:r>
        <w:rPr>
          <w:vertAlign w:val="subscript"/>
        </w:rPr>
        <w:t>2</w:t>
      </w:r>
      <w:r>
        <w:t>与光生空穴氧化胺协同进行，从而实现邻位二胺的收率高达97%和CO</w:t>
      </w:r>
      <w:r>
        <w:rPr>
          <w:vertAlign w:val="subscript"/>
        </w:rPr>
        <w:t>2</w:t>
      </w:r>
      <w:r>
        <w:t>转化为CO的选择性高达98%。机理研究表明，受控量子点结构工程通过平衡电子和空穴捕获来优化激子动力学，确保有效的电荷分离和利用。该系统适用于一系列胺底物，可用于克级邻二胺合成，强调了其协同 CO2 的潜力</w:t>
      </w:r>
      <w:r>
        <w:rPr>
          <w:vertAlign w:val="subscript"/>
        </w:rPr>
        <w:t>2</w:t>
      </w:r>
      <w:r>
        <w:t>增值和有价值的化学品生产。</w:t>
      </w:r>
    </w:p>
    <w:p>
      <w:pPr>
        <w:spacing w:before="0" w:after="200" w:lineRule="auto" w:line="276"/>
      </w:pPr>
      <w:r>
        <w:rPr>
          <w:b/>
        </w:rPr>
        <w:t xml:space="preserve">Abstract (EN): </w:t>
      </w:r>
      <w:r>
        <w:t>Photocatalytic CO</w:t>
      </w:r>
      <w:r>
        <w:rPr>
          <w:vertAlign w:val="subscript"/>
        </w:rPr>
        <w:t>2</w:t>
      </w:r>
      <w:r>
        <w:t>reduction coupled with organic transformations has attracted significant attention as a promising strategy for efficient solar energy utilization. However, challenges remain, particularly when it comes to achieving high selectivity in CO</w:t>
      </w:r>
      <w:r>
        <w:rPr>
          <w:vertAlign w:val="subscript"/>
        </w:rPr>
        <w:t>2</w:t>
      </w:r>
      <w:r>
        <w:t>reduction and further expanding the diversity of oxidative organic transformations. Herein, by subtly engineering the structure of CdSe/CdS quantum dots (QDs), we report the integration of photocatalytic CO</w:t>
      </w:r>
      <w:r>
        <w:rPr>
          <w:vertAlign w:val="subscript"/>
        </w:rPr>
        <w:t>2</w:t>
      </w:r>
      <w:r>
        <w:t>reduction with vicinal diamines production via oxidative C–C coupling of amines in a single photoredox cycle under visible light. Dynamic experiments indicate the photogenerated electrons for reducing CO</w:t>
      </w:r>
      <w:r>
        <w:rPr>
          <w:vertAlign w:val="subscript"/>
        </w:rPr>
        <w:t>2</w:t>
      </w:r>
      <w:r>
        <w:t>proceed in coordination with photogenerated holes oxidizing amines, thus realizing vicinal diamines with yields up to 97% and CO</w:t>
      </w:r>
      <w:r>
        <w:rPr>
          <w:vertAlign w:val="subscript"/>
        </w:rPr>
        <w:t>2</w:t>
      </w:r>
      <w:r>
        <w:t>‐to‐CO conversion with selectivity as high as 98%. Mechanistic studies indicate that controlled QD structural engineering optimizes exciton dynamics by balancing electron and hole trapping, ensuring efficient charge separation and utilization. The system is applicable to a range of amine substrates and usable for gram‐scale vicinal diamines synthesis, underscoring its potential for synergistic CO</w:t>
      </w:r>
      <w:r>
        <w:rPr>
          <w:vertAlign w:val="subscript"/>
        </w:rPr>
        <w:t>2</w:t>
      </w:r>
      <w:r>
        <w:t>valorization and valuable chemicals production.</w:t>
      </w:r>
    </w:p>
    <w:p>
      <w:pPr>
        <w:spacing w:before="120" w:after="120"/>
      </w:pPr>
      <w:r>
        <w:rPr>
          <w:sz w:val="18"/>
        </w:rPr>
        <w:t>——————————————————————————————————————————————————————————————————————</w:t>
      </w:r>
    </w:p>
    <w:p>
      <w:pPr>
        <w:spacing w:before="160" w:after="40" w:line="240" w:lineRule="auto"/>
      </w:pPr>
      <w:r>
        <w:rPr>
          <w:b/>
        </w:rPr>
        <w:t xml:space="preserve">[4] </w:t>
      </w:r>
      <w:hyperlink r:id="rId164">
        <w:r>
          <w:rPr>
            <w:color w:val="1155CC"/>
            <w:u w:val="single"/>
          </w:rPr>
          <w:t>美国墨西哥湾沿岸炼油厂利用核能和化石能源固碳的技术经济和环境比较分析</w:t>
        </w:r>
      </w:hyperlink>
    </w:p>
    <w:p>
      <w:pPr>
        <w:spacing w:before="0" w:after="80"/>
      </w:pPr>
      <w:r>
        <w:rPr>
          <w:i/>
          <w:sz w:val="20"/>
        </w:rPr>
        <w:t>EN: Comparative techno-economic and environmental analysis of using nuclear energy and fossil energy with carbon sequestration in U.S. Gulf Coast petroleum refineries</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268">
        <w:r>
          <w:rPr>
            <w:color w:val="1155CC"/>
            <w:u w:val="single"/>
          </w:rPr>
          <w:t>基于激发的吸附</w:t>
        </w:r>
      </w:hyperlink>
    </w:p>
    <w:p>
      <w:pPr>
        <w:spacing w:before="0" w:after="80"/>
      </w:pPr>
      <w:r>
        <w:rPr>
          <w:i/>
          <w:sz w:val="20"/>
        </w:rPr>
        <w:t>EN: Adsorption based on excitation</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传统上，吸附被认为仅发生在基态，但在这里我们报告了激发驱动的吸附模式。制备了金属酞菁和碳质基材的复合材料，其中钾酞菁（KPc）/还原氧化石墨烯（RG）复合材料表现出最典型的行为。飞秒瞬态吸收光谱和第一原理模拟表明，在紫外线 (UV) 照射下，复合材料中的激发电子有效地从 KPc 转移到 RG，在 KPc 上留下长寿命的激发空穴，从而能够选择性吸附 CO 分子。在黑暗中，该复合材料的 CO 吸附量可以忽略不计（0.06 mmol g-1），而在紫外光照射下，其 CO 吸收量增加至 1.20 mmol g-1，且紫外调制的吸附容量比高达 95%。该吸附模式也适用于其他金属酞菁/碳质复合材料。这项工作提出了光激发利用和节能化学分离技术开发的潜在策略。</w:t>
      </w:r>
    </w:p>
    <w:p>
      <w:pPr>
        <w:spacing w:before="0" w:after="200" w:lineRule="auto" w:line="276"/>
      </w:pPr>
      <w:r>
        <w:rPr>
          <w:b/>
        </w:rPr>
        <w:t xml:space="preserve">Abstract (EN): </w:t>
      </w:r>
      <w:r>
        <w:t>Traditionally, adsorption is believed to take place only in the ground state, but here we report an excitation-driven adsorption mode. Composites of metallophthalocyanines and carbonaceous substrates are prepared, among which the potassium-phthalocyanine (KPc)/reduced graphene oxide (RG) composite shows the most typical behavior. Femtosecond transient absorption spectroscopy and first-principles simulations reveal that under ultraviolet (UV) irradiation, the excited electrons in the composite transfer efficiently from KPc to RG, leaving long-lived excited holes on KPc that enable selective adsorption of CO molecules. In the dark, the composite shows negligible CO adsorption (0.06 mmol g⁻1), whereas its CO uptake increases to 1.20 mmol g⁻1 upon UV light, with a UV-modulated adsorption capacity ratio of up to 95%. This adsorption mode is also applicable to other metallophthalocyanine/carbonaceous composites. This work presents a potential strategy for photoexcitation utilization and the development of energy-efficient chemical separation technologies.</w:t>
      </w:r>
    </w:p>
    <w:p>
      <w:pPr>
        <w:spacing w:before="120" w:after="120"/>
      </w:pPr>
      <w:r>
        <w:rPr>
          <w:sz w:val="18"/>
        </w:rPr>
        <w:t>——————————————————————————————————————————————————————————————————————</w:t>
      </w:r>
    </w:p>
    <w:p>
      <w:pPr>
        <w:spacing w:before="160" w:after="40" w:line="240" w:lineRule="auto"/>
      </w:pPr>
      <w:r>
        <w:rPr>
          <w:b/>
        </w:rPr>
        <w:t xml:space="preserve">[6] </w:t>
      </w:r>
      <w:hyperlink r:id="rId255">
        <w:r>
          <w:rPr>
            <w:color w:val="1155CC"/>
            <w:u w:val="single"/>
          </w:rPr>
          <w:t>协同脉冲电催化实现尼龙单体己二酸的绿色高效合成</w:t>
        </w:r>
      </w:hyperlink>
    </w:p>
    <w:p>
      <w:pPr>
        <w:spacing w:before="0" w:after="80"/>
      </w:pPr>
      <w:r>
        <w:rPr>
          <w:i/>
          <w:sz w:val="20"/>
        </w:rPr>
        <w:t>EN: Synergistic pulsed electrocatalysis enables green and efficient synthesis of nylon monomer adipic acid</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己二酸（AA）是一种关键单体，由环己酮-环己醇混合物（KA油）经高温硝酸氧化而生产；具有大量碳足迹的二氧化氮密集型工艺。 KA 的电力电氧化升级很有吸引力，但由于氧气利用率差、氧气析出以及催化剂在电势下快速钝化，导致活性-稳定性-选择性权衡，因此不切实际。我们提出了一种集成电催化平台，将 α-FeO​​OH/NiFe 层状双氢氧化物 (NiFe-LDH) 异质结催化剂与脉冲电解 (PE) 相结合，用于绿色、高效的 AA 生产。异质界面引导 α-FeO​​OH 和 NiFe-LDH 之间的电子桥联，降低 C-C 断裂的能垒，并为选择性 AA 创建表面位点。 PE 模式将电氧化与催化位点再生分离，循环刷新中毒中心以防止中间积累。该策略在 300 小时内实现了 6.73 mmol h−1 cm−2 AA 产率和 90.06% 的法拉第效率。此外，在 300 mA cm−2 下将阳极 AA 合成与阴极 CO2 转化为甲酸盐的流动电解槽耦合，可实现可扩展、可持续的尼龙单体生产。</w:t>
      </w:r>
    </w:p>
    <w:p>
      <w:pPr>
        <w:spacing w:before="0" w:after="200" w:lineRule="auto" w:line="276"/>
      </w:pPr>
      <w:r>
        <w:rPr>
          <w:b/>
        </w:rPr>
        <w:t xml:space="preserve">Abstract (EN): </w:t>
      </w:r>
      <w:r>
        <w:t>Adipic acid (AA), a pivotal monomer, is produced via high-temperature nitric acid oxidation of cyclohexanone–cyclohexanol mixture (KA oil); a NO2-intensive process with a large carbon footprint. Electricity-powered electro-oxidative upgrading of KA is appealing, but impractical due to poor O2 utilization, oxygen evolution, and rapid catalyst passivation under potentials, causing an activity–stability–selectivity trade-off. We present an integrated electrocatalytic platform combining an α-FeOOH/NiFe layered double hydroxide (NiFe-LDH) heterojunction catalyst with pulsed electrolysis (PE) for green, efficient AA production. The heterointerface directs electron bridging between α-FeOOH and NiFe-LDH, lowering energy barriers for C–C scission, and creating surface sites for selective AA. PE mode decouples electro-oxidation from catalytic-site regeneration, cyclically refreshing poisoned centers to prevent intermediate accumulation. This strategy achieves 6.73 mmol h−1 cm−2 AA yield with 90.06% Faradaic efficiency over 300 h. Moreover a flow electrolyzer coupling anodic AA synthesis with cathodic CO2-to-formate conversion at 300 mA cm−2 enables scalable, sustainable nylon-monomer production.</w:t>
      </w:r>
    </w:p>
    <w:p>
      <w:pPr>
        <w:spacing w:before="120" w:after="120"/>
      </w:pPr>
      <w:r>
        <w:rPr>
          <w:sz w:val="18"/>
        </w:rPr>
        <w:t>——————————————————————————————————————————————————————————————————————</w:t>
      </w:r>
    </w:p>
    <w:p>
      <w:pPr>
        <w:spacing w:before="160" w:after="40" w:line="240" w:lineRule="auto"/>
      </w:pPr>
      <w:r>
        <w:rPr>
          <w:b/>
        </w:rPr>
        <w:t xml:space="preserve">[7] </w:t>
      </w:r>
      <w:hyperlink r:id="rId269">
        <w:r>
          <w:rPr>
            <w:color w:val="1155CC"/>
            <w:u w:val="single"/>
          </w:rPr>
          <w:t>用于先进电催化二氧化碳减排的工程界面水：从分子理解到材料设计</w:t>
        </w:r>
      </w:hyperlink>
    </w:p>
    <w:p>
      <w:pPr>
        <w:spacing w:before="0" w:after="80"/>
      </w:pPr>
      <w:r>
        <w:rPr>
          <w:i/>
          <w:sz w:val="20"/>
        </w:rPr>
        <w:t>EN: Engineering Interfacial Water for Advanced Electrocatalytic CO2 Reduction: From Molecular Understanding to Materials Design</w:t>
      </w:r>
    </w:p>
    <w:p>
      <w:pPr>
        <w:spacing w:before="0" w:after="120"/>
      </w:pPr>
      <w:r>
        <w:rPr>
          <w:b/>
        </w:rPr>
        <w:t xml:space="preserve">Source: </w:t>
      </w:r>
      <w:r>
        <w:t>Wiley: Advanced Materials: Table of Contents</w:t>
      </w:r>
      <w:r>
        <w:t xml:space="preserve">    </w:t>
      </w:r>
      <w:r>
        <w:rPr>
          <w:b/>
        </w:rPr>
        <w:t xml:space="preserve">Pub date: </w:t>
      </w:r>
      <w:r>
        <w:t>2026-06-02 06:00:10+00:00</w:t>
      </w:r>
      <w:r>
        <w:t xml:space="preserve">    </w:t>
      </w:r>
      <w:r>
        <w:rPr>
          <w:b/>
        </w:rPr>
        <w:t xml:space="preserve">DOI: </w:t>
      </w:r>
      <w:hyperlink r:id="rId270">
        <w:r>
          <w:rPr>
            <w:color w:val="1155CC"/>
            <w:u w:val="single"/>
          </w:rPr>
          <w:t>10.1002/adma.73543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电催化CO</w:t>
      </w:r>
      <w:r>
        <w:rPr>
          <w:vertAlign w:val="subscript"/>
        </w:rPr>
        <w:t>2</w:t>
      </w:r>
      <w:r>
        <w:t>减少量（二氧化碳</w:t>
      </w:r>
      <w:r>
        <w:rPr>
          <w:vertAlign w:val="subscript"/>
        </w:rPr>
        <w:t>2</w:t>
      </w:r>
      <w:r>
        <w:t>RR）提供了转化二氧化碳的直接途径</w:t>
      </w:r>
      <w:r>
        <w:rPr>
          <w:vertAlign w:val="subscript"/>
        </w:rPr>
        <w:t>2</w:t>
      </w:r>
      <w:r>
        <w:t>将天然气转化为燃料和增值化学品。然而，实现CO</w:t>
      </w:r>
      <w:r>
        <w:rPr>
          <w:vertAlign w:val="subscript"/>
        </w:rPr>
        <w:t>2</w:t>
      </w:r>
      <w:r>
        <w:t>具有高活性和稳定性的 RR 仍然是一个重大挑战。虽然以前的研究主要集中在催化剂设计上，但界面水的作用常常被忽视。界面水可以作为主要质子供体，直接影响CO之间的竞争</w:t>
      </w:r>
      <w:r>
        <w:rPr>
          <w:vertAlign w:val="subscript"/>
        </w:rPr>
        <w:t>2</w:t>
      </w:r>
      <w:r>
        <w:t>RR 和析氢反应。此外，界面水的动态氢键网络可以显着改变水解离势垒，从而提高对CO的选择性</w:t>
      </w:r>
      <w:r>
        <w:rPr>
          <w:vertAlign w:val="subscript"/>
        </w:rPr>
        <w:t>2</w:t>
      </w:r>
      <w:r>
        <w:t>RR 产品。这篇综述系统地总结了CO2中界面水的基本性质</w:t>
      </w:r>
      <w:r>
        <w:rPr>
          <w:vertAlign w:val="subscript"/>
        </w:rPr>
        <w:t>2</w:t>
      </w:r>
      <w:r>
        <w:t>RR，对调节界面水的策略进行了分类，并讨论了这些策略的适用性及其对 CO 的影响</w:t>
      </w:r>
      <w:r>
        <w:rPr>
          <w:vertAlign w:val="subscript"/>
        </w:rPr>
        <w:t>2</w:t>
      </w:r>
      <w:r>
        <w:t>RR 性能。特别强调界面水结构演化对CO2的影响</w:t>
      </w:r>
      <w:r>
        <w:rPr>
          <w:vertAlign w:val="subscript"/>
        </w:rPr>
        <w:t>2</w:t>
      </w:r>
      <w:r>
        <w:t>RR机制，以及相应的表征技术。该综述为 CO 中界面水的研究提供了一个结构化框架</w:t>
      </w:r>
    </w:p>
    <w:p>
      <w:pPr>
        <w:spacing w:before="0" w:after="200" w:lineRule="auto" w:line="276"/>
      </w:pPr>
      <w:r>
        <w:rPr>
          <w:b/>
        </w:rPr>
        <w:t xml:space="preserve">Abstract (EN): </w:t>
      </w:r>
      <w:r>
        <w:t>Electrocatalytic CO</w:t>
      </w:r>
      <w:r>
        <w:rPr>
          <w:vertAlign w:val="subscript"/>
        </w:rPr>
        <w:t>2</w:t>
      </w:r>
      <w:r>
        <w:t>reduction (CO</w:t>
      </w:r>
      <w:r>
        <w:rPr>
          <w:vertAlign w:val="subscript"/>
        </w:rPr>
        <w:t>2</w:t>
      </w:r>
      <w:r>
        <w:t>RR) offers a direct pathway for converting CO</w:t>
      </w:r>
      <w:r>
        <w:rPr>
          <w:vertAlign w:val="subscript"/>
        </w:rPr>
        <w:t>2</w:t>
      </w:r>
      <w:r>
        <w:t>gas into fuels and value‐added chemicals. However, achieving CO</w:t>
      </w:r>
      <w:r>
        <w:rPr>
          <w:vertAlign w:val="subscript"/>
        </w:rPr>
        <w:t>2</w:t>
      </w:r>
      <w:r>
        <w:t>RR with high activity and stability remains a significant challenge. While previous research has predominantly focused on catalyst design, the role of interfacial water has often been overlooked. Interfacial water can act as the primary proton donor, directly influencing the competition between CO</w:t>
      </w:r>
      <w:r>
        <w:rPr>
          <w:vertAlign w:val="subscript"/>
        </w:rPr>
        <w:t>2</w:t>
      </w:r>
      <w:r>
        <w:t>RR and the hydrogen evolution reaction. Moreover, the dynamic hydrogen‐bond network of interfacial water can significantly alter the water dissociation barrier, thereby enhancing selectivity toward CO</w:t>
      </w:r>
      <w:r>
        <w:rPr>
          <w:vertAlign w:val="subscript"/>
        </w:rPr>
        <w:t>2</w:t>
      </w:r>
      <w:r>
        <w:t>RR products. This review systematically summarizes the fundamental properties of interfacial water in CO</w:t>
      </w:r>
      <w:r>
        <w:rPr>
          <w:vertAlign w:val="subscript"/>
        </w:rPr>
        <w:t>2</w:t>
      </w:r>
      <w:r>
        <w:t>RR, classifies the strategies for modulating interfacial water, and discusses the applicability of these strategies and their impact on CO</w:t>
      </w:r>
      <w:r>
        <w:rPr>
          <w:vertAlign w:val="subscript"/>
        </w:rPr>
        <w:t>2</w:t>
      </w:r>
      <w:r>
        <w:t>RR performance. Particular emphasis is placed on the effect of interfacial water structural evolution on the CO</w:t>
      </w:r>
      <w:r>
        <w:rPr>
          <w:vertAlign w:val="subscript"/>
        </w:rPr>
        <w:t>2</w:t>
      </w:r>
      <w:r>
        <w:t>RR mechanism, as well as the corresponding characterization techniques. This review provides a structured framework for the study of interfacial water in CO</w:t>
      </w:r>
      <w:r>
        <w:rPr>
          <w:vertAlign w:val="subscript"/>
        </w:rPr>
        <w:t>2</w:t>
      </w:r>
      <w:r>
        <w:t>RR and offers guidance for the rational design of high‐efficiency catalysts.</w:t>
      </w:r>
    </w:p>
    <w:p>
      <w:pPr>
        <w:spacing w:before="120" w:after="120"/>
      </w:pPr>
      <w:r>
        <w:rPr>
          <w:sz w:val="18"/>
        </w:rPr>
        <w:t>——————————————————————————————————————————————————————————————————————</w:t>
      </w:r>
    </w:p>
    <w:p>
      <w:pPr>
        <w:spacing w:before="160" w:after="40" w:line="240" w:lineRule="auto"/>
      </w:pPr>
      <w:r>
        <w:rPr>
          <w:b/>
        </w:rPr>
        <w:t xml:space="preserve">[8] </w:t>
      </w:r>
      <w:hyperlink r:id="rId271">
        <w:r>
          <w:rPr>
            <w:color w:val="1155CC"/>
            <w:u w:val="single"/>
          </w:rPr>
          <w:t>铜纳米线中非常规体心四方相的稳定，用于高效二氧化碳电还原多碳产品</w:t>
        </w:r>
      </w:hyperlink>
    </w:p>
    <w:p>
      <w:pPr>
        <w:spacing w:before="0" w:after="80"/>
      </w:pPr>
      <w:r>
        <w:rPr>
          <w:i/>
          <w:sz w:val="20"/>
        </w:rPr>
        <w:t>EN: Stabilization of Unconventional Body‐Centered Tetragonal Phase in Copper Nanowires for Efficient Carbon Dioxide Electroreduction to Multi‐Carbon Products</w:t>
      </w:r>
    </w:p>
    <w:p>
      <w:pPr>
        <w:spacing w:before="0" w:after="120"/>
      </w:pPr>
      <w:r>
        <w:rPr>
          <w:b/>
        </w:rPr>
        <w:t xml:space="preserve">Source: </w:t>
      </w:r>
      <w:r>
        <w:t>Wiley: Advanced Materials: Table of Contents</w:t>
      </w:r>
      <w:r>
        <w:t xml:space="preserve">    </w:t>
      </w:r>
      <w:r>
        <w:rPr>
          <w:b/>
        </w:rPr>
        <w:t xml:space="preserve">Pub date: </w:t>
      </w:r>
      <w:r>
        <w:t>2026-06-02 11:06:45+00:00</w:t>
      </w:r>
      <w:r>
        <w:t xml:space="preserve">    </w:t>
      </w:r>
      <w:r>
        <w:rPr>
          <w:b/>
        </w:rPr>
        <w:t xml:space="preserve">DOI: </w:t>
      </w:r>
      <w:hyperlink r:id="rId272">
        <w:r>
          <w:rPr>
            <w:color w:val="1155CC"/>
            <w:u w:val="single"/>
          </w:rPr>
          <w:t>10.1002/adma.73600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具有常见面心立方（fcc）相的铜纳米材料已广泛应用于电催化二氧化碳（CO</w:t>
      </w:r>
      <w:r>
        <w:rPr>
          <w:vertAlign w:val="subscript"/>
        </w:rPr>
        <w:t>2</w:t>
      </w:r>
      <w:r>
        <w:t>) 还原反应 (CO</w:t>
      </w:r>
      <w:r>
        <w:rPr>
          <w:vertAlign w:val="subscript"/>
        </w:rPr>
        <w:t>2</w:t>
      </w:r>
      <w:r>
        <w:t>RR）。然而，具有非常规相的铜很少被报道，因为它在热力学上是不利的。在这里，通过分析铜纳米线内的应变，我们揭示了铜从面心立方到体心四方（bct）/面心立方异相的相变。通过系统地研究CO中不同直径的铜纳米线和铜纳米立方体</w:t>
      </w:r>
      <w:r>
        <w:rPr>
          <w:vertAlign w:val="subscript"/>
        </w:rPr>
        <w:t>2</w:t>
      </w:r>
      <w:r>
        <w:t>RR，我们解释了它们的晶相与催化性能之间的关系。与标准面心立方晶格相比，铜纳米线的表面由于相变而具有不同的电子态。直径约30 nm的铜纳米线表现出最佳的催化性能，其多碳产品的法拉第效率远高于面心立方铜纳米立方体。理论计算表明，应变 bct 相的存在会引起显着的上移。</w:t>
      </w:r>
      <w:r>
        <w:t xml:space="preserve"> </w:t>
      </w:r>
      <w:r>
        <w:t>d</w:t>
      </w:r>
      <w:r>
        <w:t xml:space="preserve"> </w:t>
      </w:r>
      <w:r>
        <w:t>‐能带中心，不仅提高了整体电活性，还优化了 C-C 耦合，从而提高了 CO2 过程中多碳产物的法拉第效率</w:t>
      </w:r>
      <w:r>
        <w:rPr>
          <w:vertAlign w:val="subscript"/>
        </w:rPr>
        <w:t>2</w:t>
      </w:r>
      <w:r>
        <w:t>RR。</w:t>
      </w:r>
    </w:p>
    <w:p>
      <w:pPr>
        <w:spacing w:before="0" w:after="200" w:lineRule="auto" w:line="276"/>
      </w:pPr>
      <w:r>
        <w:rPr>
          <w:b/>
        </w:rPr>
        <w:t xml:space="preserve">Abstract (EN): </w:t>
      </w:r>
      <w:r>
        <w:t>Copper nanomaterials with the common face‐centered cubic (fcc) phase have been widely used in the electrocatalytic carbon dioxide (CO</w:t>
      </w:r>
      <w:r>
        <w:rPr>
          <w:vertAlign w:val="subscript"/>
        </w:rPr>
        <w:t>2</w:t>
      </w:r>
      <w:r>
        <w:t>) reduction reaction (CO</w:t>
      </w:r>
      <w:r>
        <w:rPr>
          <w:vertAlign w:val="subscript"/>
        </w:rPr>
        <w:t>2</w:t>
      </w:r>
      <w:r>
        <w:t>RR). However, copper with an unconventional phase is rarely reported as it is thermodynamically unfavorable. Here, through analyzing the strain within copper nanowires, we reveal the phase transition of copper from fcc to body‐centered tetragonal (bct)/fcc heterophase. By systematically investigating copper nanowires with different diameters and copper nanocubes in CO</w:t>
      </w:r>
      <w:r>
        <w:rPr>
          <w:vertAlign w:val="subscript"/>
        </w:rPr>
        <w:t>2</w:t>
      </w:r>
      <w:r>
        <w:t>RR, we explain the relationship between their crystal phase and catalytic performance. Compared with the standard fcc lattice, copper nanowires’ surfaces have different electron states due to a phase transition. Copper nanowires with a diameter of about 30 nm exhibit the optimum catalytic performance, and their Faradaic efficiency of multi‐carbon products is much higher than that of fcc copper nanocubes. Theoretical calculations have demonstrated that the presence of the strained bct phase induces significant upshifts of the</w:t>
      </w:r>
      <w:r>
        <w:t xml:space="preserve"> </w:t>
      </w:r>
      <w:r>
        <w:t>d</w:t>
      </w:r>
      <w:r>
        <w:t xml:space="preserve"> </w:t>
      </w:r>
      <w:r>
        <w:t>‐band center, which not only improves the overall electroactivity but also optimize the C‐C couplings, leading to improved Faradaic efficiency of multi‐carbon products during CO</w:t>
      </w:r>
      <w:r>
        <w:rPr>
          <w:vertAlign w:val="subscript"/>
        </w:rPr>
        <w:t>2</w:t>
      </w:r>
      <w:r>
        <w:t>RR.</w:t>
      </w:r>
    </w:p>
    <w:p>
      <w:pPr>
        <w:spacing w:before="120" w:after="120"/>
      </w:pPr>
      <w:r>
        <w:rPr>
          <w:sz w:val="18"/>
        </w:rPr>
        <w:t>——————————————————————————————————————————————————————————————————————</w:t>
      </w:r>
    </w:p>
    <w:p>
      <w:pPr>
        <w:spacing w:before="160" w:after="40" w:line="240" w:lineRule="auto"/>
      </w:pPr>
      <w:r>
        <w:rPr>
          <w:b/>
        </w:rPr>
        <w:t xml:space="preserve">[9] </w:t>
      </w:r>
      <w:hyperlink r:id="rId273">
        <w:r>
          <w:rPr>
            <w:color w:val="1155CC"/>
            <w:u w:val="single"/>
          </w:rPr>
          <w:t>从塑料废物到碳捕获的催化桥梁</w:t>
        </w:r>
      </w:hyperlink>
    </w:p>
    <w:p>
      <w:pPr>
        <w:spacing w:before="0" w:after="80"/>
      </w:pPr>
      <w:r>
        <w:rPr>
          <w:i/>
          <w:sz w:val="20"/>
        </w:rPr>
        <w:t>EN: Catalytic bridges from plastic waste to carbon capture</w:t>
      </w:r>
    </w:p>
    <w:p>
      <w:pPr>
        <w:spacing w:before="0" w:after="120"/>
      </w:pPr>
      <w:r>
        <w:rPr>
          <w:b/>
        </w:rPr>
        <w:t xml:space="preserve">Source: </w:t>
      </w:r>
      <w:r>
        <w:t>Chem</w:t>
      </w:r>
      <w:r>
        <w:t xml:space="preserve">    </w:t>
      </w:r>
      <w:r>
        <w:rPr>
          <w:b/>
        </w:rPr>
        <w:t xml:space="preserve">Pub date: </w:t>
      </w:r>
      <w:r>
        <w:t>2026-06-03 00:00:00+00:00</w:t>
      </w:r>
      <w:r>
        <w:t xml:space="preserve">    </w:t>
      </w:r>
      <w:r>
        <w:rPr>
          <w:b/>
        </w:rPr>
        <w:t xml:space="preserve">DOI: </w:t>
      </w:r>
      <w:hyperlink r:id="rId274">
        <w:r>
          <w:rPr>
            <w:color w:val="1155CC"/>
            <w:u w:val="single"/>
          </w:rPr>
          <w:t>10.1016/j.chempr.2026.103079</w:t>
        </w:r>
      </w:hyperlink>
    </w:p>
    <w:p>
      <w:pPr>
        <w:spacing w:before="0" w:after="120"/>
      </w:pPr>
      <w:r>
        <w:rPr>
          <w:b/>
        </w:rPr>
        <w:t xml:space="preserve">Notes: </w:t>
      </w:r>
      <w:r>
        <w:t>abstract_source=rss_cell</w:t>
      </w:r>
    </w:p>
    <w:p>
      <w:pPr>
        <w:spacing w:before="0" w:after="80" w:lineRule="auto" w:line="276"/>
      </w:pPr>
      <w:r>
        <w:rPr>
          <w:b/>
        </w:rPr>
        <w:t xml:space="preserve">摘要（ZH）: </w:t>
      </w:r>
      <w:r>
        <w:t>塑料废物管理和二氧化碳清除是全球范围内的两大挑战，但它们通常是孤立解决的。在最近发表在《Chem》和《Chem Circularity》上的论文中，Skrydstrup 及其同事证明，催化改性可将聚苯乙烯和橡胶转化为胺吸附剂，用于从烟道气甚至环境空气中捕获二氧化碳。</w:t>
      </w:r>
    </w:p>
    <w:p>
      <w:pPr>
        <w:spacing w:before="0" w:after="200" w:lineRule="auto" w:line="276"/>
      </w:pPr>
      <w:r>
        <w:rPr>
          <w:b/>
        </w:rPr>
        <w:t xml:space="preserve">Abstract (EN): </w:t>
      </w:r>
      <w:r>
        <w:t>Plastic-waste management and CO2 removal are two grand challenges of comparable global scale, yet they are usually tackled in isolation. In recent papers in Chem and Chem Circularity, Skrydstrup and co-workers demonstrate that catalytic modification transforms polystyrene and rubber into amine sorbents for CO2 capture from flue gas and even ambient air.</w:t>
      </w:r>
    </w:p>
    <w:p>
      <w:pPr>
        <w:spacing w:before="120" w:after="120"/>
      </w:pPr>
      <w:r>
        <w:rPr>
          <w:sz w:val="18"/>
        </w:rPr>
        <w:t>——————————————————————————————————————————————————————————————————————</w:t>
      </w:r>
    </w:p>
    <w:p>
      <w:pPr>
        <w:spacing w:before="160" w:after="40" w:line="240" w:lineRule="auto"/>
      </w:pPr>
      <w:r>
        <w:rPr>
          <w:b/>
        </w:rPr>
        <w:t xml:space="preserve">[10] </w:t>
      </w:r>
      <w:hyperlink r:id="rId275">
        <w:r>
          <w:rPr>
            <w:color w:val="1155CC"/>
            <w:u w:val="single"/>
          </w:rPr>
          <w:t>催化纳米金属界面驱动 pH 通用的二氧化碳到乙醇的转化</w:t>
        </w:r>
      </w:hyperlink>
    </w:p>
    <w:p>
      <w:pPr>
        <w:spacing w:before="0" w:after="80"/>
      </w:pPr>
      <w:r>
        <w:rPr>
          <w:i/>
          <w:sz w:val="20"/>
        </w:rPr>
        <w:t>EN: Catalytic nano-metal interfaces drive pH-universal CO2-to-ethanol conversion</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可再生能源电化学二氧化碳还原（CO2R）生成醇为生产液体燃料和化学品提供了一条有前途的途径。然而，不同中间体的质子化通常会导致液体和气体产物混合，使分离复杂化并降低经济可行性。在这里，我们提出了一种羟基亲和力调节策略，通过构建纳米金属界面稳定含羟基的CO2R中间体远离界面水，从而有利于乙醇生产。理论指导的催化剂设计指导纳米钴/铜表面，在碱性和酸性条件下，二氧化碳到乙醇的法拉第效率 (FE) 分别为 62.17% 和 45.32%，乙醇部分电流密度超过 ~300 mA cm−2。在酸性介质中，催化剂可维持乙醇生产235小时，平均FE为44.74%。原位光谱和理论计算表明，纳米Co/Cu界面有利于结合羟基，从而富集铜表面上的C-OH物种，将CO2R路径重定向至乙醇。这项工作提供了一种以催化剂为中心的策略，用于设计选择性醇合成的界面结构。未来的努力应集中于将这一设计原理转化为可扩展的系统，以实现实际的电化学二氧化碳利用。</w:t>
      </w:r>
    </w:p>
    <w:p>
      <w:pPr>
        <w:spacing w:before="0" w:after="200" w:lineRule="auto" w:line="276"/>
      </w:pPr>
      <w:r>
        <w:rPr>
          <w:b/>
        </w:rPr>
        <w:t xml:space="preserve">Abstract (EN): </w:t>
      </w:r>
      <w:r>
        <w:t>Renewably powered electrochemical CO2 reduction (CO2R) to alcohols presents a promising route to liquid fuels and chemicals. However, protonation of different intermediates often leads to mixed liquid and gas products, complicating separation and reducing economic feasibility. Here, we present a hydroxyl-affinity-tuning strategy that stabilizes hydroxyl-containing CO2R intermediates away from interfacial water through constructing nano-metal interfaces, thereby favoring ethanol production. Theory-guided catalyst design directs nano-cobalt/Cu surfaces, delivering CO2-to-ethanol Faradaic efficiencies (FE) of 62.17% and 45.32% under alkaline and acidic conditions, respectively, with ethanol partial current densities over ~300 mA cm−2. In acidic media, the catalyst maintains ethanol production for 235 hours with an average FE of 44.74%. In situ spectroscopy and theoretical calculations reveal that nano-Co/Cu interfaces favor binding hydroxyl groups and thereby enriches C-OH species on the copper surface, redirects CO2R pathways toward ethanol. This work provides a catalyst-centered strategy for designing interfacial architectures for selective alcohol synthesis. Future efforts should focus on translating this design principle into scalable systems for practical electrochemical CO2 utilization.</w:t>
      </w:r>
    </w:p>
    <w:p>
      <w:pPr>
        <w:spacing w:before="120" w:after="120"/>
      </w:pPr>
      <w:r>
        <w:rPr>
          <w:sz w:val="18"/>
        </w:rPr>
        <w:t>——————————————————————————————————————————————————————————————————————</w:t>
      </w:r>
    </w:p>
    <w:p>
      <w:pPr>
        <w:spacing w:before="160" w:after="40" w:line="240" w:lineRule="auto"/>
      </w:pPr>
      <w:r>
        <w:rPr>
          <w:b/>
        </w:rPr>
        <w:t xml:space="preserve">[11] </w:t>
      </w:r>
      <w:hyperlink r:id="rId276">
        <w:r>
          <w:rPr>
            <w:color w:val="1155CC"/>
            <w:u w:val="single"/>
          </w:rPr>
          <w:t>聚合物单体合成的电催化策略三元组</w:t>
        </w:r>
      </w:hyperlink>
    </w:p>
    <w:p>
      <w:pPr>
        <w:spacing w:before="0" w:after="80"/>
      </w:pPr>
      <w:r>
        <w:rPr>
          <w:i/>
          <w:sz w:val="20"/>
        </w:rPr>
        <w:t>EN: Triad of electrocatalytic strategies for polymer monomer synthesis</w:t>
      </w:r>
    </w:p>
    <w:p>
      <w:pPr>
        <w:spacing w:before="0" w:after="120"/>
      </w:pPr>
      <w:r>
        <w:rPr>
          <w:b/>
        </w:rPr>
        <w:t xml:space="preserve">Source: </w:t>
      </w:r>
      <w:r>
        <w:t>RSC - Chem. Soc. Rev. latest articles</w:t>
      </w:r>
      <w:r>
        <w:t xml:space="preserve">    </w:t>
      </w:r>
      <w:r>
        <w:rPr>
          <w:b/>
        </w:rPr>
        <w:t xml:space="preserve">Pub date: </w:t>
      </w:r>
      <w:r>
        <w:t>2026-06-03 23:00:00+00:00</w:t>
      </w:r>
    </w:p>
    <w:p>
      <w:pPr>
        <w:spacing w:before="0" w:after="120"/>
      </w:pPr>
      <w:r>
        <w:rPr>
          <w:b/>
        </w:rPr>
        <w:t xml:space="preserve">Notes: </w:t>
      </w:r>
      <w:r>
        <w:t>abstract_source=rsc_html</w:t>
      </w:r>
    </w:p>
    <w:p>
      <w:pPr>
        <w:spacing w:before="0" w:after="80" w:lineRule="auto" w:line="276"/>
      </w:pPr>
      <w:r>
        <w:rPr>
          <w:b/>
        </w:rPr>
        <w:t xml:space="preserve">摘要（ZH）: </w:t>
      </w:r>
      <w:r>
        <w:t>电催化提供了一种直接从水、二氧化碳和生物质衍生物等可再生原料合成聚合物单体的绿色且可扩展的途径。这篇综述描述了电催化策略的演变，提出了从基本转化到集成催化系统的逐步推进的框架。所讨论的策略代表了这一演变的不同阶段：（i）由原位生成的 *H 或 -OH 物质驱动的初级水电化学转化，用于生产己二酸、乳酸和乙烯等单体； (ii) 耦合电催化转化，其中电化学产生的亲电或亲核中间体经历 C-N 或 C-C 耦合，产生复杂的单体，如环己酮肟； (iii) 集成生物催化、热催化或光催化的级联电催化系统，以实现长链聚合物单体的合成。重点放在通用催化剂设计原理上，包括配位环境调节、电子结构调制和界面微环境工程，以及来自原位表征和理论建模的机理见解。此外，本综述引入了技术经济分析（TEA）和生命周期评估（LCA）来评估电催化系统的能耗和经济可行性，并进一步讨论了产品分离和纯化对整体能源效率和工艺可行性的关键影响。最后，提供了对f的看法</w:t>
      </w:r>
    </w:p>
    <w:p>
      <w:pPr>
        <w:spacing w:before="0" w:after="200" w:lineRule="auto" w:line="276"/>
      </w:pPr>
      <w:r>
        <w:rPr>
          <w:b/>
        </w:rPr>
        <w:t xml:space="preserve">Abstract (EN): </w:t>
      </w:r>
      <w:r>
        <w:t>Electrocatalysis provides a green and scalable route for synthesizing polymer monomers directly from renewable feedstocks such as water, CO2, and biomass derivatives. This review delineates the evolution of electrocatalytic strategies, presenting a progressively advancing framework, from elementary transformations to integrated catalytic systems. The strategies discussed represent different stages of this evolution: (i) primary aqueous electrochemical transformations driven by in situ generated *H or −OH species for producing monomers such as adipic acid, lactic acid, and ethylene; (ii) coupling electrocatalytic transformations, in which electrochemically generated electrophilic or nucleophilic intermediates undergo C–N or C–C coupling to yield complex monomers like cyclohexanone oxime; and (iii) cascade electrocatalytic systems integrating biocatalysis, thermocatalysis, or photocatalysis to enable the synthesis of longer-chain polymer monomers. Emphasis is placed on universal catalyst design principles – including coordination environment regulation, electronic structure modulation, and interfacial microenvironment engineering – as well as mechanistic insights from in situ characterization and theoretical modeling. In addition, this review introduces techno-economic analysis (TEA) and life-cycle assessment (LCA) to evaluate the energy consumption and economic viability of electrocatalytic systems, and further discusses the critical impact of product separation and purification on overall energy efficiency and process feasibility. Finally, perspectives are provided on the future development of renewable monomer electrosynthesis for sustainable polymer production.</w:t>
      </w:r>
    </w:p>
    <w:p>
      <w:pPr>
        <w:spacing w:before="120" w:after="120"/>
      </w:pPr>
      <w:r>
        <w:rPr>
          <w:sz w:val="18"/>
        </w:rPr>
        <w:t>——————————————————————————————————————————————————————————————————————</w:t>
      </w:r>
    </w:p>
    <w:p>
      <w:pPr>
        <w:spacing w:before="160" w:after="40" w:line="240" w:lineRule="auto"/>
      </w:pPr>
      <w:r>
        <w:rPr>
          <w:b/>
        </w:rPr>
        <w:t xml:space="preserve">[12] </w:t>
      </w:r>
      <w:hyperlink r:id="rId239">
        <w:r>
          <w:rPr>
            <w:color w:val="1155CC"/>
            <w:u w:val="single"/>
          </w:rPr>
          <w:t>界面氢键网络调节能够在无铜电催化剂上选择性地将二氧化碳还原为乙醇</w:t>
        </w:r>
      </w:hyperlink>
    </w:p>
    <w:p>
      <w:pPr>
        <w:spacing w:before="0" w:after="80"/>
      </w:pPr>
      <w:r>
        <w:rPr>
          <w:i/>
          <w:sz w:val="20"/>
        </w:rPr>
        <w:t>EN: Interfacial hydrogen-bond network regulation enables selective CO2 reduction to ethanol on copper-free electrocatalysts</w:t>
      </w:r>
    </w:p>
    <w:p>
      <w:pPr>
        <w:spacing w:before="0" w:after="120"/>
      </w:pPr>
      <w:r>
        <w:rPr>
          <w:b/>
        </w:rPr>
        <w:t xml:space="preserve">Source: </w:t>
      </w:r>
      <w:r>
        <w:t>Chem</w:t>
      </w:r>
      <w:r>
        <w:t xml:space="preserve">    </w:t>
      </w:r>
      <w:r>
        <w:rPr>
          <w:b/>
        </w:rPr>
        <w:t xml:space="preserve">Pub date: </w:t>
      </w:r>
      <w:r>
        <w:t>2026-06-04 00:00:00+00:00</w:t>
      </w:r>
      <w:r>
        <w:t xml:space="preserve">    </w:t>
      </w:r>
      <w:r>
        <w:rPr>
          <w:b/>
        </w:rPr>
        <w:t xml:space="preserve">DOI: </w:t>
      </w:r>
      <w:hyperlink r:id="rId240">
        <w:r>
          <w:rPr>
            <w:color w:val="1155CC"/>
            <w:u w:val="single"/>
          </w:rPr>
          <w:t>10.1016/j.chempr.2026.103078</w:t>
        </w:r>
      </w:hyperlink>
    </w:p>
    <w:p>
      <w:pPr>
        <w:spacing w:before="0" w:after="120"/>
      </w:pPr>
      <w:r>
        <w:rPr>
          <w:b/>
        </w:rPr>
        <w:t xml:space="preserve">Notes: </w:t>
      </w:r>
      <w:r>
        <w:t>abstract_source=rss_cell</w:t>
      </w:r>
    </w:p>
    <w:p>
      <w:pPr>
        <w:spacing w:before="0" w:after="80" w:lineRule="auto" w:line="276"/>
      </w:pPr>
      <w:r>
        <w:rPr>
          <w:b/>
        </w:rPr>
        <w:t xml:space="preserve">摘要（ZH）: </w:t>
      </w:r>
      <w:r>
        <w:t>将二氧化碳选择性电还原为乙醇（一种可储存燃料）几乎仅限于铜。在此，设计了一种无铜 Ag/Cr2O3 催化剂，在高氯酸盐的辅助下，在~160 mA/cm2 下生产法拉第效率 &gt;50% 的乙醇。高氯酸盐的存在破坏了连续的氢键网络，从而抑制了竞争性的氢释放。 Ag-Cr不对称位点进一步稳定C-C偶联中间体并降低乙烯的乙醇途径障碍，从而实现选择性乙醇生成。</w:t>
      </w:r>
    </w:p>
    <w:p>
      <w:pPr>
        <w:spacing w:before="0" w:after="200" w:lineRule="auto" w:line="276"/>
      </w:pPr>
      <w:r>
        <w:rPr>
          <w:b/>
        </w:rPr>
        <w:t xml:space="preserve">Abstract (EN): </w:t>
      </w:r>
      <w:r>
        <w:t>Selective electroreduction of CO2 into ethanol—a storable fuel—has been limited almost exclusively to copper. Herein, a copper-free Ag/Cr2O3 catalyst is designed to produce ethanol with &gt;50% faradaic efficiency at ∼160 mA/cm2 with the assistance of perchlorate. The presence of perchlorate disrupts the continuous hydrogen-bond network, thereby inhibiting the competing hydrogen evolution. The Ag–Cr asymmetric sites further stabilize the C–C coupling intermediates and lower the ethanol pathway barriers over ethylene, thus enabling selective ethanol generation.</w:t>
      </w:r>
    </w:p>
    <w:p>
      <w:pPr>
        <w:spacing w:before="120" w:after="120"/>
      </w:pPr>
      <w:r>
        <w:rPr>
          <w:sz w:val="18"/>
        </w:rPr>
        <w:t>——————————————————————————————————————————————————————————————————————</w:t>
      </w:r>
    </w:p>
    <w:p>
      <w:pPr>
        <w:spacing w:before="160" w:after="40" w:line="240" w:lineRule="auto"/>
      </w:pPr>
      <w:r>
        <w:rPr>
          <w:b/>
        </w:rPr>
        <w:t xml:space="preserve">[13] </w:t>
      </w:r>
      <w:hyperlink r:id="rId277">
        <w:r>
          <w:rPr>
            <w:color w:val="1155CC"/>
            <w:u w:val="single"/>
          </w:rPr>
          <w:t>使用 CO2 作为氧供体光催化氧化裂解烯烃</w:t>
        </w:r>
      </w:hyperlink>
    </w:p>
    <w:p>
      <w:pPr>
        <w:spacing w:before="0" w:after="80"/>
      </w:pPr>
      <w:r>
        <w:rPr>
          <w:i/>
          <w:sz w:val="20"/>
        </w:rPr>
        <w:t>EN: Photocatalyzed oxidative cleavage of alkenes using CO2 as an oxygen donor</w:t>
      </w:r>
    </w:p>
    <w:p>
      <w:pPr>
        <w:spacing w:before="0" w:after="120"/>
      </w:pPr>
      <w:r>
        <w:rPr>
          <w:b/>
        </w:rPr>
        <w:t xml:space="preserve">Source: </w:t>
      </w:r>
      <w:r>
        <w:t>AAAS: Science: Table of Contents</w:t>
      </w:r>
      <w:r>
        <w:t xml:space="preserve">    </w:t>
      </w:r>
      <w:r>
        <w:rPr>
          <w:b/>
        </w:rPr>
        <w:t xml:space="preserve">Pub date: </w:t>
      </w:r>
      <w:r>
        <w:t>2026-06-04 07:00:00+00:00</w:t>
      </w:r>
      <w:r>
        <w:t xml:space="preserve">    </w:t>
      </w:r>
      <w:r>
        <w:rPr>
          <w:b/>
        </w:rPr>
        <w:t xml:space="preserve">DOI: </w:t>
      </w:r>
      <w:hyperlink r:id="rId278">
        <w:r>
          <w:rPr>
            <w:color w:val="1155CC"/>
            <w:u w:val="single"/>
          </w:rPr>
          <w:t>10.1126/science.aed6068</w:t>
        </w:r>
      </w:hyperlink>
    </w:p>
    <w:p>
      <w:pPr>
        <w:spacing w:before="0" w:after="120"/>
      </w:pPr>
      <w:r>
        <w:rPr>
          <w:b/>
        </w:rPr>
        <w:t xml:space="preserve">Notes: </w:t>
      </w:r>
      <w:r>
        <w:t>abstract_source=crossref</w:t>
      </w:r>
    </w:p>
    <w:p>
      <w:pPr>
        <w:spacing w:before="0" w:after="80" w:lineRule="auto" w:line="276"/>
      </w:pPr>
      <w:r>
        <w:rPr>
          <w:b/>
        </w:rPr>
        <w:t xml:space="preserve">摘要（ZH）: </w:t>
      </w:r>
      <w:r>
        <w:t>碳-碳双键的氧化裂解通常需要危险的试剂和苛刻的条件。在这项研究中，我们报告了使用良性二氧化碳（CO</w:t>
      </w:r>
      <w:r>
        <w:rPr>
          <w:vertAlign w:val="subscript"/>
        </w:rPr>
        <w:t>2</w:t>
      </w:r>
      <w:r>
        <w:t>）作为氧供体，在大气压和室温下产生酮或羧酸。强大的铁基多相光催化剂促进氧转移形成环氧化物中间体，随后进行开环和碳-碳键断裂，产生高选择性的氧化产物。全面的机理研究将时间分辨光谱、同位素标记、原位光谱分析与先进的量子力学模拟相结合。这些结果揭示了 CO 氧气转移的基本原理</w:t>
      </w:r>
      <w:r>
        <w:rPr>
          <w:vertAlign w:val="subscript"/>
        </w:rPr>
        <w:t>2</w:t>
      </w:r>
      <w:r>
        <w:t>在光催化条件下，为光驱动的氧化转化提供可持续的平台。</w:t>
      </w:r>
    </w:p>
    <w:p>
      <w:pPr>
        <w:spacing w:before="0" w:after="200" w:lineRule="auto" w:line="276"/>
      </w:pPr>
      <w:r>
        <w:rPr>
          <w:b/>
        </w:rPr>
        <w:t xml:space="preserve">Abstract (EN): </w:t>
      </w:r>
      <w:r>
        <w:t>Oxidative cleavage of carbon-carbon double bonds often requires hazardous reagents and demanding conditions. In this study, we report a photocatalytic oxidative cleavage of alkenes using benign carbon dioxide (CO</w:t>
      </w:r>
      <w:r>
        <w:rPr>
          <w:vertAlign w:val="subscript"/>
        </w:rPr>
        <w:t>2</w:t>
      </w:r>
      <w:r>
        <w:t>) as an oxygen donor, producing ketones or carboxylic acids at atmospheric pressure and room temperature. A robust iron-based heterogeneous photocatalyst facilitates oxygen transfer to form an epoxide intermediate that subsequently undergoes ring opening and carbon-carbon bond cleavage to yield the oxidative products with high selectivity. Comprehensive mechanistic studies combine time-resolved spectroscopy, isotope labeling, and in situ spectroscopic analyses with advanced quantum mechanical simulations. These results uncover fundamental principles of oxygen transfer from CO</w:t>
      </w:r>
      <w:r>
        <w:rPr>
          <w:vertAlign w:val="subscript"/>
        </w:rPr>
        <w:t>2</w:t>
      </w:r>
      <w:r>
        <w:t>under photocatalytic conditions, offering a sustainable platform for light-driven oxidative transformations.</w:t>
      </w:r>
    </w:p>
    <w:p>
      <w:pPr>
        <w:spacing w:before="120" w:after="120"/>
      </w:pPr>
      <w:r>
        <w:rPr>
          <w:sz w:val="18"/>
        </w:rPr>
        <w:t>——————————————————————————————————————————————————————————————————————</w:t>
      </w:r>
    </w:p>
    <w:p>
      <w:pPr>
        <w:spacing w:before="160" w:after="120"/>
      </w:pPr>
      <w:r>
        <w:rPr>
          <w:b/>
          <w:sz w:val="28"/>
        </w:rPr>
        <w:t>【塑料回收】</w:t>
      </w:r>
    </w:p>
    <w:p>
      <w:pPr>
        <w:spacing w:before="160" w:after="40" w:line="240" w:lineRule="auto"/>
      </w:pPr>
      <w:r>
        <w:rPr>
          <w:b/>
        </w:rPr>
        <w:t xml:space="preserve">[1] </w:t>
      </w:r>
      <w:hyperlink r:id="rId144">
        <w:r>
          <w:rPr>
            <w:color w:val="1155CC"/>
            <w:u w:val="single"/>
          </w:rPr>
          <w:t>超声波振动驱动的废塑料冷升级：实现高效海水蒸馏</w:t>
        </w:r>
      </w:hyperlink>
    </w:p>
    <w:p>
      <w:pPr>
        <w:spacing w:before="0" w:after="80"/>
      </w:pPr>
      <w:r>
        <w:rPr>
          <w:i/>
          <w:sz w:val="20"/>
        </w:rPr>
        <w:t>EN: Ultrasonic Vibration‐Driven Cold Upcycling of Waste Plastics: Enabling High‐Efficiency Seawater Distillation</w:t>
      </w:r>
    </w:p>
    <w:p>
      <w:pPr>
        <w:spacing w:before="0" w:after="120"/>
      </w:pPr>
      <w:r>
        <w:rPr>
          <w:b/>
        </w:rPr>
        <w:t xml:space="preserve">Source: </w:t>
      </w:r>
      <w:r>
        <w:t>Wiley: Advanced Materials: Table of Contents</w:t>
      </w:r>
      <w:r>
        <w:t xml:space="preserve">    </w:t>
      </w:r>
      <w:r>
        <w:rPr>
          <w:b/>
        </w:rPr>
        <w:t xml:space="preserve">Pub date: </w:t>
      </w:r>
      <w:r>
        <w:t>2026-05-30 04:38:16+00:00</w:t>
      </w:r>
      <w:r>
        <w:t xml:space="preserve">    </w:t>
      </w:r>
      <w:r>
        <w:rPr>
          <w:b/>
        </w:rPr>
        <w:t xml:space="preserve">DOI: </w:t>
      </w:r>
      <w:hyperlink r:id="rId145">
        <w:r>
          <w:rPr>
            <w:color w:val="1155CC"/>
            <w:u w:val="single"/>
          </w:rPr>
          <w:t>10.1002/adma.73562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塑料污染已成为一种普遍的环境危机，加剧了温室气体排放，污染土壤，并可能加剧心血管风险。焚烧、填埋和机械加工等普遍的回收策略仍然受到效率低下、污染和能源需求过多的限制，导致回收材料的可重复利用性有限。因此，开发一种环保、高性能的技术将塑料废物转化为宝贵的资源势在必行。在此，我们报告了一种新颖的废塑料升级回收策略，利用超声波振动冷加工将废聚对苯二甲酸乙二醇酯转化为碳材料。通过超声波振动和溶解方法相结合的方法处理聚对苯二甲酸乙二醇酯，生产出具有高光热效率的高度碳化的多孔材料，从而实现高性能海水蒸馏。高频应力处理促进聚合物快速断链、脱氧和芳构化，促进无热源碳化。我们进一步发现，多孔碳化材料表现出卓越的宽带光热转换效率超过 95%。在海水蒸馏中，生成的物质为 2.19 kg m</w:t>
      </w:r>
      <w:r>
        <w:t xml:space="preserve"> </w:t>
      </w:r>
      <w:r>
        <w:t>−2</w:t>
      </w:r>
      <w:r>
        <w:t xml:space="preserve"> </w:t>
      </w:r>
      <w:r>
        <w:t>小时</w:t>
      </w:r>
      <w:r>
        <w:t xml:space="preserve"> </w:t>
      </w:r>
      <w:r>
        <w:t>−1</w:t>
      </w:r>
      <w:r>
        <w:t xml:space="preserve"> </w:t>
      </w:r>
      <w:r>
        <w:t>太阳能蒸汽并在高盐条件下保持稳定性。利用这些多孔碳的灵活制造能力，我们构建了</w:t>
      </w:r>
    </w:p>
    <w:p>
      <w:pPr>
        <w:spacing w:before="0" w:after="200" w:lineRule="auto" w:line="276"/>
      </w:pPr>
      <w:r>
        <w:rPr>
          <w:b/>
        </w:rPr>
        <w:t xml:space="preserve">Abstract (EN): </w:t>
      </w:r>
      <w:r>
        <w:t>Plastic pollution has become a pervasive environmental crisis, intensifying greenhouse gas emissions, contaminating soils, and potentially aggravating cardiovascular risks. Prevailing recycling strategies such as incineration, landfilling, and mechanical processing remain constrained by inefficiency, contamination, and excessive energy demand, resulting in limited reusability of the recovered materials. Therefore, developing an eco‐friendly, high‐performance technology that transforms plastic waste into valuable resources is imperative. Herein, we report a novel waste plastic upcycling strategy utilizing ultrasonic vibration cold fabrication to convert waste polyethylene terephthalate into carbon materials. The polyethylene terephthalate was treated via a combination of ultrasonic vibration and dissolution methods to produce highly carbonized, porous materials with high photothermal efficiency that enable high‐performance seawater distillation. High‐frequency stress treatment promotes rapid polymer chain scission, deoxygenation, and aromatization, facilitating heat‐source‐free carbonization. We further revealed that porous carbonized materials exhibit exceptional broadband photothermal conversion with an efficiency exceeding 95%. In seawater distillation, the material generated 2.19 kg m</w:t>
      </w:r>
      <w:r>
        <w:t xml:space="preserve"> </w:t>
      </w:r>
      <w:r>
        <w:t>−2</w:t>
      </w:r>
      <w:r>
        <w:t xml:space="preserve"> </w:t>
      </w:r>
      <w:r>
        <w:t>h</w:t>
      </w:r>
      <w:r>
        <w:t xml:space="preserve"> </w:t>
      </w:r>
      <w:r>
        <w:t>−1</w:t>
      </w:r>
      <w:r>
        <w:t xml:space="preserve"> </w:t>
      </w:r>
      <w:r>
        <w:t>of solar steam and maintained stability in high‐salinity conditions. Leveraging the flexible fabrication capability of these porous carbons, we constructed a solar evaporation device and demonstrated a freshwater yield of 6.02 kg m</w:t>
      </w:r>
      <w:r>
        <w:t xml:space="preserve"> </w:t>
      </w:r>
      <w:r>
        <w:t>−2</w:t>
      </w:r>
      <w:r>
        <w:t xml:space="preserve"> </w:t>
      </w:r>
      <w:r>
        <w:t>in 10 h of outdoor testing, which is 5.2 times that of natural evaporation.</w:t>
      </w:r>
    </w:p>
    <w:p>
      <w:pPr>
        <w:spacing w:before="120" w:after="120"/>
      </w:pPr>
      <w:r>
        <w:rPr>
          <w:sz w:val="18"/>
        </w:rPr>
        <w:t>——————————————————————————————————————————————————————————————————————</w:t>
      </w:r>
    </w:p>
    <w:p>
      <w:pPr>
        <w:spacing w:before="160" w:after="40" w:line="240" w:lineRule="auto"/>
      </w:pPr>
      <w:r>
        <w:rPr>
          <w:b/>
        </w:rPr>
        <w:t xml:space="preserve">[2] </w:t>
      </w:r>
      <w:hyperlink r:id="rId279">
        <w:r>
          <w:rPr>
            <w:color w:val="1155CC"/>
            <w:u w:val="single"/>
          </w:rPr>
          <w:t>单原子铁催化氧化酯化：从甲基芳烃到聚苯乙烯和木质素衍生原料的升级循环</w:t>
        </w:r>
      </w:hyperlink>
    </w:p>
    <w:p>
      <w:pPr>
        <w:spacing w:before="0" w:after="80"/>
      </w:pPr>
      <w:r>
        <w:rPr>
          <w:i/>
          <w:sz w:val="20"/>
        </w:rPr>
        <w:t>EN: Single‐Atom Iron‐Catalyzed Oxidative Esterification: From Methylarenes to the Upcycling of Polystyrene and Lignin‐Derived Feedstocks</w:t>
      </w:r>
    </w:p>
    <w:p>
      <w:pPr>
        <w:spacing w:before="0" w:after="120"/>
      </w:pPr>
      <w:r>
        <w:rPr>
          <w:b/>
        </w:rPr>
        <w:t xml:space="preserve">Source: </w:t>
      </w:r>
      <w:r>
        <w:t>Wiley: Angewandte Chemie International Edition: Table of Contents</w:t>
      </w:r>
      <w:r>
        <w:t xml:space="preserve">    </w:t>
      </w:r>
      <w:r>
        <w:rPr>
          <w:b/>
        </w:rPr>
        <w:t xml:space="preserve">Pub date: </w:t>
      </w:r>
      <w:r>
        <w:t>2026-05-30 12:06:55+00:00</w:t>
      </w:r>
      <w:r>
        <w:t xml:space="preserve">    </w:t>
      </w:r>
      <w:r>
        <w:rPr>
          <w:b/>
        </w:rPr>
        <w:t xml:space="preserve">DOI: </w:t>
      </w:r>
      <w:hyperlink r:id="rId280">
        <w:r>
          <w:rPr>
            <w:color w:val="1155CC"/>
            <w:u w:val="single"/>
          </w:rPr>
          <w:t>10.1002/anie.6974259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C─H键的催化氧化代表了将丰富的碳氢化合物转化为高价值功能分子的变革策略。我们报告了一种可持续的多相方法，用于甲基（杂）芳烃的氧化酯化和烷基芳烃的氧化 C─C 键断裂，以利用水中的分子氧合成芳香族甲酯。该过程由氮掺杂多孔碳 (Fe-SAC) 上负载的原子分散铁催化剂驱动，具有明确的 Fe-N</w:t>
      </w:r>
      <w:r>
        <w:rPr>
          <w:vertAlign w:val="subscript"/>
        </w:rPr>
        <w:t>4</w:t>
      </w:r>
      <w:r>
        <w:t>活跃站点。该催化剂表现出优异的活性和选择性，有效克服了C(sp</w:t>
      </w:r>
      <w:r>
        <w:rPr>
          <w:vertAlign w:val="subscript"/>
        </w:rPr>
        <w:t>3</w:t>
      </w:r>
      <w:r>
        <w:t>)─H 和 C─C 键，无需贵金属或有害添加剂。机理研究结合动力学研究、原位漂移和 DFT 模拟，识别超氧自由基 (O</w:t>
      </w:r>
      <w:r>
        <w:rPr>
          <w:vertAlign w:val="subscript"/>
        </w:rPr>
        <w:t>2</w:t>
      </w:r>
      <w:r>
        <w:t>●−</w:t>
      </w:r>
      <w:r>
        <w:t>）作为关键反应物种，并精确定位苄基 C─H 键断裂作为速率决定步骤。除了小分子之外，Fe-SAC 系统在木质素衍生物的增值以及将聚苯乙烯废物化学升级为增值酯方面表现出高效。其卓越的稳定性、易于回收以及使用环保的溶剂/氧化剂系统，使这种铁催化工艺成为传统酯化方法的经济高效且绿色的替代方案。</w:t>
      </w:r>
    </w:p>
    <w:p>
      <w:pPr>
        <w:spacing w:before="0" w:after="200" w:lineRule="auto" w:line="276"/>
      </w:pPr>
      <w:r>
        <w:rPr>
          <w:b/>
        </w:rPr>
        <w:t xml:space="preserve">Abstract (EN): </w:t>
      </w:r>
      <w:r>
        <w:t>The catalytic oxidation of C─H bonds represents a transformative strategy for converting abundant hydrocarbons into high‐value functional molecules. We report a sustainable heterogeneous methodology for the oxidative esterification of methyl (hetero)arenes and the oxidative C─C bond cleavage of alkyl arenes to synthesize aromatic methyl esters using molecular oxygen in water. This process is driven by an atomically dispersed iron catalyst supported on N‐doped porous carbon (Fe‐SAC), featuring well‐defined Fe‐N</w:t>
      </w:r>
      <w:r>
        <w:rPr>
          <w:vertAlign w:val="subscript"/>
        </w:rPr>
        <w:t>4</w:t>
      </w:r>
      <w:r>
        <w:t>active sites. The catalyst exhibits exceptional activity and selectivity, effectively overcoming the intrinsic inertness of C(sp</w:t>
      </w:r>
      <w:r>
        <w:rPr>
          <w:vertAlign w:val="subscript"/>
        </w:rPr>
        <w:t>3</w:t>
      </w:r>
      <w:r>
        <w:t>)─H and C─C bonds without the need for noble metals or hazardous additives. Mechanistic investigations, combining kinetic studies, in situ DRIFTS, and DFT simulations, identify superoxide radicals (O</w:t>
      </w:r>
      <w:r>
        <w:rPr>
          <w:vertAlign w:val="subscript"/>
        </w:rPr>
        <w:t>2</w:t>
      </w:r>
      <w:r>
        <w:t>●−</w:t>
      </w:r>
      <w:r>
        <w:t>) as key reactive species and pinpoint benzylic C─H bond cleavage as the rate‐determining step. Beyond small molecules, the Fe‐SAC system demonstrates high efficiency in the valorization of lignin derivatives and the chemical upcycling of polystyrene waste into value‐added esters. Its remarkable stability, ease of recycling, and use of an eco‐friendly solvent/oxidant system make this iron‐catalyzed process a cost‐effective and green alternative to traditional esterification methods.</w:t>
      </w:r>
    </w:p>
    <w:p>
      <w:pPr>
        <w:spacing w:before="120" w:after="120"/>
      </w:pPr>
      <w:r>
        <w:rPr>
          <w:sz w:val="18"/>
        </w:rPr>
        <w:t>——————————————————————————————————————————————————————————————————————</w:t>
      </w:r>
    </w:p>
    <w:p>
      <w:pPr>
        <w:spacing w:before="160" w:after="40" w:line="240" w:lineRule="auto"/>
      </w:pPr>
      <w:r>
        <w:rPr>
          <w:b/>
        </w:rPr>
        <w:t xml:space="preserve">[3] </w:t>
      </w:r>
      <w:hyperlink r:id="rId281">
        <w:r>
          <w:rPr>
            <w:color w:val="1155CC"/>
            <w:u w:val="single"/>
          </w:rPr>
          <w:t>卤键供体催化阳离子开环聚合合成化学环状聚原酸酯弹性体</w:t>
        </w:r>
      </w:hyperlink>
    </w:p>
    <w:p>
      <w:pPr>
        <w:spacing w:before="0" w:after="80"/>
      </w:pPr>
      <w:r>
        <w:rPr>
          <w:i/>
          <w:sz w:val="20"/>
        </w:rPr>
        <w:t>EN: Chemically Circular Poly(Orthoester) Elastomers Synthesized by Halogen‐Bond Donor Catalyzed Cationic Ring‐Opening Polymerization</w:t>
      </w:r>
    </w:p>
    <w:p>
      <w:pPr>
        <w:spacing w:before="0" w:after="120"/>
      </w:pPr>
      <w:r>
        <w:rPr>
          <w:b/>
        </w:rPr>
        <w:t xml:space="preserve">Source: </w:t>
      </w:r>
      <w:r>
        <w:t>Wiley: Angewandte Chemie International Edition: Table of Contents</w:t>
      </w:r>
      <w:r>
        <w:t xml:space="preserve">    </w:t>
      </w:r>
      <w:r>
        <w:rPr>
          <w:b/>
        </w:rPr>
        <w:t xml:space="preserve">Pub date: </w:t>
      </w:r>
      <w:r>
        <w:t>2026-05-31 16:12:59+00:00</w:t>
      </w:r>
      <w:r>
        <w:t xml:space="preserve">    </w:t>
      </w:r>
      <w:r>
        <w:rPr>
          <w:b/>
        </w:rPr>
        <w:t xml:space="preserve">DOI: </w:t>
      </w:r>
      <w:hyperlink r:id="rId282">
        <w:r>
          <w:rPr>
            <w:color w:val="1155CC"/>
            <w:u w:val="single"/>
          </w:rPr>
          <w:t>10.1002/anie.1570414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合成聚合物对现代生活至关重要，但其大规模生产和环境积累需要开发更可持续的替代品。下一代聚合物的现有合成方法主要集中在成熟的单体类别上，但开发尚未开发的功能聚合的方法将解锁具有挑战性的聚合物类别并探索未知的材料空间。聚原酸酯是一类尚未开发的可生物降解和化学可回收的聚合物，在这里，我们通过螺原酸酯的阳离子开环聚合开发分子量控制的合成方法，克服了长期存在的合成挑战。聚合控制是由三齿卤素键供体催化剂实现的，该催化剂通过阴离子结合选择性地促进可逆失活，同时抑制不需要的单体活化。机理研究表明，尽管发生终止事件，但仍能保持精确的分子量控制，这是聚合表现出不朽行为的罕见例子。结合受控降解、化学回收单体和可调材料性能，这项工作将聚原酸酯建立为可持续和循环材料的有前景的平台。</w:t>
      </w:r>
    </w:p>
    <w:p>
      <w:pPr>
        <w:spacing w:before="0" w:after="200" w:lineRule="auto" w:line="276"/>
      </w:pPr>
      <w:r>
        <w:rPr>
          <w:b/>
        </w:rPr>
        <w:t xml:space="preserve">Abstract (EN): </w:t>
      </w:r>
      <w:r>
        <w:t>Synthetic polymers are essential to modern life, yet their large‐scale production and environmental accumulation necessitate the development of more sustainable alternatives. Existing synthetic approaches to next‐generation polymers largely focus on well‐established monomer classes, yet developing methodologies for the polymerization of underexplored functionalities would unlock challenging‐to‐access polymer classes and exploration of uncharted materials space. Poly(orthoesters) are an underexplored class of biodegradable and chemically recyclable polymers, and here we overcome long‐standing synthetic challenges by developing a molecular weight‐controlled synthesis via cationic ring‐opening polymerization of spiro orthoesters. Polymerization control is imparted by a tridentate halogen‐bond donor catalyst that selectively promotes reversible‐deactivation via anion‐binding, while suppressing undesired monomer activation. Mechanistic studies reveal that precise molecular weight control is maintained despite termination events, constituting a rare example of a polymerization exhibiting immortal‐like behavior. Combined with controlled degradation, chemical recycling to monomer, and tunable material properties, this work establishes poly(orthoesters) as a promising platform for sustainable and circular materials.</w:t>
      </w:r>
    </w:p>
    <w:p>
      <w:pPr>
        <w:spacing w:before="120" w:after="120"/>
      </w:pPr>
      <w:r>
        <w:rPr>
          <w:sz w:val="18"/>
        </w:rPr>
        <w:t>——————————————————————————————————————————————————————————————————————</w:t>
      </w:r>
    </w:p>
    <w:p>
      <w:pPr>
        <w:spacing w:before="160" w:after="40" w:line="240" w:lineRule="auto"/>
      </w:pPr>
      <w:r>
        <w:rPr>
          <w:b/>
        </w:rPr>
        <w:t xml:space="preserve">[4] </w:t>
      </w:r>
      <w:hyperlink r:id="rId283">
        <w:r>
          <w:rPr>
            <w:color w:val="1155CC"/>
            <w:u w:val="single"/>
          </w:rPr>
          <w:t>复杂塑料废物的选择性回收技术</w:t>
        </w:r>
      </w:hyperlink>
    </w:p>
    <w:p>
      <w:pPr>
        <w:spacing w:before="0" w:after="80"/>
      </w:pPr>
      <w:r>
        <w:rPr>
          <w:i/>
          <w:sz w:val="20"/>
        </w:rPr>
        <w:t>EN: Towards selective recycling technologies for complex plastic waste</w:t>
      </w:r>
    </w:p>
    <w:p>
      <w:pPr>
        <w:spacing w:before="0" w:after="120"/>
      </w:pPr>
      <w:r>
        <w:rPr>
          <w:b/>
        </w:rPr>
        <w:t xml:space="preserve">Source: </w:t>
      </w:r>
      <w:r>
        <w:t>Nature Reviews Materials</w:t>
      </w:r>
      <w:r>
        <w:t xml:space="preserve">    </w:t>
      </w:r>
      <w:r>
        <w:rPr>
          <w:b/>
        </w:rPr>
        <w:t xml:space="preserve">Pub date: </w:t>
      </w:r>
      <w:r>
        <w:t>2026-06-01 00:00:00+00:00</w:t>
      </w:r>
      <w:r>
        <w:t xml:space="preserve">    </w:t>
      </w:r>
      <w:r>
        <w:rPr>
          <w:b/>
        </w:rPr>
        <w:t xml:space="preserve">DOI: </w:t>
      </w:r>
      <w:hyperlink r:id="rId284">
        <w:r>
          <w:rPr>
            <w:color w:val="1155CC"/>
            <w:u w:val="single"/>
          </w:rPr>
          <w:t>10.1038/s41578-026-00927-1</w:t>
        </w:r>
      </w:hyperlink>
    </w:p>
    <w:p>
      <w:pPr>
        <w:spacing w:before="0" w:after="120"/>
      </w:pPr>
      <w:r>
        <w:rPr>
          <w:b/>
        </w:rPr>
        <w:t xml:space="preserve">Notes: </w:t>
      </w:r>
      <w:r>
        <w:t>abstract_source=nature_html</w:t>
      </w:r>
    </w:p>
    <w:p>
      <w:pPr>
        <w:spacing w:before="0" w:after="80" w:lineRule="auto" w:line="276"/>
      </w:pPr>
      <w:r>
        <w:rPr>
          <w:b/>
        </w:rPr>
        <w:t xml:space="preserve">摘要（ZH）: </w:t>
      </w:r>
      <w:r>
        <w:t>尽管塑料垃圾数量不断增加，但塑料回收仍然有限，受到经济、社会和物流挑战复杂相互作用的阻碍。技术障碍仍然存在，特别是在将实验室创新扩展到工业上可行的工艺方面。此外，研究重点是理想化的单一聚合物废物流，忽视了现实世界塑料废物流的复杂性，这些废物流通常是异质且受污染的。制定从复杂废物流中选择性回收材料的策略对于推进循环塑料经济至关重要。在本综述中，我们定义了复杂塑料废物的概念，并评估了显示塑料废物选择性回收潜力的回收策略，即溶剂型回收和解聚技术。通过根据应用对方法进行分类并评估其可扩展性和操作可靠性，我们确定了关键限制并概述了工业相关塑料混合物的选择性和高效回收的未来方向。</w:t>
      </w:r>
    </w:p>
    <w:p>
      <w:pPr>
        <w:spacing w:before="0" w:after="200" w:lineRule="auto" w:line="276"/>
      </w:pPr>
      <w:r>
        <w:rPr>
          <w:b/>
        </w:rPr>
        <w:t xml:space="preserve">Abstract (EN): </w:t>
      </w:r>
      <w:r>
        <w:t>Despite the growing volume of plastic waste, plastic recycling remains limited, hindered by a complex interplay of economic, societal and logistical challenges. Technical barriers persist, particularly in scaling laboratory innovations to industrially viable processes. Moreover, the research focus on idealized, single-polymer waste streams overlooks the complexity of real-world plastic waste streams, which are typically heterogeneous and contaminated. The development of strategies for the selective recycling of materials from complex waste streams is crucial to advancing a circular plastics economy. In this Review, we define the concept of complex plastic waste and assess recycling strategies that show potential for the selective recycling of plastic waste, namely, solvent-based recycling and depolymerization technologies. By classifying approaches according to application and evaluating their scalability and operational reliability, we identify key limitations and outline future directions for the selective and efficient recycling of industrially relevant plastic mixtures.</w:t>
      </w:r>
    </w:p>
    <w:p>
      <w:pPr>
        <w:spacing w:before="120" w:after="120"/>
      </w:pPr>
      <w:r>
        <w:rPr>
          <w:sz w:val="18"/>
        </w:rPr>
        <w:t>——————————————————————————————————————————————————————————————————————</w:t>
      </w:r>
    </w:p>
    <w:p>
      <w:pPr>
        <w:spacing w:before="160" w:after="40" w:line="240" w:lineRule="auto"/>
      </w:pPr>
      <w:r>
        <w:rPr>
          <w:b/>
        </w:rPr>
        <w:t xml:space="preserve">[5] </w:t>
      </w:r>
      <w:hyperlink r:id="rId285">
        <w:r>
          <w:rPr>
            <w:color w:val="1155CC"/>
            <w:u w:val="single"/>
          </w:rPr>
          <w:t>通过电子供体-受体配合物在自然光驱动下合成共轭微孔聚合物，以实现现实世界塑料废物的高效催化升级循环</w:t>
        </w:r>
      </w:hyperlink>
    </w:p>
    <w:p>
      <w:pPr>
        <w:spacing w:before="0" w:after="80"/>
      </w:pPr>
      <w:r>
        <w:rPr>
          <w:i/>
          <w:sz w:val="20"/>
        </w:rPr>
        <w:t>EN: Natural Sunlight‐Driven Synthesis of Conjugated Microporous Polymers via Electron Donor‐Acceptor Complexes for Highly Efficient Catalytic Upcycling of Real‐World Plastic Waste</w:t>
      </w:r>
    </w:p>
    <w:p>
      <w:pPr>
        <w:spacing w:before="0" w:after="120"/>
      </w:pPr>
      <w:r>
        <w:rPr>
          <w:b/>
        </w:rPr>
        <w:t xml:space="preserve">Source: </w:t>
      </w:r>
      <w:r>
        <w:t>Wiley: Angewandte Chemie International Edition: Table of Contents</w:t>
      </w:r>
      <w:r>
        <w:t xml:space="preserve">    </w:t>
      </w:r>
      <w:r>
        <w:rPr>
          <w:b/>
        </w:rPr>
        <w:t xml:space="preserve">Pub date: </w:t>
      </w:r>
      <w:r>
        <w:t>2026-06-01 08:03:05+00:00</w:t>
      </w:r>
      <w:r>
        <w:t xml:space="preserve">    </w:t>
      </w:r>
      <w:r>
        <w:rPr>
          <w:b/>
        </w:rPr>
        <w:t xml:space="preserve">DOI: </w:t>
      </w:r>
      <w:hyperlink r:id="rId286">
        <w:r>
          <w:rPr>
            <w:color w:val="1155CC"/>
            <w:u w:val="single"/>
          </w:rPr>
          <w:t>10.1002/anie.6883410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缺乏高效、稳定和环境友好的光催化剂，在环境条件下塑料废物的可持续升级仍然是一个重大挑战。在这里，我们报告了一种绿色、无金属的共轭微孔聚合物（CMP）合成策略，可直接解决这一挑战。该聚合物是利用自然光通过原位形成的电子供体-受体（EDA）络合物驱动聚合反应而制备的，无需恶劣条件或贵金属。由此产生的 CMP、TMPB-AQ 和 TTPM-AQ 可作为高效的多相光催化剂，用于将十种现实世界中的聚苯乙烯基塑料在环境温度下升级改造为增值苯甲酸。该工艺可在间歇式和连续流反应器中轻松扩展到克级，并在十一次重复使用循环中保持高催化性能，突出了其实际耐用性。实验和计算研究相结合的机理揭示了高活性源于 CMP 的固有孔隙率和扩展共轭，这促进了聚苯乙烯链的自发吸附、有效的传质和聚合物-塑料界面上的有效电荷分离。总的来说，这项工作展示了一条可持续的途径，将绿色材料合成与塑料废物的生产增值相结合，推进聚合物回收的循环经济方法。</w:t>
      </w:r>
    </w:p>
    <w:p>
      <w:pPr>
        <w:spacing w:before="0" w:after="200" w:lineRule="auto" w:line="276"/>
      </w:pPr>
      <w:r>
        <w:rPr>
          <w:b/>
        </w:rPr>
        <w:t xml:space="preserve">Abstract (EN): </w:t>
      </w:r>
      <w:r>
        <w:t>The sustainable upcycling of plastic waste under ambient conditions remains a major challenge due to the lack of efficient, robust, and environmentally benign photocatalysts. Here we report a green and metal‐free strategy for the synthesis of conjugated microporous polymers (CMPs) that directly addresses this challenge. The polymers are prepared using natural sunlight to drive polymerization through in situ–formed electron donor–acceptor (EDA) complexes, eliminating the need for harsh conditions or precious metals. The resulting CMPs, TMPB‐AQ and TTPM‐AQ, function as efficient heterogeneous photocatalysts for the ambient‐temperature upcycling of ten types of real‐world polystyrene‐based plastics into value‐added benzoic acid. The process is readily scalable to gram quantities in both batch and continuous‐flow reactors and maintains high catalytic performance over eleven reuse cycles, highlighting its practical durability. Mechanistic insights from combined experimental and computational studies reveal that the high activity originates from the intrinsic porosity and extended conjugation of the CMPs, which promote spontaneous adsorption of polystyrene chains, efficient mass transport, and effective charge separation at the polymer–plastic interface. Overall, this work demonstrates a sustainable pathway that integrates green materials synthesis with the productive valorization of plastic waste, advancing circular‐economy approaches to polymer recycling.</w:t>
      </w:r>
    </w:p>
    <w:p>
      <w:pPr>
        <w:spacing w:before="120" w:after="120"/>
      </w:pPr>
      <w:r>
        <w:rPr>
          <w:sz w:val="18"/>
        </w:rPr>
        <w:t>——————————————————————————————————————————————————————————————————————</w:t>
      </w:r>
    </w:p>
    <w:p>
      <w:pPr>
        <w:spacing w:before="160" w:after="40" w:line="240" w:lineRule="auto"/>
      </w:pPr>
      <w:r>
        <w:rPr>
          <w:b/>
        </w:rPr>
        <w:t xml:space="preserve">[6] </w:t>
      </w:r>
      <w:hyperlink r:id="rId287">
        <w:r>
          <w:rPr>
            <w:color w:val="1155CC"/>
            <w:u w:val="single"/>
          </w:rPr>
          <w:t>全球塑料条约必须建立在监测的基础上</w:t>
        </w:r>
      </w:hyperlink>
    </w:p>
    <w:p>
      <w:pPr>
        <w:spacing w:before="0" w:after="80"/>
      </w:pPr>
      <w:r>
        <w:rPr>
          <w:i/>
          <w:sz w:val="20"/>
        </w:rPr>
        <w:t>EN: Global plastics treaty must be built on a foundation of monitoring</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288">
        <w:r>
          <w:rPr>
            <w:color w:val="1155CC"/>
            <w:u w:val="single"/>
          </w:rPr>
          <w:t>10.1038/d41586-026-01775-3</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[7] </w:t>
      </w:r>
      <w:hyperlink r:id="rId289">
        <w:r>
          <w:rPr>
            <w:color w:val="1155CC"/>
            <w:u w:val="single"/>
          </w:rPr>
          <w:t>通过光插入螺噻喃直接白光重构动态共价聚合物网络</w:t>
        </w:r>
      </w:hyperlink>
    </w:p>
    <w:p>
      <w:pPr>
        <w:spacing w:before="0" w:after="80"/>
      </w:pPr>
      <w:r>
        <w:rPr>
          <w:i/>
          <w:sz w:val="20"/>
        </w:rPr>
        <w:t>EN: Direct White–Light Reconfiguration of Dynamic Covalent Polymer Networks via Photoinsertable Spirothiopyran</w:t>
      </w:r>
    </w:p>
    <w:p>
      <w:pPr>
        <w:spacing w:before="0" w:after="120"/>
      </w:pPr>
      <w:r>
        <w:rPr>
          <w:b/>
        </w:rPr>
        <w:t xml:space="preserve">Source: </w:t>
      </w:r>
      <w:r>
        <w:t>Wiley: Advanced Materials: Table of Contents</w:t>
      </w:r>
      <w:r>
        <w:t xml:space="preserve">    </w:t>
      </w:r>
      <w:r>
        <w:rPr>
          <w:b/>
        </w:rPr>
        <w:t xml:space="preserve">Pub date: </w:t>
      </w:r>
      <w:r>
        <w:t>2026-06-02 05:47:00+00:00</w:t>
      </w:r>
      <w:r>
        <w:t xml:space="preserve">    </w:t>
      </w:r>
      <w:r>
        <w:rPr>
          <w:b/>
        </w:rPr>
        <w:t xml:space="preserve">DOI: </w:t>
      </w:r>
      <w:hyperlink r:id="rId290">
        <w:r>
          <w:rPr>
            <w:color w:val="1155CC"/>
            <w:u w:val="single"/>
          </w:rPr>
          <w:t>10.1002/adma.73573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Light 为聚合物再加工和回收提供了一种强大的、非侵入性的工具。然而，现有的策略主要依赖于高能紫外线（UV）照射，这通常会引起材料降解并损害动态共价网络的完整性。在此，我们报道了螺噻喃（STP）和聚（二硫化物）之间的白光激活加成反应，该反应能够实现聚合物网络的直接结构重构。在光照（λ &gt; 400 nm）下，STP 异构化为其开环硫代花青 (TMC) 形式，暴露出反应性烯部分，而聚（二硫醚）主链均解离成以硫为中心的自由基。这些中间体经历快速的硫醇-烯偶联，建立动态的 C-S 连接。值得注意的是，该过程在本体聚（二硫化物）基质中有效运行，允许将 STP 直接纳入聚合物主链以及随后的网络拓扑重排。由此产生的光插入引入了额外的交联，这不仅增强了机械性能和光稳定性，而且还能够对材料焊接、粘合、重塑和回收进行时空控制。此外，STP 光致变色和空间控制光交联之间的协同作用解锁了双色加密和仿生形态发生等高级功能。这项工作为聚合物重新配置建立了一个可持续的、可见光驱动的平台，并为智能、适应性强的功能材料开辟了新途径。</w:t>
      </w:r>
    </w:p>
    <w:p>
      <w:pPr>
        <w:spacing w:before="0" w:after="200" w:lineRule="auto" w:line="276"/>
      </w:pPr>
      <w:r>
        <w:rPr>
          <w:b/>
        </w:rPr>
        <w:t xml:space="preserve">Abstract (EN): </w:t>
      </w:r>
      <w:r>
        <w:t>Light offers a powerful, noninvasive tool for polymer reprocessing and recycling. However, existing strategies predominantly rely on high–energy ultraviolet (UV) irradiation, which often induces material degradation and compromises the integrity of dynamic covalent networks. Herein, we report a white–light–activated addition reaction between spirothiopyran (STP) and poly(disulfide) that enables the direct structural reconfiguration of polymer networks. Upon illumination (λ &amp;gt; 400 nm), STP isomerizes to its ring–opened thiomerocyanine (TMC) form, exposing a reactive ene moiety, while the poly(disulfide) backbone homolytically dissociates into sulfur–centered radicals. These intermediates undergo rapid thiol–ene coupling, establishing dynamic C–S linkages. Notably, this process operates efficiently within bulk poly(disulfide) matrices, allowing the direct incorporation of STP into the polymer backbone and subsequent topological rearrangement of the network. The resulting photoinsertion introduces additional crosslinks, which not only enhance the mechanical properties and photostability but also enable spatiotemporal control over material welding, adhesion, remolding, and recycling. Furthermore, the synergy between STP photochromism and spatially controlled photocrosslinking unlocks advanced functionalities such as dual–color encryption and biomimetic morphogenesis. This work establishes a sustainable, visible–light–driven platform for polymer reconfiguration and opens new avenues toward smart, adaptable functional materials.</w:t>
      </w:r>
    </w:p>
    <w:p>
      <w:pPr>
        <w:spacing w:before="120" w:after="120"/>
      </w:pPr>
      <w:r>
        <w:rPr>
          <w:sz w:val="18"/>
        </w:rPr>
        <w:t>——————————————————————————————————————————————————————————————————————</w:t>
      </w:r>
    </w:p>
    <w:p>
      <w:pPr>
        <w:spacing w:before="160" w:after="40" w:line="240" w:lineRule="auto"/>
      </w:pPr>
      <w:r>
        <w:rPr>
          <w:b/>
        </w:rPr>
        <w:t xml:space="preserve">[8] </w:t>
      </w:r>
      <w:hyperlink r:id="rId291">
        <w:r>
          <w:rPr>
            <w:color w:val="1155CC"/>
            <w:u w:val="single"/>
          </w:rPr>
          <w:t>对苯二甲酸酯，一种塑料单体，触发酵母中磷酸盐代谢的重新布线</w:t>
        </w:r>
      </w:hyperlink>
    </w:p>
    <w:p>
      <w:pPr>
        <w:spacing w:before="0" w:after="80"/>
      </w:pPr>
      <w:r>
        <w:rPr>
          <w:i/>
          <w:sz w:val="20"/>
        </w:rPr>
        <w:t>EN: Terephthalate, a plastic monomer, triggers phosphate metabolism rewiring in yeast</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292">
        <w:r>
          <w:rPr>
            <w:color w:val="1155CC"/>
            <w:u w:val="single"/>
          </w:rPr>
          <w:t>10.1073/pnas.2537088123</w:t>
        </w:r>
      </w:hyperlink>
    </w:p>
    <w:p>
      <w:pPr>
        <w:spacing w:before="0" w:after="120"/>
      </w:pPr>
      <w:r>
        <w:rPr>
          <w:b/>
        </w:rPr>
        <w:t xml:space="preserve">Notes: </w:t>
      </w:r>
      <w:r>
        <w:t>abstract_source=crossref</w:t>
      </w:r>
    </w:p>
    <w:p>
      <w:pPr>
        <w:spacing w:before="0" w:after="80" w:lineRule="auto" w:line="276"/>
      </w:pPr>
      <w:r>
        <w:rPr>
          <w:b/>
        </w:rPr>
        <w:t xml:space="preserve">摘要（ZH）: </w:t>
      </w:r>
      <w:r>
        <w:t>塑料污染构成了不断升级的全球威胁，需要能够将废物转化为有价值产品的生物策略。聚对苯二甲酸乙二醇酯 (PET) 可水解成单体，包括对苯二甲酸酯，但这些单体的微生物增值受到其固有毒性的限制。在这里，我们定义了对苯二甲酸酯毒性的细胞基础</w:t>
      </w:r>
      <w:r>
        <w:t xml:space="preserve"> </w:t>
      </w:r>
      <w:r>
        <w:t>酿酒酵母</w:t>
      </w:r>
      <w:r>
        <w:t xml:space="preserve"> </w:t>
      </w:r>
      <w:r>
        <w:t>通过整合全基因组化学基因组分析、转录组和生理分析。我们确定了参与苏氨酸生物合成和葡萄糖代谢的磷酸盐依赖性酶与对苯二甲酸盐中酵母存活的关联。我们的数据表明，对苯二甲酸盐会重新编程磷酸盐代谢，引发磷酸盐调节子的非典型激活。该反应的特点是高亲和力 Na 的强烈诱导</w:t>
      </w:r>
      <w:r>
        <w:t xml:space="preserve"> </w:t>
      </w:r>
      <w:r>
        <w:t>+</w:t>
      </w:r>
      <w:r>
        <w:t xml:space="preserve"> </w:t>
      </w:r>
      <w:r>
        <w:t>/磷酸盐转运蛋白</w:t>
      </w:r>
      <w:r>
        <w:t xml:space="preserve"> </w:t>
      </w:r>
      <w:r>
        <w:t>PH089</w:t>
      </w:r>
      <w:r>
        <w:t xml:space="preserve"> </w:t>
      </w:r>
      <w:r>
        <w:t>并同时抑制 Pho4 依赖性酸性磷酸酶。这种重新布线将磷酸盐的摄取提高了 2.21 ± 0.14 倍，这与细胞内磷酸盐可用性的增加一致，支持磷酸化依赖性的葡萄糖代谢控制。遗传扰动实验表明</w:t>
      </w:r>
      <w:r>
        <w:t xml:space="preserve"> </w:t>
      </w:r>
      <w:r>
        <w:t>PH089</w:t>
      </w:r>
      <w:r>
        <w:t xml:space="preserve"> </w:t>
      </w:r>
      <w:r>
        <w:t>过度表达</w:t>
      </w:r>
      <w:r>
        <w:t xml:space="preserve"> </w:t>
      </w:r>
      <w:r>
        <w:t>ph4Δ</w:t>
      </w:r>
      <w:r>
        <w:t xml:space="preserve"> </w:t>
      </w:r>
      <w:r>
        <w:t>背景以特定的方式增强了酵母对 0.3 M 对苯二甲酸盐的耐受性，并且该途径是特定的</w:t>
      </w:r>
    </w:p>
    <w:p>
      <w:pPr>
        <w:spacing w:before="0" w:after="200" w:lineRule="auto" w:line="276"/>
      </w:pPr>
      <w:r>
        <w:rPr>
          <w:b/>
        </w:rPr>
        <w:t xml:space="preserve">Abstract (EN): </w:t>
      </w:r>
      <w:r>
        <w:t>Plastic pollution poses an escalating global threat, demanding biological strategies capable of transforming waste into valuable products. Polyethylene terephthalate (PET) can be hydrolyzed into its monomers, including terephthalate, but microbial valorization of these monomers is constrained by their intrinsic toxicity. Here, we define the cellular basis of terephthalate toxicity in</w:t>
      </w:r>
      <w:r>
        <w:t xml:space="preserve"> </w:t>
      </w:r>
      <w:r>
        <w:t>Saccharomyces cerevisiae</w:t>
      </w:r>
      <w:r>
        <w:t xml:space="preserve"> </w:t>
      </w:r>
      <w:r>
        <w:t>by integrating genome-wide chemogenomic profiling, transcriptome, and physiological analyses. We identified an association of phosphate-dependent enzymes involved in threonine biosynthesis and glucose metabolism with yeast survival in terephthalate. Our data demonstrate that terephthalate reprograms phosphate metabolism, triggering a noncanonical activation of the phosphate regulon. This response is characterized by strong induction of the high-affinity Na</w:t>
      </w:r>
      <w:r>
        <w:t xml:space="preserve"> </w:t>
      </w:r>
      <w:r>
        <w:t>+</w:t>
      </w:r>
      <w:r>
        <w:t xml:space="preserve"> </w:t>
      </w:r>
      <w:r>
        <w:t>/phosphate symporter</w:t>
      </w:r>
      <w:r>
        <w:t xml:space="preserve"> </w:t>
      </w:r>
      <w:r>
        <w:t>PHO89</w:t>
      </w:r>
      <w:r>
        <w:t xml:space="preserve"> </w:t>
      </w:r>
      <w:r>
        <w:t>and simultaneous repression of Pho4-dependent acid phosphatases. This rewiring elevates phosphate uptake 2.21 ± 0.14-fold, consistent with increased intracellular phosphate availability that supports phosphorylation-dependent control of glucose metabolism. Genetic perturbation experiments showed that</w:t>
      </w:r>
      <w:r>
        <w:t xml:space="preserve"> </w:t>
      </w:r>
      <w:r>
        <w:t>PHO89</w:t>
      </w:r>
      <w:r>
        <w:t xml:space="preserve"> </w:t>
      </w:r>
      <w:r>
        <w:t>overexpression in a</w:t>
      </w:r>
      <w:r>
        <w:t xml:space="preserve"> </w:t>
      </w:r>
      <w:r>
        <w:t>pho4Δ</w:t>
      </w:r>
      <w:r>
        <w:t xml:space="preserve"> </w:t>
      </w:r>
      <w:r>
        <w:t>background enhanced yeast tolerance to 0.3 M terephthalate in a context-specific manner and that this pathway is specific to terephthalate toxicity under the conditions tested. Together, these findings reveal previously unexplored biological basis of terephthalate toxicity, showing that it alters phosphate signaling and the phosphorylation networks that depend on it. This mechanistic insight provides a foundation for engineering industrial yeast strains capable of converting hydrolyzed PET into value-added chemicals, and for enabling sustainable biosynthesis of terephthalate from renewable feedstocks.</w:t>
      </w:r>
    </w:p>
    <w:p>
      <w:pPr>
        <w:spacing w:before="120" w:after="120"/>
      </w:pPr>
      <w:r>
        <w:rPr>
          <w:sz w:val="18"/>
        </w:rPr>
        <w:t>——————————————————————————————————————————————————————————————————————</w:t>
      </w:r>
    </w:p>
    <w:p>
      <w:pPr>
        <w:spacing w:before="160" w:after="40" w:line="240" w:lineRule="auto"/>
      </w:pPr>
      <w:r>
        <w:rPr>
          <w:b/>
        </w:rPr>
        <w:t xml:space="preserve">[9] </w:t>
      </w:r>
      <w:hyperlink r:id="rId293">
        <w:r>
          <w:rPr>
            <w:color w:val="1155CC"/>
            <w:u w:val="single"/>
          </w:rPr>
          <w:t>Pd 纳米片上的 NiMo 双原子二聚体用于选择性裂解废塑料中的乙二醇</w:t>
        </w:r>
      </w:hyperlink>
    </w:p>
    <w:p>
      <w:pPr>
        <w:spacing w:before="0" w:after="80"/>
      </w:pPr>
      <w:r>
        <w:rPr>
          <w:i/>
          <w:sz w:val="20"/>
        </w:rPr>
        <w:t>EN: NiMo Dual‐Atom Dimers on Pd Nanosheets for Selective C─H and C─C Bond Cleavage of Ethylene Glycol From Waste Plastics</w:t>
      </w:r>
    </w:p>
    <w:p>
      <w:pPr>
        <w:spacing w:before="0" w:after="120"/>
      </w:pPr>
      <w:r>
        <w:rPr>
          <w:b/>
        </w:rPr>
        <w:t xml:space="preserve">Source: </w:t>
      </w:r>
      <w:r>
        <w:t>Wiley: Advanced Materials: Table of Contents</w:t>
      </w:r>
      <w:r>
        <w:t xml:space="preserve">    </w:t>
      </w:r>
      <w:r>
        <w:rPr>
          <w:b/>
        </w:rPr>
        <w:t xml:space="preserve">Pub date: </w:t>
      </w:r>
      <w:r>
        <w:t>2026-06-02 07:11:30+00:00</w:t>
      </w:r>
      <w:r>
        <w:t xml:space="preserve">    </w:t>
      </w:r>
      <w:r>
        <w:rPr>
          <w:b/>
        </w:rPr>
        <w:t xml:space="preserve">DOI: </w:t>
      </w:r>
      <w:hyperlink r:id="rId294">
        <w:r>
          <w:rPr>
            <w:color w:val="1155CC"/>
            <w:u w:val="single"/>
          </w:rPr>
          <w:t>10.1002/adma.73526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在此，我们报告了CO气体介导的钯纳米片（PdNS）的合成，作为原子分散二聚体催化剂的第一个钯烯载体。我们进一步提出了使用快速 CO2 将 NiMo 双原子二聚体固定在 PdNS (NiMo-DA/PdNS) 上的第一份报告</w:t>
      </w:r>
      <w:r>
        <w:rPr>
          <w:vertAlign w:val="subscript"/>
        </w:rPr>
        <w:t>2</w:t>
      </w:r>
      <w:r>
        <w:t>10 分钟内进行激光照射。 NiMo-DA/PdNS 平台表现出增强的乙二醇（EG）氧化反应（EGOR）活性以及电位依赖性产物选择性。在 1.0 V vs. RHE 下，获得乙醇酸酯（选择性 C─H 键断裂的 C2 产物），法拉第效率 (FE) 为 81%，产率 (YR) 为 1.14 mmol h</w:t>
      </w:r>
      <w:r>
        <w:t xml:space="preserve"> </w:t>
      </w:r>
      <w:r>
        <w:t>−1</w:t>
      </w:r>
      <w:r>
        <w:t xml:space="preserve"> </w:t>
      </w:r>
      <w:r>
        <w:t>厘米</w:t>
      </w:r>
      <w:r>
        <w:t xml:space="preserve"> </w:t>
      </w:r>
      <w:r>
        <w:t>−2</w:t>
      </w:r>
      <w:r>
        <w:t xml:space="preserve"> </w:t>
      </w:r>
      <w:r>
        <w:t>。在 1.6 V vs. RHE 下，选择性生成甲酸（C─C 键断裂的 C1 产物），FE 为 77.9%，YR 为 0.39 mmol h</w:t>
      </w:r>
      <w:r>
        <w:t xml:space="preserve"> </w:t>
      </w:r>
      <w:r>
        <w:t>−1</w:t>
      </w:r>
      <w:r>
        <w:t xml:space="preserve"> </w:t>
      </w:r>
      <w:r>
        <w:t>厘米</w:t>
      </w:r>
      <w:r>
        <w:t xml:space="preserve"> </w:t>
      </w:r>
      <w:r>
        <w:t>−2</w:t>
      </w:r>
      <w:r>
        <w:t xml:space="preserve"> </w:t>
      </w:r>
      <w:r>
        <w:t>。理论计算进一步证实了这些性能趋势，并阐明了在较高电势下电子转移到催化剂表面促进C─C键断裂、降低反应自由能并促进C1形成的机制。这项研究证明了对乙醇酸酯和甲酸酯的同时具有高选择性，同时从聚对苯二甲酸乙二醇酯 (PET) 水解产物电解中有效回收高纯度对苯二甲酸 (TPA) 单体超过 50 小时，凸显了原子工程催化剂与实际 PE 的实际潜力</w:t>
      </w:r>
    </w:p>
    <w:p>
      <w:pPr>
        <w:spacing w:before="0" w:after="200" w:lineRule="auto" w:line="276"/>
      </w:pPr>
      <w:r>
        <w:rPr>
          <w:b/>
        </w:rPr>
        <w:t xml:space="preserve">Abstract (EN): </w:t>
      </w:r>
      <w:r>
        <w:t>Herein, we report the CO gas–mediated synthesis of palladium nanosheets (PdNS) as the first palladene support for atomically dispersed dimer catalysts. We further present the first report of NiMo dual‐atom dimer immobilization on PdNS (NiMo‐DA/PdNS) using rapid CO</w:t>
      </w:r>
      <w:r>
        <w:rPr>
          <w:vertAlign w:val="subscript"/>
        </w:rPr>
        <w:t>2</w:t>
      </w:r>
      <w:r>
        <w:t>laser irradiation within 10 min. The NiMo‐DA/PdNS platform exhibits enhanced ethylene glycol (EG) oxidation reaction (EGOR) activity with potential‐dependent product selectivity. At 1.0 V vs. RHE, glycolate (C2 product from selective C─H bond cleavage) was obtained with a Faradaic efficiency (FE) of 81% and a yield rate (YR) of 1.14 mmol h</w:t>
      </w:r>
      <w:r>
        <w:t xml:space="preserve"> </w:t>
      </w:r>
      <w:r>
        <w:t>−1</w:t>
      </w:r>
      <w:r>
        <w:t xml:space="preserve"> </w:t>
      </w:r>
      <w:r>
        <w:t>cm</w:t>
      </w:r>
      <w:r>
        <w:t xml:space="preserve"> </w:t>
      </w:r>
      <w:r>
        <w:t>−2</w:t>
      </w:r>
      <w:r>
        <w:t xml:space="preserve"> </w:t>
      </w:r>
      <w:r>
        <w:t>. At 1.6 V vs. RHE, formate (C1 product from C─C bond cleavage) was selectively produced with an FE of 77.9% and a YR of 0.39 mmol h</w:t>
      </w:r>
      <w:r>
        <w:t xml:space="preserve"> </w:t>
      </w:r>
      <w:r>
        <w:t>−1</w:t>
      </w:r>
      <w:r>
        <w:t xml:space="preserve"> </w:t>
      </w:r>
      <w:r>
        <w:t>cm</w:t>
      </w:r>
      <w:r>
        <w:t xml:space="preserve"> </w:t>
      </w:r>
      <w:r>
        <w:t>−2</w:t>
      </w:r>
      <w:r>
        <w:t xml:space="preserve"> </w:t>
      </w:r>
      <w:r>
        <w:t>. Theoretical calculations further corroborate these performance trends and elucidate the mechanism that C─C bond scission is facilitated by electron transfer to the catalyst surface at higher potentials, lowering the reaction free energy and enhancing C1 formation. This study demonstrates concurrent high selectivity toward both glycolate and formate while efficiently recovering high‐purity terephthalic acid (TPA) monomers from polyethylene terephthalate (PET) hydrolysate electrolysis over 50 h, highlighting the practical potential of atomically engineered catalysts with real‐world PET upcycling.</w:t>
      </w:r>
    </w:p>
    <w:p>
      <w:pPr>
        <w:spacing w:before="120" w:after="120"/>
      </w:pPr>
      <w:r>
        <w:rPr>
          <w:sz w:val="18"/>
        </w:rPr>
        <w:t>——————————————————————————————————————————————————————————————————————</w:t>
      </w:r>
    </w:p>
    <w:p>
      <w:pPr>
        <w:spacing w:before="160" w:after="40" w:line="240" w:lineRule="auto"/>
      </w:pPr>
      <w:r>
        <w:rPr>
          <w:b/>
        </w:rPr>
        <w:t xml:space="preserve">[10] </w:t>
      </w:r>
      <w:hyperlink r:id="rId295">
        <w:r>
          <w:rPr>
            <w:color w:val="1155CC"/>
            <w:u w:val="single"/>
          </w:rPr>
          <w:t>分选后塑料包装的权衡分析</w:t>
        </w:r>
      </w:hyperlink>
    </w:p>
    <w:p>
      <w:pPr>
        <w:spacing w:before="0" w:after="80"/>
      </w:pPr>
      <w:r>
        <w:rPr>
          <w:i/>
          <w:sz w:val="20"/>
        </w:rPr>
        <w:t>EN: Analysis of trade-offs of post-sorting plastic packaging</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296">
        <w:r>
          <w:rPr>
            <w:color w:val="1155CC"/>
            <w:u w:val="single"/>
          </w:rPr>
          <w:t>10.1038/s41586-026-10606-4</w:t>
        </w:r>
      </w:hyperlink>
    </w:p>
    <w:p>
      <w:pPr>
        <w:spacing w:before="0" w:after="120"/>
      </w:pPr>
      <w:r>
        <w:rPr>
          <w:b/>
        </w:rPr>
        <w:t xml:space="preserve">Notes: </w:t>
      </w:r>
      <w:r>
        <w:t>abstract_source=nature_html</w:t>
      </w:r>
    </w:p>
    <w:p>
      <w:pPr>
        <w:spacing w:before="0" w:after="80" w:lineRule="auto" w:line="276"/>
      </w:pPr>
      <w:r>
        <w:rPr>
          <w:b/>
        </w:rPr>
        <w:t xml:space="preserve">摘要（ZH）: </w:t>
      </w:r>
      <w:r>
        <w:t>提高回收率不仅需要更好的技术，还需要更智能地收集塑料包装废物1。源头分类——在家庭层面对塑料和金属等材料进行分类——捕获了大量废物2,3，但由于误扔和不参与4,5，残留的家庭废物部分中仍残留有大量废物4,5。尽管担心污染可能会损害回收质量7,8,9，但仍建议对混合废物进行后分类作为一种单箱替代方案来促进收集6,7。在此，我们根据从单一材料回收设施收集的样品表明，源分离和后分选途径中以目标聚合物百分比表示的捆包纯度相似，但分拣后的捆包含有更多污染物，包括镉和铅等违禁金属。分选后的样品具有较高的水分和污垢含量8，这可能导致复杂的挥发性有机化合物增加，并需要额外的清洗。由于非包装物品，金属和卤素的浓度升高，可能会影响回收质量，并使机械和化学回收过程进一步复杂化10,11。尽管后分类可以是一种有用的补充，但它不应取代源分离。我们的结果表明，后分选可以增加原料的回收利用，但它也成为某些污染物进入塑料包装废物的途径，使浓度高于典型水平，如果这些污染物在处理前没有去除，将对人类健康造成潜在风险。</w:t>
      </w:r>
    </w:p>
    <w:p>
      <w:pPr>
        <w:spacing w:before="0" w:after="200" w:lineRule="auto" w:line="276"/>
      </w:pPr>
      <w:r>
        <w:rPr>
          <w:b/>
        </w:rPr>
        <w:t xml:space="preserve">Abstract (EN): </w:t>
      </w:r>
      <w:r>
        <w:t>Increasing recycling rates requires not only better technologies but also smarter collection of plastic packaging waste1. Source separation—sorting materials such as plastics and metals at the household level—captures substantial waste volumes2,3, yet significant quantities still remain in the residual household waste fraction owing to misthrows and non-participation4,5. Post-sorting of mixed waste has been proposed as a one-bin alternative to boost capture6,7, despite concerns that contamination could compromise recycling quality7,8,9. Here we show, based on samples collected from one single material recovery facility, that bale purity, expressed as percent target polymer, is similar across source-separation and post-sorting pathways, but post-sorted bales contain more contaminants, including prohibited metals such as cadmium and lead. Post-sorted samples have higher moisture and dirt content8, which can lead to increased complex volatile organic compounds and necessitate additional washing. Concentrations of metals and halogens are elevated owing to non-packaging items, potentially compromising recycling quality and further complicating both mechanical and chemical recycling processes10,11. Although post-sorting can be a useful supplement, it should not replace source separation. Our results demonstrate that post-sorting can increase feedstock for recycling, but it also acts as a pathway for certain contaminants to enter plastic packaging waste, raising concentrations above typical levels, with potential risks to human health if these contaminants are not removed before recyclate production. As post-sorting of residual waste becomes crucial to meet circularity targets, these findings are particularly relevant.</w:t>
      </w:r>
    </w:p>
    <w:p>
      <w:pPr>
        <w:spacing w:before="120" w:after="120"/>
      </w:pPr>
      <w:r>
        <w:rPr>
          <w:sz w:val="18"/>
        </w:rPr>
        <w:t>——————————————————————————————————————————————————————————————————————</w:t>
      </w:r>
    </w:p>
    <w:p>
      <w:pPr>
        <w:spacing w:before="160" w:after="40" w:line="240" w:lineRule="auto"/>
      </w:pPr>
      <w:r>
        <w:rPr>
          <w:b/>
        </w:rPr>
        <w:t xml:space="preserve">[11] </w:t>
      </w:r>
      <w:hyperlink r:id="rId297">
        <w:r>
          <w:rPr>
            <w:color w:val="1155CC"/>
            <w:u w:val="single"/>
          </w:rPr>
          <w:t>四氟乙烯光有机催化合成硬-软-硬三嵌段共聚物：轻松获得氢键热塑性含氟弹性体</w:t>
        </w:r>
      </w:hyperlink>
    </w:p>
    <w:p>
      <w:pPr>
        <w:spacing w:before="0" w:after="80"/>
      </w:pPr>
      <w:r>
        <w:rPr>
          <w:i/>
          <w:sz w:val="20"/>
        </w:rPr>
        <w:t>EN: Photo‐Organocatalyzed Synthesis of Hard‐Soft‐Hard Triblock Copolymers From Tetrafluoroethylene: Facile Access to Hydrogen‐Bonded Thermoplastic Fluoroelastomers</w:t>
      </w:r>
    </w:p>
    <w:p>
      <w:pPr>
        <w:spacing w:before="0" w:after="120"/>
      </w:pPr>
      <w:r>
        <w:rPr>
          <w:b/>
        </w:rPr>
        <w:t xml:space="preserve">Source: </w:t>
      </w:r>
      <w:r>
        <w:t>Wiley: Angewandte Chemie International Edition: Table of Contents</w:t>
      </w:r>
      <w:r>
        <w:t xml:space="preserve">    </w:t>
      </w:r>
      <w:r>
        <w:rPr>
          <w:b/>
        </w:rPr>
        <w:t xml:space="preserve">Pub date: </w:t>
      </w:r>
      <w:r>
        <w:t>2026-06-03 07:04:42+00:00</w:t>
      </w:r>
      <w:r>
        <w:t xml:space="preserve">    </w:t>
      </w:r>
      <w:r>
        <w:rPr>
          <w:b/>
        </w:rPr>
        <w:t xml:space="preserve">DOI: </w:t>
      </w:r>
      <w:hyperlink r:id="rId298">
        <w:r>
          <w:rPr>
            <w:color w:val="1155CC"/>
            <w:u w:val="single"/>
          </w:rPr>
          <w:t>10.1002/anie.7100390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热塑性弹性体 (TPE) 结合了热塑性塑料的可再加工性和橡胶的弹性，代表了可持续和多功能应用的一类关键聚合物材料。相比之下，依赖共价交联网络的含氟弹性体以牺牲可再加工性和可回收性为代价来实现其卓越的性能。在这项工作中，我们报告了一种多功能的光氧化还原介导的四氟乙烯（TFE）与功能性共聚单体的可逆失活自由基共聚，通过设计一种表现出热激活延迟荧光的氟苯甲腈基光催化剂（PC）来实现。</w:t>
      </w:r>
      <w:r>
        <w:t xml:space="preserve"> </w:t>
      </w:r>
      <w:r>
        <w:t>乙</w:t>
      </w:r>
      <w:r>
        <w:t xml:space="preserve"> </w:t>
      </w:r>
      <w:r>
        <w:t>1/2</w:t>
      </w:r>
      <w:r>
        <w:t xml:space="preserve"> </w:t>
      </w:r>
      <w:r>
        <w:t>（电脑/电脑</w:t>
      </w:r>
      <w:r>
        <w:t xml:space="preserve"> </w:t>
      </w:r>
      <w:r>
        <w:t>•−</w:t>
      </w:r>
      <w:r>
        <w:t>) = −1.87 V,</w:t>
      </w:r>
      <w:r>
        <w:t xml:space="preserve"> </w:t>
      </w:r>
      <w:r>
        <w:t>τ</w:t>
      </w:r>
      <w:r>
        <w:t xml:space="preserve"> </w:t>
      </w:r>
      <w:r>
        <w:t>TADF</w:t>
      </w:r>
      <w:r>
        <w:t xml:space="preserve"> </w:t>
      </w:r>
      <w:r>
        <w:t>= 54.06 µs）。在 ppm 级催化剂负载量下，该系统提供了结构明确的 TFE 共聚物，该共聚物带有多种亲核侧基，包括氨基甲酸酯、脲基和硫脲部分，同时保持优异的链增长调节和高链端保真度。 TFE 共聚物内的此类氢键侧基促进动态硬链段的形成。利用该平台，我们开发了一种两步序列，包括光介导聚合和扩链，无需改变光催化条件，从而可以简化硬-软-硬三嵌段共聚物的合成。值得注意的是，序列控制材料充当热塑性氟弹性体（TPFE</w:t>
      </w:r>
    </w:p>
    <w:p>
      <w:pPr>
        <w:spacing w:before="0" w:after="200" w:lineRule="auto" w:line="276"/>
      </w:pPr>
      <w:r>
        <w:rPr>
          <w:b/>
        </w:rPr>
        <w:t xml:space="preserve">Abstract (EN): </w:t>
      </w:r>
      <w:r>
        <w:t>Thermoplastic elastomers (TPEs) combine the re‐processability of thermoplastics with the elasticity of rubbers, representing a pivotal class of polymer materials for sustainable and versatile applications. Fluoroelastomers relying on covalently cross‐linked networks, by contrast, achieve their superior performance at the expense of re‐processability and recyclability. In this work, we report a versatile photoredox‐mediated reversible‐deactivation radical copolymerization of tetrafluoroethylene (TFE) with functional comonomers, enabled by designing a fluorobenzonitrile‐based photocatalyst (PC) exhibiting thermally activated delayed fluorescence (</w:t>
      </w:r>
      <w:r>
        <w:t xml:space="preserve"> </w:t>
      </w:r>
      <w:r>
        <w:t>E</w:t>
      </w:r>
      <w:r>
        <w:t xml:space="preserve"> </w:t>
      </w:r>
      <w:r>
        <w:t>1/2</w:t>
      </w:r>
      <w:r>
        <w:t xml:space="preserve"> </w:t>
      </w:r>
      <w:r>
        <w:t>(PC/PC</w:t>
      </w:r>
      <w:r>
        <w:t xml:space="preserve"> </w:t>
      </w:r>
      <w:r>
        <w:t>•−</w:t>
      </w:r>
      <w:r>
        <w:t>) = −1.87 V,</w:t>
      </w:r>
      <w:r>
        <w:t xml:space="preserve"> </w:t>
      </w:r>
      <w:r>
        <w:t>τ</w:t>
      </w:r>
      <w:r>
        <w:t xml:space="preserve"> </w:t>
      </w:r>
      <w:r>
        <w:t>TADF</w:t>
      </w:r>
      <w:r>
        <w:t xml:space="preserve"> </w:t>
      </w:r>
      <w:r>
        <w:t>= 54.06 µs). At ppm‐level catalyst loading, this system affords well‐defined TFE copolymers bearing diverse nucleophilic pendants, including urethane, ureido, and thiocarbamide moieties, while maintaining excellent chain‐growth regulation and high chain‐end fidelity. Such hydrogen‐bonding pendants within the TFE copolymers promote the formation of dynamic hard segments. Leveraging this platform, we developed a two‐step sequence comprising photo‐mediated polymerization and chain extension without altering photocatalytic conditions, allowing the streamlined synthesis of hard‐soft‐hard triblock copolymers. Notably, the sequence‐controlled materials function as thermoplastic fluoroelastomers (TPFEs) with outstanding re‐processability, self‐healing capability, and tunable mechanical strength. This work establishes a molecular‐level engineering approach to high‐performance and sustainable TPFEs, opening doors for advanced materials.</w:t>
      </w:r>
    </w:p>
    <w:p>
      <w:pPr>
        <w:spacing w:before="120" w:after="120"/>
      </w:pPr>
      <w:r>
        <w:rPr>
          <w:sz w:val="18"/>
        </w:rPr>
        <w:t>——————————————————————————————————————————————————————————————————————</w:t>
      </w:r>
    </w:p>
    <w:p>
      <w:pPr>
        <w:spacing w:before="160" w:after="40" w:line="240" w:lineRule="auto"/>
      </w:pPr>
      <w:r>
        <w:rPr>
          <w:b/>
        </w:rPr>
        <w:t xml:space="preserve">[12] </w:t>
      </w:r>
      <w:hyperlink r:id="rId299">
        <w:r>
          <w:rPr>
            <w:color w:val="1155CC"/>
            <w:u w:val="single"/>
          </w:rPr>
          <w:t>非经典C─H⋯X相互作用辅助外消旋二硫内酯的立体选择性开环聚合</w:t>
        </w:r>
      </w:hyperlink>
    </w:p>
    <w:p>
      <w:pPr>
        <w:spacing w:before="0" w:after="80"/>
      </w:pPr>
      <w:r>
        <w:rPr>
          <w:i/>
          <w:sz w:val="20"/>
        </w:rPr>
        <w:t>EN: Stereoselective Ring‐Opening Polymerization of Racemic Dithiolactones Assisted by Non‐Classical C─H⋯X Interactions</w:t>
      </w:r>
    </w:p>
    <w:p>
      <w:pPr>
        <w:spacing w:before="0" w:after="120"/>
      </w:pPr>
      <w:r>
        <w:rPr>
          <w:b/>
        </w:rPr>
        <w:t xml:space="preserve">Source: </w:t>
      </w:r>
      <w:r>
        <w:t>Wiley: Angewandte Chemie International Edition: Table of Contents</w:t>
      </w:r>
      <w:r>
        <w:t xml:space="preserve">    </w:t>
      </w:r>
      <w:r>
        <w:rPr>
          <w:b/>
        </w:rPr>
        <w:t xml:space="preserve">Pub date: </w:t>
      </w:r>
      <w:r>
        <w:t>2026-06-03 07:06:43+00:00</w:t>
      </w:r>
      <w:r>
        <w:t xml:space="preserve">    </w:t>
      </w:r>
      <w:r>
        <w:rPr>
          <w:b/>
        </w:rPr>
        <w:t xml:space="preserve">DOI: </w:t>
      </w:r>
      <w:hyperlink r:id="rId300">
        <w:r>
          <w:rPr>
            <w:color w:val="1155CC"/>
            <w:u w:val="single"/>
          </w:rPr>
          <w:t>10.1002/anie.6820299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立体选择性聚合为合成高性能可回收聚合物提供了一条强大的途径，但实现快速、受控和立体选择性的链增长仍然具有挑战性。在这里，我们引入了一种与非经典C─H⋯X（X = O，S）氢键相互作用一致的催化体系，其中大体积的季铵阳离子创造了一个有限的环境，通过弱而定向的相互作用使单体和增长链末端定向，从而促进高度立体选择性的开环。该系统能够实现化学可回收的超快和立体选择性开环聚合</w:t>
      </w:r>
      <w:r>
        <w:t xml:space="preserve"> </w:t>
      </w:r>
      <w:r>
        <w:t>拉克</w:t>
      </w:r>
      <w:r>
        <w:t xml:space="preserve"> </w:t>
      </w:r>
      <w:r>
        <w:t>‐二氯甲烷 (DCM) 中的二硫内酯，产生完全可回收的有规立构聚硫酯（</w:t>
      </w:r>
      <w:r>
        <w:t xml:space="preserve"> </w:t>
      </w:r>
      <w:r>
        <w:t>磷</w:t>
      </w:r>
      <w:r>
        <w:t xml:space="preserve"> </w:t>
      </w:r>
      <w:r>
        <w:t>米</w:t>
      </w:r>
      <w:r>
        <w:t xml:space="preserve"> </w:t>
      </w:r>
      <w:r>
        <w:t>高达 0.97，</w:t>
      </w:r>
      <w:r>
        <w:t xml:space="preserve"> </w:t>
      </w:r>
      <w:r>
        <w:t>中号</w:t>
      </w:r>
      <w:r>
        <w:t xml:space="preserve"> </w:t>
      </w:r>
      <w:r>
        <w:t>n</w:t>
      </w:r>
      <w:r>
        <w:t xml:space="preserve"> </w:t>
      </w:r>
      <w:r>
        <w:t>高达 225.6 kDa），形成立体复合物以增强</w:t>
      </w:r>
      <w:r>
        <w:t xml:space="preserve"> </w:t>
      </w:r>
      <w:r>
        <w:t>时间</w:t>
      </w:r>
      <w:r>
        <w:t xml:space="preserve"> </w:t>
      </w:r>
      <w:r>
        <w:t>米</w:t>
      </w:r>
      <w:r>
        <w:t xml:space="preserve"> </w:t>
      </w:r>
      <w:r>
        <w:t>从 120.1°C 到 224.1°C，并提供类似聚烯烃的机械性能。更广泛地说，这些结果暗示了立体控制中的非经典氢键相互作用，并为有规立构、可化学回收的聚硫酯提供了一条可靠的途径。</w:t>
      </w:r>
    </w:p>
    <w:p>
      <w:pPr>
        <w:spacing w:before="0" w:after="200" w:lineRule="auto" w:line="276"/>
      </w:pPr>
      <w:r>
        <w:rPr>
          <w:b/>
        </w:rPr>
        <w:t xml:space="preserve">Abstract (EN): </w:t>
      </w:r>
      <w:r>
        <w:t>Stereoselective polymerization offers a powerful route to the synthesis of high‐performance recyclable polymers, yet achieving rapid, controlled, and stereoselective chain growth remains challenging. Here, we introduce a catalytic system that is consistent with non‐classical C─H⋯X (X = O, S) hydrogen‐bonding interactions, in which a bulky quaternary ammonium cation creates a confined environment that orients both the monomer and the propagating chain end through weak yet directional interactions, thereby promoting highly stereoselective ring opening. This system enables ultrafast and stereoselective ring‐opening polymerization of chemically recyclable</w:t>
      </w:r>
      <w:r>
        <w:t xml:space="preserve"> </w:t>
      </w:r>
      <w:r>
        <w:t>rac</w:t>
      </w:r>
      <w:r>
        <w:t xml:space="preserve"> </w:t>
      </w:r>
      <w:r>
        <w:t>‐dithiolactones in dichloromethane (DCM), yielding fully recyclable, stereoregular polythioesters (</w:t>
      </w:r>
      <w:r>
        <w:t xml:space="preserve"> </w:t>
      </w:r>
      <w:r>
        <w:t>P</w:t>
      </w:r>
      <w:r>
        <w:t xml:space="preserve"> </w:t>
      </w:r>
      <w:r>
        <w:t>m</w:t>
      </w:r>
      <w:r>
        <w:t xml:space="preserve"> </w:t>
      </w:r>
      <w:r>
        <w:t>up to 0.97,</w:t>
      </w:r>
      <w:r>
        <w:t xml:space="preserve"> </w:t>
      </w:r>
      <w:r>
        <w:t>M</w:t>
      </w:r>
      <w:r>
        <w:t xml:space="preserve"> </w:t>
      </w:r>
      <w:r>
        <w:t>n</w:t>
      </w:r>
      <w:r>
        <w:t xml:space="preserve"> </w:t>
      </w:r>
      <w:r>
        <w:t>up to 225.6 kDa) that form stereocomplexes to boost the</w:t>
      </w:r>
      <w:r>
        <w:t xml:space="preserve"> </w:t>
      </w:r>
      <w:r>
        <w:t>T</w:t>
      </w:r>
      <w:r>
        <w:t xml:space="preserve"> </w:t>
      </w:r>
      <w:r>
        <w:t>m</w:t>
      </w:r>
      <w:r>
        <w:t xml:space="preserve"> </w:t>
      </w:r>
      <w:r>
        <w:t>from 120.1°C to 224.1°C and deliver polyolefin‐like mechanical performance. More broadly, these results implicate non‐classical hydrogen‐bonding interactions in stereocontrol and offer a robust route to stereoregular, chemically recyclable polythioesters.</w:t>
      </w:r>
    </w:p>
    <w:p>
      <w:pPr>
        <w:spacing w:before="120" w:after="120"/>
      </w:pPr>
      <w:r>
        <w:rPr>
          <w:sz w:val="18"/>
        </w:rPr>
        <w:t>——————————————————————————————————————————————————————————————————————</w:t>
      </w:r>
    </w:p>
    <w:p>
      <w:pPr>
        <w:spacing w:before="160" w:after="40" w:line="240" w:lineRule="auto"/>
      </w:pPr>
      <w:r>
        <w:rPr>
          <w:b/>
        </w:rPr>
        <w:t xml:space="preserve">[13] </w:t>
      </w:r>
      <w:hyperlink r:id="rId301">
        <w:r>
          <w:rPr>
            <w:color w:val="1155CC"/>
            <w:u w:val="single"/>
          </w:rPr>
          <w:t>从线性固定到圆形设计：聚合物科学在过去十年中发生了怎样的变化</w:t>
        </w:r>
      </w:hyperlink>
    </w:p>
    <w:p>
      <w:pPr>
        <w:spacing w:before="0" w:after="80"/>
      </w:pPr>
      <w:r>
        <w:rPr>
          <w:i/>
          <w:sz w:val="20"/>
        </w:rPr>
        <w:t>EN: From linear fixes to circular design: how polymer science has changed over the past decade</w:t>
      </w:r>
    </w:p>
    <w:p>
      <w:pPr>
        <w:spacing w:before="0" w:after="120"/>
      </w:pPr>
      <w:r>
        <w:rPr>
          <w:b/>
        </w:rPr>
        <w:t xml:space="preserve">Source: </w:t>
      </w:r>
      <w:r>
        <w:t>Nature Reviews Materials</w:t>
      </w:r>
      <w:r>
        <w:t xml:space="preserve">    </w:t>
      </w:r>
      <w:r>
        <w:rPr>
          <w:b/>
        </w:rPr>
        <w:t xml:space="preserve">Pub date: </w:t>
      </w:r>
      <w:r>
        <w:t>2026-06-04 00:00:00+00:00</w:t>
      </w:r>
      <w:r>
        <w:t xml:space="preserve">    </w:t>
      </w:r>
      <w:r>
        <w:rPr>
          <w:b/>
        </w:rPr>
        <w:t xml:space="preserve">DOI: </w:t>
      </w:r>
      <w:hyperlink r:id="rId302">
        <w:r>
          <w:rPr>
            <w:color w:val="1155CC"/>
            <w:u w:val="single"/>
          </w:rPr>
          <w:t>10.1038/s41578-026-00933-3</w:t>
        </w:r>
      </w:hyperlink>
    </w:p>
    <w:p>
      <w:pPr>
        <w:spacing w:before="0" w:after="120"/>
      </w:pPr>
      <w:r>
        <w:rPr>
          <w:b/>
        </w:rPr>
        <w:t xml:space="preserve">Notes: </w:t>
      </w:r>
      <w:r>
        <w:t>abstract_source=nature_html</w:t>
      </w:r>
    </w:p>
    <w:p>
      <w:pPr>
        <w:spacing w:before="0" w:after="80" w:lineRule="auto" w:line="276"/>
      </w:pPr>
      <w:r>
        <w:rPr>
          <w:b/>
        </w:rPr>
        <w:t xml:space="preserve">摘要（ZH）: </w:t>
      </w:r>
      <w:r>
        <w:t>在过去的十年中，高分子科学已经从精密合成转向循环经济设计。回收、解聚和数据驱动方法方面的突破将有助于在地球限制下设计可持续的聚合物。</w:t>
      </w:r>
    </w:p>
    <w:p>
      <w:pPr>
        <w:spacing w:before="0" w:after="200" w:lineRule="auto" w:line="276"/>
      </w:pPr>
      <w:r>
        <w:rPr>
          <w:b/>
        </w:rPr>
        <w:t xml:space="preserve">Abstract (EN): </w:t>
      </w:r>
      <w:r>
        <w:t>Over the past decade, polymer science has shifted from precision synthesis to circular economy design. Breakthroughs in recycling, depolymerization and data-driven methods will be instrumental in designing polymers for sustainability within planetary constraints.</w:t>
      </w:r>
    </w:p>
    <w:p>
      <w:pPr>
        <w:spacing w:before="120" w:after="120"/>
      </w:pPr>
      <w:r>
        <w:rPr>
          <w:sz w:val="18"/>
        </w:rPr>
        <w:t>——————————————————————————————————————————————————————————————————————</w:t>
      </w:r>
    </w:p>
    <w:p>
      <w:pPr>
        <w:spacing w:before="160" w:after="40" w:line="240" w:lineRule="auto"/>
      </w:pPr>
      <w:r>
        <w:rPr>
          <w:b/>
        </w:rPr>
        <w:t xml:space="preserve">[14] </w:t>
      </w:r>
      <w:hyperlink r:id="rId303">
        <w:r>
          <w:rPr>
            <w:color w:val="1155CC"/>
            <w:u w:val="single"/>
          </w:rPr>
          <w:t>液晶弹性体的硫醇-异氰酸酯光印刷以获得高韧性和可重印性</w:t>
        </w:r>
      </w:hyperlink>
    </w:p>
    <w:p>
      <w:pPr>
        <w:spacing w:before="0" w:after="80"/>
      </w:pPr>
      <w:r>
        <w:rPr>
          <w:i/>
          <w:sz w:val="20"/>
        </w:rPr>
        <w:t>EN: Thiol‐Isocyanate Photoprinting of Liquid Crystal Elastomers Toward High Toughness and Reprintability</w:t>
      </w:r>
    </w:p>
    <w:p>
      <w:pPr>
        <w:spacing w:before="0" w:after="120"/>
      </w:pPr>
      <w:r>
        <w:rPr>
          <w:b/>
        </w:rPr>
        <w:t xml:space="preserve">Source: </w:t>
      </w:r>
      <w:r>
        <w:t>Wiley: Angewandte Chemie International Edition: Table of Contents</w:t>
      </w:r>
      <w:r>
        <w:t xml:space="preserve">    </w:t>
      </w:r>
      <w:r>
        <w:rPr>
          <w:b/>
        </w:rPr>
        <w:t xml:space="preserve">Pub date: </w:t>
      </w:r>
      <w:r>
        <w:t>2026-06-04 09:02:44+00:00</w:t>
      </w:r>
      <w:r>
        <w:t xml:space="preserve">    </w:t>
      </w:r>
      <w:r>
        <w:rPr>
          <w:b/>
        </w:rPr>
        <w:t xml:space="preserve">DOI: </w:t>
      </w:r>
      <w:hyperlink r:id="rId304">
        <w:r>
          <w:rPr>
            <w:color w:val="1155CC"/>
            <w:u w:val="single"/>
          </w:rPr>
          <w:t>10.1002/anie.3481225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液晶弹性体（LCE）的照相打印技术正在蓬勃发展，用于制造具有复杂几何形状、可逆大变形和各向异性变形的软执行器。然而，它们在低于 10 MJ m 时表现出较差的韧性</w:t>
      </w:r>
      <w:r>
        <w:t xml:space="preserve"> </w:t>
      </w:r>
      <w:r>
        <w:t>−3</w:t>
      </w:r>
      <w:r>
        <w:t xml:space="preserve"> </w:t>
      </w:r>
      <w:r>
        <w:t>由于在光反应基团的必要约束下化学设计有限（完全依赖丙烯酸酯聚合）；沿链主链引入增韧单元通常会降低介晶含量并损害液晶性。由此产生的永久性光固化位点从根本上阻碍了可重印性，而这对于光印 LCE 的可回收性至关重要。在此，在 LCE 中引入了硫醇异氰酸酯光打印策略。交联过程中原位形成的硫氨酯键不仅提供了更大的设计自由度和更高的氢键密度，而且还可以作为动态光固化位点。由此产生的 SU-xLCE 具有高韧性和大断裂伸长率（85.3 ± 2.5 MJ m</w:t>
      </w:r>
      <w:r>
        <w:t xml:space="preserve"> </w:t>
      </w:r>
      <w:r>
        <w:t>−3</w:t>
      </w:r>
      <w:r>
        <w:t xml:space="preserve"> </w:t>
      </w:r>
      <w:r>
        <w:t>和 1498.1 ± 32.5%），表现出 10000 倍自身重量的驱动负载和自愈能力，以及出色的抗撕裂和穿刺性能，同时能承受超过 10000 次疲劳和驱动循环。它还可以实现LC低聚物的化学回收（占树脂的90.0 wt%，成本的98.3%）和执行器的可重印性，而不会产生较大的性能损失。这项工作建立了一个面向下一代高性能的照相打印平台</w:t>
      </w:r>
    </w:p>
    <w:p>
      <w:pPr>
        <w:spacing w:before="0" w:after="200" w:lineRule="auto" w:line="276"/>
      </w:pPr>
      <w:r>
        <w:rPr>
          <w:b/>
        </w:rPr>
        <w:t xml:space="preserve">Abstract (EN): </w:t>
      </w:r>
      <w:r>
        <w:t>Photoprinting of liquid crystal elastomers (LCEs) is blooming for creating soft actuators with complex geometries, reversible large and anisotropic deformations. However, they exhibit poor toughness below 10 MJ m</w:t>
      </w:r>
      <w:r>
        <w:t xml:space="preserve"> </w:t>
      </w:r>
      <w:r>
        <w:t>−3</w:t>
      </w:r>
      <w:r>
        <w:t xml:space="preserve"> </w:t>
      </w:r>
      <w:r>
        <w:t>due to the limited chemical design under the necessary constraint of photoreactive groups (complete reliance on acrylate‐based polymerization); the introduction of toughening units along the chain backbone often reduces the mesogen content and compromises liquid crystallinity. The resulting permanent photocuring sites fundamentally hinder reprintability, which is critical for recyclability in photoprinted LCEs. Here, a thiol‐isocyanate photoprinting strategy is introduced in LCEs. The in situ formation of thiourethane bonds during crosslinking not only provides greater design freedom with higher hydrogen bond density, but also serves as dynamic photocuring sites. The resulting SU‐xLCE achieves high toughness and large elongation at break (85.3 ± 2.5 MJ m</w:t>
      </w:r>
      <w:r>
        <w:t xml:space="preserve"> </w:t>
      </w:r>
      <w:r>
        <w:t>−3</w:t>
      </w:r>
      <w:r>
        <w:t xml:space="preserve"> </w:t>
      </w:r>
      <w:r>
        <w:t>and 1498.1 ± 32.5%, respectively), exhibiting actuation load 10 000 times its own weight and self‐healing ability, along with remarkable tear and puncture resistance, while sustaining over 10 000 fatigue and actuation cycles. It can also achieve chemical recycling of LC oligomer (accounting for 90.0 wt% of resin, 98.3% of cost) and the reprintability of the actuator without large performance loss. This work establishes a photoprinting platform toward next‐generation high‐performance soft robotics.</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305">
        <w:r>
          <w:rPr>
            <w:color w:val="1155CC"/>
            <w:u w:val="single"/>
          </w:rPr>
          <w:t>限制物理缠结使得纳米晶超晶格的可编程聚合物介孔膜成为可能</w:t>
        </w:r>
      </w:hyperlink>
    </w:p>
    <w:p>
      <w:pPr>
        <w:spacing w:before="0" w:after="80"/>
      </w:pPr>
      <w:r>
        <w:rPr>
          <w:i/>
          <w:sz w:val="20"/>
        </w:rPr>
        <w:t>EN: Confinement physical entanglement enables programmable polymeric mesoporous membranes from nanocrystal superlattices</w:t>
      </w:r>
    </w:p>
    <w:p>
      <w:pPr>
        <w:spacing w:before="0" w:after="120"/>
      </w:pPr>
      <w:r>
        <w:rPr>
          <w:b/>
        </w:rPr>
        <w:t xml:space="preserve">Source: </w:t>
      </w:r>
      <w:r>
        <w:t>National Science Review Advance Access</w:t>
      </w:r>
      <w:r>
        <w:t xml:space="preserve">    </w:t>
      </w:r>
      <w:r>
        <w:rPr>
          <w:b/>
        </w:rPr>
        <w:t xml:space="preserve">Pub date: </w:t>
      </w:r>
      <w:r>
        <w:t>2026-05-30 00:00:00+00:00</w:t>
      </w:r>
      <w:r>
        <w:t xml:space="preserve">    </w:t>
      </w:r>
      <w:r>
        <w:rPr>
          <w:b/>
        </w:rPr>
        <w:t xml:space="preserve">DOI: </w:t>
      </w:r>
      <w:hyperlink r:id="rId306">
        <w:r>
          <w:rPr>
            <w:color w:val="1155CC"/>
            <w:u w:val="single"/>
          </w:rPr>
          <w:t>10.1093/nsr/nwag323</w:t>
        </w:r>
      </w:hyperlink>
    </w:p>
    <w:p>
      <w:pPr>
        <w:spacing w:before="0" w:after="120"/>
      </w:pPr>
      <w:r>
        <w:rPr>
          <w:b/>
        </w:rPr>
        <w:t xml:space="preserve">Notes: </w:t>
      </w:r>
      <w:r>
        <w:t>abstract_source=rss_oup</w:t>
      </w:r>
    </w:p>
    <w:p>
      <w:pPr>
        <w:spacing w:before="0" w:after="80" w:lineRule="auto" w:line="276"/>
      </w:pPr>
      <w:r>
        <w:rPr>
          <w:b/>
        </w:rPr>
        <w:t xml:space="preserve">摘要（ZH）: </w:t>
      </w:r>
      <w:r>
        <w:t>由于难以同时实现结构有序和机械稳定性，具有可调结构和强大机械性能的介孔膜的制造仍然具有挑战性。我们报告了一种通过利用聚合物接枝纳米晶体（NC）超晶格内的有限物理缠结来构建可编程聚合物介孔膜的总体策略。二维超晶格由尺寸、形状和成分受控的 NC 在液-气界面自组装而成，可用作结构模板，热退火可激活聚合物缠结以稳定超晶格框架。随后选择性去除 NC 核，产生独立的、长程有序的聚合物介孔膜，该膜表现出显着的比模量和可变形性。重要的是，这种方法可以独立控制孔径、壁厚和孔对称性，提供超越传统模板方法的精确结构可编程性。该策略与各种构建模块和二元超晶格配置兼容，从而能够合理设计具有分层结构顺序的机械坚固的介孔膜。</w:t>
      </w:r>
    </w:p>
    <w:p>
      <w:pPr>
        <w:spacing w:before="0" w:after="200" w:lineRule="auto" w:line="276"/>
      </w:pPr>
      <w:r>
        <w:rPr>
          <w:b/>
        </w:rPr>
        <w:t xml:space="preserve">Abstract (EN): </w:t>
      </w:r>
      <w:r>
        <w:t>Mesoporous membranes with tunable architectures and robust mechanical properties remain challenging to fabricate, owing to the difficulty of simultaneously achieving structural order and mechanical stability. We report a general strategy to construct programmable polymeric mesoporous membranes by exploiting confined physical entanglement within polymer-grafted nanocrystal (NC) superlattices. Two-dimensional superlattices, self-assembled at the liquid-air interface from size-, shape-, and composition-controlled NCs, serve as structural templates, and thermal annealing activates polymer entanglement to stabilize the superlattice framework. Subsequent selective removal of NC cores yields free-standing, long-range-ordered polymeric mesoporous membranes that exhibit remarkable specific moduli and deformability. Importantly, this approach enables independent control over pore size, wall thickness, and pore symmetry, offering precise structural programmability beyond conventional templating methods. This strategy is compatible with a wide range of building blocks and binary superlattice configurations, enabling the rational design of mechanically robust mesoporous membranes with hierarchical structural order.</w:t>
      </w:r>
    </w:p>
    <w:p>
      <w:pPr>
        <w:spacing w:before="120" w:after="120"/>
      </w:pPr>
      <w:r>
        <w:rPr>
          <w:sz w:val="18"/>
        </w:rPr>
        <w:t>——————————————————————————————————————————————————————————————————————</w:t>
      </w:r>
    </w:p>
    <w:p>
      <w:pPr>
        <w:spacing w:before="160" w:after="40" w:line="240" w:lineRule="auto"/>
      </w:pPr>
      <w:r>
        <w:rPr>
          <w:b/>
        </w:rPr>
        <w:t xml:space="preserve">[2] </w:t>
      </w:r>
      <w:hyperlink r:id="rId307">
        <w:r>
          <w:rPr>
            <w:color w:val="1155CC"/>
            <w:u w:val="single"/>
          </w:rPr>
          <w:t>货币社会互惠对中国农村家庭能源贫困减少的积极作用</w:t>
        </w:r>
      </w:hyperlink>
    </w:p>
    <w:p>
      <w:pPr>
        <w:spacing w:before="0" w:after="80"/>
      </w:pPr>
      <w:r>
        <w:rPr>
          <w:i/>
          <w:sz w:val="20"/>
        </w:rPr>
        <w:t>EN: The positive effect of monetary social reciprocity on energy poverty reduction in rural Chinese households</w:t>
      </w:r>
    </w:p>
    <w:p>
      <w:pPr>
        <w:spacing w:before="0" w:after="120"/>
      </w:pPr>
      <w:r>
        <w:rPr>
          <w:b/>
        </w:rPr>
        <w:t xml:space="preserve">Source: </w:t>
      </w:r>
      <w:r>
        <w:t>ScienceDirect Publication: Energy Policy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308">
        <w:r>
          <w:rPr>
            <w:color w:val="1155CC"/>
            <w:u w:val="single"/>
          </w:rPr>
          <w:t>CryoWriter：用于改进 Cryo-EM 网格准备的机器人解决方案</w:t>
        </w:r>
      </w:hyperlink>
    </w:p>
    <w:p>
      <w:pPr>
        <w:spacing w:before="0" w:after="80"/>
      </w:pPr>
      <w:r>
        <w:rPr>
          <w:i/>
          <w:sz w:val="20"/>
        </w:rPr>
        <w:t>EN: CryoWriter: a robotic solution for improved Cryo-EM grid preparation</w:t>
      </w:r>
    </w:p>
    <w:p>
      <w:pPr>
        <w:spacing w:before="0" w:after="120"/>
      </w:pPr>
      <w:r>
        <w:rPr>
          <w:b/>
        </w:rPr>
        <w:t xml:space="preserve">Source: </w:t>
      </w:r>
      <w:r>
        <w:t>Nature Communications</w:t>
      </w:r>
      <w:r>
        <w:t xml:space="preserve">    </w:t>
      </w:r>
      <w:r>
        <w:rPr>
          <w:b/>
        </w:rPr>
        <w:t xml:space="preserve">Pub date: </w:t>
      </w:r>
      <w:r>
        <w:t>2026-05-30 00:00:00+00:00</w:t>
      </w:r>
      <w:r>
        <w:t xml:space="preserve">    </w:t>
      </w:r>
      <w:r>
        <w:rPr>
          <w:b/>
        </w:rPr>
        <w:t xml:space="preserve">DOI: </w:t>
      </w:r>
      <w:hyperlink r:id="rId309">
        <w:r>
          <w:rPr>
            <w:color w:val="1155CC"/>
            <w:u w:val="single"/>
          </w:rPr>
          <w:t>10.1038/s41467-026-73752-3</w:t>
        </w:r>
      </w:hyperlink>
    </w:p>
    <w:p>
      <w:pPr>
        <w:spacing w:before="0" w:after="120"/>
      </w:pPr>
      <w:r>
        <w:rPr>
          <w:b/>
        </w:rPr>
        <w:t xml:space="preserve">Notes: </w:t>
      </w:r>
      <w:r>
        <w:t>abstract_source=nature_html</w:t>
      </w:r>
    </w:p>
    <w:p>
      <w:pPr>
        <w:spacing w:before="0" w:after="80" w:lineRule="auto" w:line="276"/>
      </w:pPr>
      <w:r>
        <w:rPr>
          <w:b/>
        </w:rPr>
        <w:t xml:space="preserve">摘要（ZH）: </w:t>
      </w:r>
      <w:r>
        <w:t>冷冻电子显微镜 (cryo-EM) 结构测定依赖于在 EM 网格上制备样品溶液的玻璃薄膜。冷冻电镜是一项成熟的技术，但准备网格仍然是一个主要瓶颈。在这里，我们评估了 CryoWriter，这是一种无印迹的微流体网格制备机器人，可在受控环境中将纳升体积写入 EM 网格上。使用螺旋或线条模式的毛细管书写，我们从最小的样本量中制备了高质量的网格，并获得了测试样本的近原子重建，包括 TMV、脱铁铁蛋白和膜蛋白 TRPM4。我们进一步演示了可编程沉积模式，例如两次写入样品以提高颗粒密度，或用于网格混合的两行写入以可视化时间分辨的蛋白质-配体结合。在具有挑战性的情况下（NrS-1 DNA 聚合酶），cryoWriter 网格表现出相对于传统印迹减少的方向偏差，从而实现更加各向同性的重建。这些结果表明，cryoWriter 为可重复的低容量冷冻电镜网格制备和网格生化工作流程提供了一个多功能平台。</w:t>
      </w:r>
    </w:p>
    <w:p>
      <w:pPr>
        <w:spacing w:before="0" w:after="200" w:lineRule="auto" w:line="276"/>
      </w:pPr>
      <w:r>
        <w:rPr>
          <w:b/>
        </w:rPr>
        <w:t xml:space="preserve">Abstract (EN): </w:t>
      </w:r>
      <w:r>
        <w:t>Cryo-electron microscopy (cryo-EM) structure determination relies on preparing thin, vitreous films of sample solution on EM grids. Cryo-EM is a mature technology, but preparing the grids remains a major bottleneck. Here, we evaluate the cryoWriter, a blotting-free, microfluidic grid-preparation robot that writes nanoliter volumes onto EM grids in a controlled environment. Using capillary-writing in spiral or line patterns, we prepared high-quality grids from minimal sample volumes and obtained near-atomic reconstructions for test specimens, including TMV, apoferritin, and the membrane protein TRPM4. We further demonstrate programmable deposition modes, such as writing the sample twice to boost particle density, or two-line writing for on-grid mixing to visualize time-resolved protein–ligand binding. In a challenging case (NrS-1 DNA polymerase), the cryoWriter grids exhibited reduced orientation bias relative to conventional blotting, enabling a more isotropic reconstruction. These results show that the cryoWriter provides a versatile platform for reproducible low volume cryo-EM grid preparation and for on-grid biochemical workflows.</w:t>
      </w:r>
    </w:p>
    <w:p>
      <w:pPr>
        <w:spacing w:before="120" w:after="120"/>
      </w:pPr>
      <w:r>
        <w:rPr>
          <w:sz w:val="18"/>
        </w:rPr>
        <w:t>——————————————————————————————————————————————————————————————————————</w:t>
      </w:r>
    </w:p>
    <w:p>
      <w:pPr>
        <w:spacing w:before="160" w:after="40" w:line="240" w:lineRule="auto"/>
      </w:pPr>
      <w:r>
        <w:rPr>
          <w:b/>
        </w:rPr>
        <w:t xml:space="preserve">[4] </w:t>
      </w:r>
      <w:hyperlink r:id="rId310">
        <w:r>
          <w:rPr>
            <w:color w:val="1155CC"/>
            <w:u w:val="single"/>
          </w:rPr>
          <w:t>绿色幻想，持久贫困：地缘政治分裂如何助长绿色清洗并破坏南半球公正的能源转型</w:t>
        </w:r>
      </w:hyperlink>
    </w:p>
    <w:p>
      <w:pPr>
        <w:spacing w:before="0" w:after="80"/>
      </w:pPr>
      <w:r>
        <w:rPr>
          <w:i/>
          <w:sz w:val="20"/>
        </w:rPr>
        <w:t>EN: Green illusions, enduring poverty: How geopolitical fragmentation fuels greenwashing and derails the just energy transition in the global South</w:t>
      </w:r>
    </w:p>
    <w:p>
      <w:pPr>
        <w:spacing w:before="0" w:after="120"/>
      </w:pPr>
      <w:r>
        <w:rPr>
          <w:b/>
        </w:rPr>
        <w:t xml:space="preserve">Source: </w:t>
      </w:r>
      <w:r>
        <w:t>ScienceDirect Publication: Energy Policy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311">
        <w:r>
          <w:rPr>
            <w:color w:val="1155CC"/>
            <w:u w:val="single"/>
          </w:rPr>
          <w:t>≥5600万年前阿留申岛弧起始的构造和气候影响</w:t>
        </w:r>
      </w:hyperlink>
    </w:p>
    <w:p>
      <w:pPr>
        <w:spacing w:before="0" w:after="80"/>
      </w:pPr>
      <w:r>
        <w:rPr>
          <w:i/>
          <w:sz w:val="20"/>
        </w:rPr>
        <w:t>EN: Tectonic and climatic implications of the Aleutian Arc initiation ≥56 million years ago</w:t>
      </w:r>
    </w:p>
    <w:p>
      <w:pPr>
        <w:spacing w:before="0" w:after="120"/>
      </w:pPr>
      <w:r>
        <w:rPr>
          <w:b/>
        </w:rPr>
        <w:t xml:space="preserve">Source: </w:t>
      </w:r>
      <w:r>
        <w:t>Nature Communications</w:t>
      </w:r>
      <w:r>
        <w:t xml:space="preserve">    </w:t>
      </w:r>
      <w:r>
        <w:rPr>
          <w:b/>
        </w:rPr>
        <w:t xml:space="preserve">Pub date: </w:t>
      </w:r>
      <w:r>
        <w:t>2026-05-30 00:00:00+00:00</w:t>
      </w:r>
      <w:r>
        <w:t xml:space="preserve">    </w:t>
      </w:r>
      <w:r>
        <w:rPr>
          <w:b/>
        </w:rPr>
        <w:t xml:space="preserve">DOI: </w:t>
      </w:r>
      <w:hyperlink r:id="rId312">
        <w:r>
          <w:rPr>
            <w:color w:val="1155CC"/>
            <w:u w:val="single"/>
          </w:rPr>
          <w:t>10.1038/s41467-026-73363-y</w:t>
        </w:r>
      </w:hyperlink>
    </w:p>
    <w:p>
      <w:pPr>
        <w:spacing w:before="0" w:after="120"/>
      </w:pPr>
      <w:r>
        <w:rPr>
          <w:b/>
        </w:rPr>
        <w:t xml:space="preserve">Notes: </w:t>
      </w:r>
      <w:r>
        <w:t>abstract_source=nature_html</w:t>
      </w:r>
    </w:p>
    <w:p>
      <w:pPr>
        <w:spacing w:before="0" w:after="80" w:lineRule="auto" w:line="276"/>
      </w:pPr>
      <w:r>
        <w:rPr>
          <w:b/>
        </w:rPr>
        <w:t xml:space="preserve">摘要（ZH）: </w:t>
      </w:r>
      <w:r>
        <w:t>阿留申俯冲起始的时间和起源仍然很少受到限制，但它们对于了解太平洋晚古新世到早始新世板块构造重组及其可能的气候后果至关重要。在这里，我们使用从四个基底海底序列（跨度约 700 公里）的西阿留申弧样本获得的地质年代学和地球化学数据，将阿留申俯冲起始限制在≥56 Ma。早期弧前熔岩与西太平洋伊豆-小笠原-马里亚纳俯冲初期喷发的弧前玄武岩具有相似的成分。正如 GPlates 模型所示，Olyutorsky 岛弧与堪察加-科里亚克边缘的碰撞以及伊邪那岐-太平洋海岭的俯冲可能引发了阿留申俯冲起始，以及 57 Ma 和 55 Ma 之间太平洋板块绝对运动从 WNW 到 NNW 的变化，如 GPlates 模型所示。我们的研究表明，阿留申俯冲起始是环太平洋约 10 迈尔板块重组开始时的一个关键事件，最终形成夏威夷-皇帝弯。这些构造岩浆事件可能促成了古新世晚期和始新世早期的同期全球气候事件。</w:t>
      </w:r>
    </w:p>
    <w:p>
      <w:pPr>
        <w:spacing w:before="0" w:after="200" w:lineRule="auto" w:line="276"/>
      </w:pPr>
      <w:r>
        <w:rPr>
          <w:b/>
        </w:rPr>
        <w:t xml:space="preserve">Abstract (EN): </w:t>
      </w:r>
      <w:r>
        <w:t>The timing and origin of Aleutian subduction initiation remain poorly constrained, yet they are central to understanding late Paleocene to early Eocene plate tectonic reorganization in the Pacific and its possible climatic consequences. Here, we use geochronologic and geochemical data obtained on western Aleutian arc samples from four basal submarine sequences, spanning ~700 km, to constrain Aleutian subduction initiation to ≥56 Ma. Early forearc lavas have similar compositions to forearc basalts erupted during the initial stages of Izu-Bonin-Mariana subduction in the western Pacific. Collision of the Olyutorsky Arc with Kamchatka-Koryak margin and subduction of the Izanagi-Pacific Ridge are likely to have triggered Aleutian subduction initiation and a change in absolute Pacific plate motion from WNW to N between 57 and 55 Ma, as shown with a GPlates model. Our study shows that Aleutian subduction initiation is a key event at the beginning of a major ~10 Myr plate reorganization in the circum-Pacific ending with Hawaii-Emperor-Bend formation. These tectono-magmatic events may have contributed to contemporaneous global climatic events in the late Paleocene and early Eocene.</w:t>
      </w:r>
    </w:p>
    <w:p>
      <w:pPr>
        <w:spacing w:before="120" w:after="120"/>
      </w:pPr>
      <w:r>
        <w:rPr>
          <w:sz w:val="18"/>
        </w:rPr>
        <w:t>——————————————————————————————————————————————————————————————————————</w:t>
      </w:r>
    </w:p>
    <w:p>
      <w:pPr>
        <w:spacing w:before="160" w:after="40" w:line="240" w:lineRule="auto"/>
      </w:pPr>
      <w:r>
        <w:rPr>
          <w:b/>
        </w:rPr>
        <w:t xml:space="preserve">[6] </w:t>
      </w:r>
      <w:hyperlink r:id="rId313">
        <w:r>
          <w:rPr>
            <w:color w:val="1155CC"/>
            <w:u w:val="single"/>
          </w:rPr>
          <w:t>可再生能源贸易路线：进口作为可再生能源技术传播的催化剂</w:t>
        </w:r>
      </w:hyperlink>
    </w:p>
    <w:p>
      <w:pPr>
        <w:spacing w:before="0" w:after="80"/>
      </w:pPr>
      <w:r>
        <w:rPr>
          <w:i/>
          <w:sz w:val="20"/>
        </w:rPr>
        <w:t>EN: The trade route to renewables: Import as a catalyst for the diffusion of renewable energy technology</w:t>
      </w:r>
    </w:p>
    <w:p>
      <w:pPr>
        <w:spacing w:before="0" w:after="120"/>
      </w:pPr>
      <w:r>
        <w:rPr>
          <w:b/>
        </w:rPr>
        <w:t xml:space="preserve">Source: </w:t>
      </w:r>
      <w:r>
        <w:t>ScienceDirect Publication: Energy Policy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314">
        <w:r>
          <w:rPr>
            <w:color w:val="1155CC"/>
            <w:u w:val="single"/>
          </w:rPr>
          <w:t>电荷密度波交织超导体中的超电流效应</w:t>
        </w:r>
      </w:hyperlink>
    </w:p>
    <w:p>
      <w:pPr>
        <w:spacing w:before="0" w:after="80"/>
      </w:pPr>
      <w:r>
        <w:rPr>
          <w:i/>
          <w:sz w:val="20"/>
        </w:rPr>
        <w:t>EN: Supercurrent effect in a charge density wave intertwined superconductor</w:t>
      </w:r>
    </w:p>
    <w:p>
      <w:pPr>
        <w:spacing w:before="0" w:after="120"/>
      </w:pPr>
      <w:r>
        <w:rPr>
          <w:b/>
        </w:rPr>
        <w:t xml:space="preserve">Source: </w:t>
      </w:r>
      <w:r>
        <w:t>Nature Communications</w:t>
      </w:r>
      <w:r>
        <w:t xml:space="preserve">    </w:t>
      </w:r>
      <w:r>
        <w:rPr>
          <w:b/>
        </w:rPr>
        <w:t xml:space="preserve">Pub date: </w:t>
      </w:r>
      <w:r>
        <w:t>2026-05-30 00:00:00+00:00</w:t>
      </w:r>
      <w:r>
        <w:t xml:space="preserve">    </w:t>
      </w:r>
      <w:r>
        <w:rPr>
          <w:b/>
        </w:rPr>
        <w:t xml:space="preserve">DOI: </w:t>
      </w:r>
      <w:hyperlink r:id="rId315">
        <w:r>
          <w:rPr>
            <w:color w:val="1155CC"/>
            <w:u w:val="single"/>
          </w:rPr>
          <w:t>10.1038/s41467-026-73778-7</w:t>
        </w:r>
      </w:hyperlink>
    </w:p>
    <w:p>
      <w:pPr>
        <w:spacing w:before="0" w:after="120"/>
      </w:pPr>
      <w:r>
        <w:rPr>
          <w:b/>
        </w:rPr>
        <w:t xml:space="preserve">Notes: </w:t>
      </w:r>
      <w:r>
        <w:t>abstract_source=nature_html</w:t>
      </w:r>
    </w:p>
    <w:p>
      <w:pPr>
        <w:spacing w:before="0" w:after="80" w:lineRule="auto" w:line="276"/>
      </w:pPr>
      <w:r>
        <w:rPr>
          <w:b/>
        </w:rPr>
        <w:t xml:space="preserve">摘要（ZH）: </w:t>
      </w:r>
      <w:r>
        <w:t>准粒子的能量动量（E-k）色散构成了凝聚态物质系统的基本概念。改变 E-k 色散的能力，例如超导体中 Bogoliubov 准粒子谱的超电流引起的多普勒频移，使得能够操纵各种涌现的量子特性。然而，对与电荷顺序交织的超导体的超电流效应的研究仍然很少。在这里，我们报告说，由对所施加的面内磁场的抗磁响应产生的迈斯纳电流可以在前体电荷密度波（CDW）矢量处定制博戈柳波夫准粒子激发。我们的扫描隧道光谱成像揭示了超导 NbSe2 中 CDW 调制的场驱动对称性破缺，特别是 C3v 到 Cs 的转变。模型计算表明，观察到的各向异性源于选择性多普勒频移引起的 E-k 色散重建。此外，改变场方向可以按需调整各向异性 CDW 调制并可视化其动量空间分布。这些结果凸显了一种通过动量空间工程控制新兴电子相的新机制。</w:t>
      </w:r>
    </w:p>
    <w:p>
      <w:pPr>
        <w:spacing w:before="0" w:after="200" w:lineRule="auto" w:line="276"/>
      </w:pPr>
      <w:r>
        <w:rPr>
          <w:b/>
        </w:rPr>
        <w:t xml:space="preserve">Abstract (EN): </w:t>
      </w:r>
      <w:r>
        <w:t>The energy-momentum (E-k) dispersion of quasiparticles constitutes a fundamental concept in condensed matter systems. The ability to modify the E-k dispersion, exemplified by supercurrent-induced Doppler shifts of Bogoliubov quasiparticle spectra in superconductors, enables manipulation of various emergent quantum properties. However, investigations into the supercurrent effect on superconductors intertwined with charge orders remain scarce. Here, we report that the Meissner current, generated by the diamagnetic response to an applied in-plane magnetic field, can tailor Bogoliubov quasiparticle excitations at the precursor charge density wave (CDW) vectors. Our scanning tunneling spectroscopic imaging reveals a field-driven symmetry breaking of CDW modulations, specifically a C3v-to-Cs transition, in superconducting NbSe2. Model calculations suggest that the observed anisotropy originates from a selective Doppler-shift-induced E-k dispersion reconstruction. Furthermore, altering the field direction enables on-demand tuning of anisotropic CDW modulations and visualization of their momentum-space distribution. These results highlight a novel mechanism for controlling emergent electronic phases through momentum-space engineering.</w:t>
      </w:r>
    </w:p>
    <w:p>
      <w:pPr>
        <w:spacing w:before="120" w:after="120"/>
      </w:pPr>
      <w:r>
        <w:rPr>
          <w:sz w:val="18"/>
        </w:rPr>
        <w:t>——————————————————————————————————————————————————————————————————————</w:t>
      </w:r>
    </w:p>
    <w:p>
      <w:pPr>
        <w:spacing w:before="160" w:after="40" w:line="240" w:lineRule="auto"/>
      </w:pPr>
      <w:r>
        <w:rPr>
          <w:b/>
        </w:rPr>
        <w:t xml:space="preserve">[8] </w:t>
      </w:r>
      <w:hyperlink r:id="rId316">
        <w:r>
          <w:rPr>
            <w:color w:val="1155CC"/>
            <w:u w:val="single"/>
          </w:rPr>
          <w:t>TS-1 沸石中的 Au 和 Ti 更接近，可增强活性</w:t>
        </w:r>
      </w:hyperlink>
    </w:p>
    <w:p>
      <w:pPr>
        <w:spacing w:before="0" w:after="80"/>
      </w:pPr>
      <w:r>
        <w:rPr>
          <w:i/>
          <w:sz w:val="20"/>
        </w:rPr>
        <w:t>EN: Au and Ti closer in TS-1 zeolite for enhancing activity</w:t>
      </w:r>
    </w:p>
    <w:p>
      <w:pPr>
        <w:spacing w:before="0" w:after="120"/>
      </w:pPr>
      <w:r>
        <w:rPr>
          <w:b/>
        </w:rPr>
        <w:t xml:space="preserve">Source: </w:t>
      </w:r>
      <w:r>
        <w:t>National Science Review Advance Access</w:t>
      </w:r>
      <w:r>
        <w:t xml:space="preserve">    </w:t>
      </w:r>
      <w:r>
        <w:rPr>
          <w:b/>
        </w:rPr>
        <w:t xml:space="preserve">Pub date: </w:t>
      </w:r>
      <w:r>
        <w:t>2026-05-30 00:00:00+00:00</w:t>
      </w:r>
      <w:r>
        <w:t xml:space="preserve">    </w:t>
      </w:r>
      <w:r>
        <w:rPr>
          <w:b/>
        </w:rPr>
        <w:t xml:space="preserve">DOI: </w:t>
      </w:r>
      <w:hyperlink r:id="rId317">
        <w:r>
          <w:rPr>
            <w:color w:val="1155CC"/>
            <w:u w:val="single"/>
          </w:rPr>
          <w:t>10.1093/nsr/nwag310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318">
        <w:r>
          <w:rPr>
            <w:color w:val="1155CC"/>
            <w:u w:val="single"/>
          </w:rPr>
          <w:t>小鼠和人类肿瘤相关树突状细胞的泛癌单细胞图谱</w:t>
        </w:r>
      </w:hyperlink>
    </w:p>
    <w:p>
      <w:pPr>
        <w:spacing w:before="0" w:after="80"/>
      </w:pPr>
      <w:r>
        <w:rPr>
          <w:i/>
          <w:sz w:val="20"/>
        </w:rPr>
        <w:t>EN: Pan-cancer single-cell atlases of mouse and human tumor-associated dendritic cells</w:t>
      </w:r>
    </w:p>
    <w:p>
      <w:pPr>
        <w:spacing w:before="0" w:after="120"/>
      </w:pPr>
      <w:r>
        <w:rPr>
          <w:b/>
        </w:rPr>
        <w:t xml:space="preserve">Source: </w:t>
      </w:r>
      <w:r>
        <w:t>Nature Communications</w:t>
      </w:r>
      <w:r>
        <w:t xml:space="preserve">    </w:t>
      </w:r>
      <w:r>
        <w:rPr>
          <w:b/>
        </w:rPr>
        <w:t xml:space="preserve">Pub date: </w:t>
      </w:r>
      <w:r>
        <w:t>2026-05-30 00:00:00+00:00</w:t>
      </w:r>
      <w:r>
        <w:t xml:space="preserve">    </w:t>
      </w:r>
      <w:r>
        <w:rPr>
          <w:b/>
        </w:rPr>
        <w:t xml:space="preserve">DOI: </w:t>
      </w:r>
      <w:hyperlink r:id="rId319">
        <w:r>
          <w:rPr>
            <w:color w:val="1155CC"/>
            <w:u w:val="single"/>
          </w:rPr>
          <w:t>10.1038/s41467-026-73721-w</w:t>
        </w:r>
      </w:hyperlink>
    </w:p>
    <w:p>
      <w:pPr>
        <w:spacing w:before="0" w:after="120"/>
      </w:pPr>
      <w:r>
        <w:rPr>
          <w:b/>
        </w:rPr>
        <w:t xml:space="preserve">Notes: </w:t>
      </w:r>
      <w:r>
        <w:t>abstract_source=nature_html</w:t>
      </w:r>
    </w:p>
    <w:p>
      <w:pPr>
        <w:spacing w:before="0" w:after="80" w:lineRule="auto" w:line="276"/>
      </w:pPr>
      <w:r>
        <w:rPr>
          <w:b/>
        </w:rPr>
        <w:t xml:space="preserve">摘要（ZH）: </w:t>
      </w:r>
      <w:r>
        <w:t>树突状细胞（DC）是抗肿瘤免疫的关键诱导剂。为了在癌症背景下全面绘制小鼠和人类 DC 子集和状态，我们在这里生成了泛癌小鼠和人类肿瘤相关 DC (TADC) scRNA-seq 图集，涵盖 14 种小鼠肿瘤模型和 10 种人类癌症类型，其中我们识别了几种谱系定义的 DC 子集以及成熟/功能状态。我们发现，TADC 随着肿瘤进展而获得炎症特征，并且肿瘤介导的重编程发生在来自荷瘤小鼠淋巴结的 DC 内。重要的是，我们证明 TADC 在小鼠和人类之间广泛保守，尽管在某些亚群和状态中可能存在物种特异性差异。此外，我们对不同的人类 TADC 簇与患者生存结果的关系进行了全面评估。总的来说，我们对小鼠和人类癌症中的 TADC 区室进行了深入的表征，这可以提高我们对肿瘤微环境的理解，并有助于新抗癌疗法的开发。</w:t>
      </w:r>
    </w:p>
    <w:p>
      <w:pPr>
        <w:spacing w:before="0" w:after="200" w:lineRule="auto" w:line="276"/>
      </w:pPr>
      <w:r>
        <w:rPr>
          <w:b/>
        </w:rPr>
        <w:t xml:space="preserve">Abstract (EN): </w:t>
      </w:r>
      <w:r>
        <w:t>Dendritic cells (DCs) are critical inducers of anti-tumor immunity. To achieve a comprehensive mapping of mouse and human DC subsets and states in a cancer context, here we generate pan-cancer mouse and human tumor-associated DC (TADC) scRNA-seq atlases, encompassing 14 mouse tumor models and 10 human cancer types, within which we identify several lineage-defined DC subsets along with maturation/functional states. We show that TADCs acquire an inflammatory profile with tumor progression and that tumor-mediated reprogramming occurs within the DCs from lymph nodes of tumor-bearing mice. Importantly, we demonstrate that TADCs are broadly conserved between mice and humans, although species-specific differences may exist in some subsets and states. Moreover, we present a comprehensive assessment of how different human TADC clusters associate with patient survival outcomes. Overall, we provide an in-depth characterization of the TADC compartment in mouse and human cancers, which can improve our understanding of the tumor microenvironment and contribute to the development of new anti-cancer therapies.</w:t>
      </w:r>
    </w:p>
    <w:p>
      <w:pPr>
        <w:spacing w:before="120" w:after="120"/>
      </w:pPr>
      <w:r>
        <w:rPr>
          <w:sz w:val="18"/>
        </w:rPr>
        <w:t>——————————————————————————————————————————————————————————————————————</w:t>
      </w:r>
    </w:p>
    <w:p>
      <w:pPr>
        <w:spacing w:before="160" w:after="40" w:line="240" w:lineRule="auto"/>
      </w:pPr>
      <w:r>
        <w:rPr>
          <w:b/>
        </w:rPr>
        <w:t xml:space="preserve">[10] </w:t>
      </w:r>
      <w:hyperlink r:id="rId320">
        <w:r>
          <w:rPr>
            <w:color w:val="1155CC"/>
            <w:u w:val="single"/>
          </w:rPr>
          <w:t>中美贸易战是否会加剧能源贫困？来自中国家庭的证据</w:t>
        </w:r>
      </w:hyperlink>
    </w:p>
    <w:p>
      <w:pPr>
        <w:spacing w:before="0" w:after="80"/>
      </w:pPr>
      <w:r>
        <w:rPr>
          <w:i/>
          <w:sz w:val="20"/>
        </w:rPr>
        <w:t>EN: Does U.S.-China trade war exacerbate energy poverty? Evidence from Chinese households</w:t>
      </w:r>
    </w:p>
    <w:p>
      <w:pPr>
        <w:spacing w:before="0" w:after="120"/>
      </w:pPr>
      <w:r>
        <w:rPr>
          <w:b/>
        </w:rPr>
        <w:t xml:space="preserve">Source: </w:t>
      </w:r>
      <w:r>
        <w:t>ScienceDirect Publication: Energy Policy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321">
        <w:r>
          <w:rPr>
            <w:color w:val="1155CC"/>
            <w:u w:val="single"/>
          </w:rPr>
          <w:t>极端天气条件下时间能源调度的两阶段不确定性建模</w:t>
        </w:r>
      </w:hyperlink>
    </w:p>
    <w:p>
      <w:pPr>
        <w:spacing w:before="0" w:after="80"/>
      </w:pPr>
      <w:r>
        <w:rPr>
          <w:i/>
          <w:sz w:val="20"/>
        </w:rPr>
        <w:t>EN: Two-stage uncertainty modeling for temporal energy scheduling during extreme weather conditions</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322">
        <w:r>
          <w:rPr>
            <w:color w:val="1155CC"/>
            <w:u w:val="single"/>
          </w:rPr>
          <w:t>聆听有损超材料中的高阶 Weyl 异常环</w:t>
        </w:r>
      </w:hyperlink>
    </w:p>
    <w:p>
      <w:pPr>
        <w:spacing w:before="0" w:after="80"/>
      </w:pPr>
      <w:r>
        <w:rPr>
          <w:i/>
          <w:sz w:val="20"/>
        </w:rPr>
        <w:t>EN: Hearing higher-order Weyl exceptional ring in lossy metamaterials</w:t>
      </w:r>
    </w:p>
    <w:p>
      <w:pPr>
        <w:spacing w:before="0" w:after="120"/>
      </w:pPr>
      <w:r>
        <w:rPr>
          <w:b/>
        </w:rPr>
        <w:t xml:space="preserve">Source: </w:t>
      </w:r>
      <w:r>
        <w:t>National Science Review Advance Access</w:t>
      </w:r>
      <w:r>
        <w:t xml:space="preserve">    </w:t>
      </w:r>
      <w:r>
        <w:rPr>
          <w:b/>
        </w:rPr>
        <w:t xml:space="preserve">Pub date: </w:t>
      </w:r>
      <w:r>
        <w:t>2026-05-30 00:00:00+00:00</w:t>
      </w:r>
      <w:r>
        <w:t xml:space="preserve">    </w:t>
      </w:r>
      <w:r>
        <w:rPr>
          <w:b/>
        </w:rPr>
        <w:t xml:space="preserve">DOI: </w:t>
      </w:r>
      <w:hyperlink r:id="rId323">
        <w:r>
          <w:rPr>
            <w:color w:val="1155CC"/>
            <w:u w:val="single"/>
          </w:rPr>
          <w:t>10.1093/nsr/nwag311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324">
        <w:r>
          <w:rPr>
            <w:color w:val="1155CC"/>
            <w:u w:val="single"/>
          </w:rPr>
          <w:t>点对点能源交易中虚假数据注入和黑盒对抗攻击的检测：云边缘协作上下文感知学习方法</w:t>
        </w:r>
      </w:hyperlink>
    </w:p>
    <w:p>
      <w:pPr>
        <w:spacing w:before="0" w:after="80"/>
      </w:pPr>
      <w:r>
        <w:rPr>
          <w:i/>
          <w:sz w:val="20"/>
        </w:rPr>
        <w:t>EN: Detection of false data injection and black-box adversarial attacks in peer-to-peer energy trading: A cloud-edge collaborative context-aware learning approach</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325">
        <w:r>
          <w:rPr>
            <w:color w:val="1155CC"/>
            <w:u w:val="single"/>
          </w:rPr>
          <w:t>联合电力需求预测：基于TimeVAE潜在表示的客户选择机制</w:t>
        </w:r>
      </w:hyperlink>
    </w:p>
    <w:p>
      <w:pPr>
        <w:spacing w:before="0" w:after="80"/>
      </w:pPr>
      <w:r>
        <w:rPr>
          <w:i/>
          <w:sz w:val="20"/>
        </w:rPr>
        <w:t>EN: Federated electricity demand forecasting: A client selection mechanism based on TimeVAE latent representations</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326">
        <w:r>
          <w:rPr>
            <w:color w:val="1155CC"/>
            <w:u w:val="single"/>
          </w:rPr>
          <w:t>通过扩散政策实现气候适应性植物工厂化种植，实现智能能源管理和可持续作物生产</w:t>
        </w:r>
      </w:hyperlink>
    </w:p>
    <w:p>
      <w:pPr>
        <w:spacing w:before="0" w:after="80"/>
      </w:pPr>
      <w:r>
        <w:rPr>
          <w:i/>
          <w:sz w:val="20"/>
        </w:rPr>
        <w:t>EN: Climate-resilient plant factory cultivation via diffusion policy for intelligent energy management and sustainable crop production</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327">
        <w:r>
          <w:rPr>
            <w:color w:val="1155CC"/>
            <w:u w:val="single"/>
          </w:rPr>
          <w:t>通用暂态稳定性分析：预先训练的生成变压器支持的电力系统动态预测框架</w:t>
        </w:r>
      </w:hyperlink>
    </w:p>
    <w:p>
      <w:pPr>
        <w:spacing w:before="0" w:after="80"/>
      </w:pPr>
      <w:r>
        <w:rPr>
          <w:i/>
          <w:sz w:val="20"/>
        </w:rPr>
        <w:t>EN: Universal transient stability analysis: A pre-trained generative transformer-enabled power system dynamics prediction framework</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328">
        <w:r>
          <w:rPr>
            <w:color w:val="1155CC"/>
            <w:u w:val="single"/>
          </w:rPr>
          <w:t>考虑故障演化的集群式可再生能源电站全局协调暂态电压支持策略</w:t>
        </w:r>
      </w:hyperlink>
    </w:p>
    <w:p>
      <w:pPr>
        <w:spacing w:before="0" w:after="80"/>
      </w:pPr>
      <w:r>
        <w:rPr>
          <w:i/>
          <w:sz w:val="20"/>
        </w:rPr>
        <w:t>EN: Global coordinated transient voltage support strategy for clustered renewable power plants considering fault evolution</w:t>
      </w:r>
    </w:p>
    <w:p>
      <w:pPr>
        <w:spacing w:before="0" w:after="120"/>
      </w:pPr>
      <w:r>
        <w:rPr>
          <w:b/>
        </w:rPr>
        <w:t xml:space="preserve">Source: </w:t>
      </w:r>
      <w:r>
        <w:t>ScienceDirect Publication: Applied Energy</w:t>
      </w:r>
      <w:r>
        <w:t xml:space="preserve">    </w:t>
      </w:r>
      <w:r>
        <w:rPr>
          <w:b/>
        </w:rPr>
        <w:t xml:space="preserve">Pub date: </w:t>
      </w:r>
      <w:r>
        <w:t>2026-05-30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329">
        <w:r>
          <w:rPr>
            <w:color w:val="1155CC"/>
            <w:u w:val="single"/>
          </w:rPr>
          <w:t>钙钛矿量子点发光二极管的桥接合成和器件性能</w:t>
        </w:r>
      </w:hyperlink>
    </w:p>
    <w:p>
      <w:pPr>
        <w:spacing w:before="0" w:after="80"/>
      </w:pPr>
      <w:r>
        <w:rPr>
          <w:i/>
          <w:sz w:val="20"/>
        </w:rPr>
        <w:t>EN: Bridging Synthesis and Device Performance in Perovskite Quantum Dot Light‐Emitting Diodes</w:t>
      </w:r>
    </w:p>
    <w:p>
      <w:pPr>
        <w:spacing w:before="0" w:after="120"/>
      </w:pPr>
      <w:r>
        <w:rPr>
          <w:b/>
        </w:rPr>
        <w:t xml:space="preserve">Source: </w:t>
      </w:r>
      <w:r>
        <w:t>Wiley: Advanced Materials: Table of Contents</w:t>
      </w:r>
      <w:r>
        <w:t xml:space="preserve">    </w:t>
      </w:r>
      <w:r>
        <w:rPr>
          <w:b/>
        </w:rPr>
        <w:t xml:space="preserve">Pub date: </w:t>
      </w:r>
      <w:r>
        <w:t>2026-05-30 02:59:45+00:00</w:t>
      </w:r>
      <w:r>
        <w:t xml:space="preserve">    </w:t>
      </w:r>
      <w:r>
        <w:rPr>
          <w:b/>
        </w:rPr>
        <w:t xml:space="preserve">DOI: </w:t>
      </w:r>
      <w:hyperlink r:id="rId330">
        <w:r>
          <w:rPr>
            <w:color w:val="1155CC"/>
            <w:u w:val="single"/>
          </w:rPr>
          <w:t>10.1002/adma.73516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钙钛矿量子点（PQD）因其卓越的色纯度、可调带隙和高光致发光量子产率（PLQY）而成为下一代发光二极管（LED）的有前途的发射器。这篇综述对 PQD-LED 的最新进展进行了全面而深刻的概述，特别强调了材料合成、表面化学和器件工程之间的基本相关性。我们系统地研究了集成的“合成-表面-器件”优化框架，讨论了先进的合成策略、用于缺陷抑制和稳定性增强的成分和表面工程，以及改善电荷平衡、辐射复合、光输出耦合和操作稳定性的器件级方法。通过将基础知识与材料创新和器件设计联系起来，这项工作为开发高性能 PQD-LED 提供了清晰的路线图和分步指导。</w:t>
      </w:r>
    </w:p>
    <w:p>
      <w:pPr>
        <w:spacing w:before="0" w:after="200" w:lineRule="auto" w:line="276"/>
      </w:pPr>
      <w:r>
        <w:rPr>
          <w:b/>
        </w:rPr>
        <w:t xml:space="preserve">Abstract (EN): </w:t>
      </w:r>
      <w:r>
        <w:t>Perovskite quantum dots (PQDs) have emerged as promising emitters for next‐generation light‐emitting diodes (LEDs), owing to their exceptional color purity, tunable bandgaps, and high photoluminescence quantum yields (PLQYs). This review provides a comprehensive and insightful overview of the recent advances in PQD‐LEDs, with particular emphasis on the fundamental correlations between material synthesis, surface chemistry, and device engineering. We systematically examine the integrated “synthesis–surface–device” optimization framework, discussing advanced synthetic strategies, compositional and surface engineering for defect suppression and stability enhancement, and device‐level approaches to improve charge balance, radiative recombination, light outcoupling, and operational stability. By bridging foundational knowledge with material innovations and device design, this work offers a clear roadmap and step‐by‐step guidance for developing high‐performance PQD‐LEDs.</w:t>
      </w:r>
    </w:p>
    <w:p>
      <w:pPr>
        <w:spacing w:before="120" w:after="120"/>
      </w:pPr>
      <w:r>
        <w:rPr>
          <w:sz w:val="18"/>
        </w:rPr>
        <w:t>——————————————————————————————————————————————————————————————————————</w:t>
      </w:r>
    </w:p>
    <w:p>
      <w:pPr>
        <w:spacing w:before="160" w:after="40" w:line="240" w:lineRule="auto"/>
      </w:pPr>
      <w:r>
        <w:rPr>
          <w:b/>
        </w:rPr>
        <w:t xml:space="preserve">[19] </w:t>
      </w:r>
      <w:hyperlink r:id="rId331">
        <w:r>
          <w:rPr>
            <w:color w:val="1155CC"/>
            <w:u w:val="single"/>
          </w:rPr>
          <w:t>分子相互作用驱动共轭聚合物纳米纤维自组装迈向绿色制造</w:t>
        </w:r>
      </w:hyperlink>
    </w:p>
    <w:p>
      <w:pPr>
        <w:spacing w:before="0" w:after="80"/>
      </w:pPr>
      <w:r>
        <w:rPr>
          <w:i/>
          <w:sz w:val="20"/>
        </w:rPr>
        <w:t>EN: Molecular‐Interactions Driven Conjugated Polymer Nanofiber Self‐Assembly Toward Greener Fabrication</w:t>
      </w:r>
    </w:p>
    <w:p>
      <w:pPr>
        <w:spacing w:before="0" w:after="120"/>
      </w:pPr>
      <w:r>
        <w:rPr>
          <w:b/>
        </w:rPr>
        <w:t xml:space="preserve">Source: </w:t>
      </w:r>
      <w:r>
        <w:t>Wiley: Advanced Materials: Table of Contents</w:t>
      </w:r>
      <w:r>
        <w:t xml:space="preserve">    </w:t>
      </w:r>
      <w:r>
        <w:rPr>
          <w:b/>
        </w:rPr>
        <w:t xml:space="preserve">Pub date: </w:t>
      </w:r>
      <w:r>
        <w:t>2026-05-30 04:41:08+00:00</w:t>
      </w:r>
      <w:r>
        <w:t xml:space="preserve">    </w:t>
      </w:r>
      <w:r>
        <w:rPr>
          <w:b/>
        </w:rPr>
        <w:t xml:space="preserve">DOI: </w:t>
      </w:r>
      <w:hyperlink r:id="rId332">
        <w:r>
          <w:rPr>
            <w:color w:val="1155CC"/>
            <w:u w:val="single"/>
          </w:rPr>
          <w:t>10.1002/adma.73513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共轭聚合物（CP）纳米纤维形成细长的渗透网络，促进有效的电荷传输和机械顺应性，但从溶液中形成它们的一般策略仍然难以捉摸。在这里，我们提出了一种分子相互作用控制的反溶剂诱导纳米纤维自组装框架，该框架将热力学原纤维预聚集体形成与动力学纳米纤维生长结合起来。该框架将汉森溶解度参数与片段特异性亲和描述符相结合，以预测纳米纤维形成的溶剂-反溶剂组合。结构表征与分子模型相结合表明，对烷基侧链具有低亲和力的反溶剂可促进刚性、伸长的原纤维预聚集体，成为纳米纤维形成中的关键中间体。该框架在不同的溶剂-反溶剂组合和聚合物系统中得到了验证，产生宽度可调的 50-200 nm 纳米纤维。它进一步能够识别用于绿色纳米纤维制造的环保型萜烯溶剂系统，同时将场效应迁移率提高三倍。总之，这些进步为合理控制 CP 纳米结构提供了一条途径，为推进可持续、可拉伸电子产品提供了广泛的实用性。</w:t>
      </w:r>
    </w:p>
    <w:p>
      <w:pPr>
        <w:spacing w:before="0" w:after="200" w:lineRule="auto" w:line="276"/>
      </w:pPr>
      <w:r>
        <w:rPr>
          <w:b/>
        </w:rPr>
        <w:t xml:space="preserve">Abstract (EN): </w:t>
      </w:r>
      <w:r>
        <w:t>Self‐assembled conjugated polymer (CP) nanofibers form elongated, percolated networks that facilitate efficient charge transport and mechanical compliance, yet a general strategy for their formation from solution remains elusive. Here, we present a molecular‐interaction‐governed framework for antisolvent‐induced nanofiber self‐assembly that couples thermodynamic fibrillar preaggregate formation with kinetic nanofiber growth. The framework integrates Hansen solubility parameters with a segment‐specific affinity descriptor to predict solvent‐antisolvent combinations for nanofiber formation. Structural characterization combined with molecular modeling shows that antisolvents with low affinity for alkyl side chains promote rigid, elongated fibrillar preaggregates, acting as key intermediates in nanofiber formation. This framework is validated across diverse solvent–antisolvent combinations and polymer systems, yielding nanofibers with tunable widths of 50–200 nm. It further enables the identification of eco‐friendly, terpene‐based solvent systems for green nanofiber manufacturing, while achieving up to threefold enhancements in field‐effect mobility. Together, these advances provide a pathway to rationally control CP nanostructures, offering broad utility for advancing sustainable, stretchable electronics.</w:t>
      </w:r>
    </w:p>
    <w:p>
      <w:pPr>
        <w:spacing w:before="120" w:after="120"/>
      </w:pPr>
      <w:r>
        <w:rPr>
          <w:sz w:val="18"/>
        </w:rPr>
        <w:t>——————————————————————————————————————————————————————————————————————</w:t>
      </w:r>
    </w:p>
    <w:p>
      <w:pPr>
        <w:spacing w:before="160" w:after="40" w:line="240" w:lineRule="auto"/>
      </w:pPr>
      <w:r>
        <w:rPr>
          <w:b/>
        </w:rPr>
        <w:t xml:space="preserve">[20] </w:t>
      </w:r>
      <w:hyperlink r:id="rId333">
        <w:r>
          <w:rPr>
            <w:color w:val="1155CC"/>
            <w:u w:val="single"/>
          </w:rPr>
          <w:t>基于Pb-S强耦合异质结构的视觉惯性多模传感器，用于信息融合定位和监测</w:t>
        </w:r>
      </w:hyperlink>
    </w:p>
    <w:p>
      <w:pPr>
        <w:spacing w:before="0" w:after="80"/>
      </w:pPr>
      <w:r>
        <w:rPr>
          <w:i/>
          <w:sz w:val="20"/>
        </w:rPr>
        <w:t>EN: A Visual Inertia‐Inspired Multimode Sensor Based on Pb–S Strongly Coupled Heterostructures for Information Fusion Positioning and Monitoring</w:t>
      </w:r>
    </w:p>
    <w:p>
      <w:pPr>
        <w:spacing w:before="0" w:after="120"/>
      </w:pPr>
      <w:r>
        <w:rPr>
          <w:b/>
        </w:rPr>
        <w:t xml:space="preserve">Source: </w:t>
      </w:r>
      <w:r>
        <w:t>Wiley: Advanced Materials: Table of Contents</w:t>
      </w:r>
      <w:r>
        <w:t xml:space="preserve">    </w:t>
      </w:r>
      <w:r>
        <w:rPr>
          <w:b/>
        </w:rPr>
        <w:t xml:space="preserve">Pub date: </w:t>
      </w:r>
      <w:r>
        <w:t>2026-05-30 04:49:57+00:00</w:t>
      </w:r>
      <w:r>
        <w:t xml:space="preserve">    </w:t>
      </w:r>
      <w:r>
        <w:rPr>
          <w:b/>
        </w:rPr>
        <w:t xml:space="preserve">DOI: </w:t>
      </w:r>
      <w:hyperlink r:id="rId334">
        <w:r>
          <w:rPr>
            <w:color w:val="1155CC"/>
            <w:u w:val="single"/>
          </w:rPr>
          <w:t>10.1002/adma.73515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视觉惯性里程计（VIO）系统能够连续、准确地跟踪高速移动物体，为无人驾驶车辆和移动机器人提供明显的优势，但组件数据之间的时空不一致往往会降低整体性能。在这里，我们展示了一种基于 FAPbI 的视觉惯性启发多模传感器 (VIMS)</w:t>
      </w:r>
      <w:r>
        <w:rPr>
          <w:vertAlign w:val="subscript"/>
        </w:rPr>
        <w:t>3</w:t>
      </w:r>
      <w:r>
        <w:t>(FA/PbI</w:t>
      </w:r>
      <w:r>
        <w:rPr>
          <w:vertAlign w:val="subscript"/>
        </w:rPr>
        <w:t>2</w:t>
      </w:r>
      <w:r>
        <w:t>= 4:1）有机-无机杂化钙钛矿量子点（OIHPQD）敏化MoS</w:t>
      </w:r>
      <w:r>
        <w:rPr>
          <w:vertAlign w:val="subscript"/>
        </w:rPr>
        <w:t>2</w:t>
      </w:r>
      <w:r>
        <w:t>异质结构，具有可重构光电探测器（PD）和光突触（PS）功能，成功演示了 VIO 的单设备功能集成。该异质结构表现出光功率选择性、Pb-S耦合介导的电荷传输，使得PD和PS模式切换具有不同的光响应速度，同时克服了异质结构耦合中晶格匹配的需要。此外，大小均匀的 FAPbI</w:t>
      </w:r>
      <w:r>
        <w:rPr>
          <w:vertAlign w:val="subscript"/>
        </w:rPr>
        <w:t>3</w:t>
      </w:r>
      <w:r>
        <w:t>使用自行设计的微流控技术获得，确保所制造的异质界面具有出色的再现性。所开发的设备表现出高比探测率（</w:t>
      </w:r>
      <w:r>
        <w:t xml:space="preserve"> </w:t>
      </w:r>
      <w:r>
        <w:t>D</w:t>
      </w:r>
      <w:r>
        <w:t xml:space="preserve"> </w:t>
      </w:r>
      <w:r>
        <w:t>*</w:t>
      </w:r>
      <w:r>
        <w:t xml:space="preserve"> </w:t>
      </w:r>
      <w:r>
        <w:t>) 在 0.039 mW/cm 下增益约为 1000</w:t>
      </w:r>
      <w:r>
        <w:rPr>
          <w:vertAlign w:val="subscript"/>
        </w:rPr>
        <w:t>2</w:t>
      </w:r>
      <w:r>
        <w:t>弱光环境下，优异的突触可塑性，识别准确率达到90%，噪声容限达到40%，响应时间超过10 t的光学安全通信能力</w:t>
      </w:r>
    </w:p>
    <w:p>
      <w:pPr>
        <w:spacing w:before="0" w:after="200" w:lineRule="auto" w:line="276"/>
      </w:pPr>
      <w:r>
        <w:rPr>
          <w:b/>
        </w:rPr>
        <w:t xml:space="preserve">Abstract (EN): </w:t>
      </w:r>
      <w:r>
        <w:t>The visual‐inertial odometry (VIO) system enables continuous and accurate tracking of high‐speed moving objects, offering distinct advantages for unmanned vehicles and mobile robots, but spatiotemporal inconsistency between components data often degrades overall performance. Here, we demonstrate a visual inertia‐inspired multimode sensor (VIMS) based on FAPbI</w:t>
      </w:r>
      <w:r>
        <w:rPr>
          <w:vertAlign w:val="subscript"/>
        </w:rPr>
        <w:t>3</w:t>
      </w:r>
      <w:r>
        <w:t>(FA/PbI</w:t>
      </w:r>
      <w:r>
        <w:rPr>
          <w:vertAlign w:val="subscript"/>
        </w:rPr>
        <w:t>2</w:t>
      </w:r>
      <w:r>
        <w:t>= 4:1) organic–inorganic hybrid perovskite quantum dots (OIHPQDs) sensitized MoS</w:t>
      </w:r>
      <w:r>
        <w:rPr>
          <w:vertAlign w:val="subscript"/>
        </w:rPr>
        <w:t>2</w:t>
      </w:r>
      <w:r>
        <w:t>heterostructure, featuring reconfigurable photodetector (PD) and photosynaptic (PS) functions, successfully demonstrating single‐device functional integration for VIO. The heterostructure exhibits light‐power‐selective, Pb–S coupled‐mediated charge transport, enabling distinct light response speeds for PD and PS mode switching while overcoming the need for lattice matching in heterostructure coupling. Moreover, uniform‐sized FAPbI</w:t>
      </w:r>
      <w:r>
        <w:rPr>
          <w:vertAlign w:val="subscript"/>
        </w:rPr>
        <w:t>3</w:t>
      </w:r>
      <w:r>
        <w:t>is obtained using a self‐designed microfluidic technique, ensuring excellent reproducibility in the fabricated heterointerface. The developed devices exhibit a high specific detectivity (</w:t>
      </w:r>
      <w:r>
        <w:t xml:space="preserve"> </w:t>
      </w:r>
      <w:r>
        <w:t>D</w:t>
      </w:r>
      <w:r>
        <w:t xml:space="preserve"> </w:t>
      </w:r>
      <w:r>
        <w:t>*</w:t>
      </w:r>
      <w:r>
        <w:t xml:space="preserve"> </w:t>
      </w:r>
      <w:r>
        <w:t>) gain of ≈ 1000 under 0.039 mW/cm</w:t>
      </w:r>
      <w:r>
        <w:rPr>
          <w:vertAlign w:val="subscript"/>
        </w:rPr>
        <w:t>2</w:t>
      </w:r>
      <w:r>
        <w:t>dim light, excellent synaptic plasticity with 90% recognition accuracy and 40% noise tolerance, and optical secure communication capability with response times over 10 times faster than in PS mode. More importantly, the dual‐mode VIMS array enables real‐time tracking of dynamic grayscale and static attitude information from high‐speed Newton's cradle and billiards, demonstrating dynamic/static information fusion for positioning and monitoring.</w:t>
      </w:r>
    </w:p>
    <w:p>
      <w:pPr>
        <w:spacing w:before="120" w:after="120"/>
      </w:pPr>
      <w:r>
        <w:rPr>
          <w:sz w:val="18"/>
        </w:rPr>
        <w:t>——————————————————————————————————————————————————————————————————————</w:t>
      </w:r>
    </w:p>
    <w:p>
      <w:pPr>
        <w:spacing w:before="160" w:after="40" w:line="240" w:lineRule="auto"/>
      </w:pPr>
      <w:r>
        <w:rPr>
          <w:b/>
        </w:rPr>
        <w:t xml:space="preserve">[21] </w:t>
      </w:r>
      <w:hyperlink r:id="rId335">
        <w:r>
          <w:rPr>
            <w:color w:val="1155CC"/>
            <w:u w:val="single"/>
          </w:rPr>
          <w:t>焦磷酸锰矿化 DNA 纳米疫苗可引发有效的体液和细胞免疫</w:t>
        </w:r>
      </w:hyperlink>
    </w:p>
    <w:p>
      <w:pPr>
        <w:spacing w:before="0" w:after="80"/>
      </w:pPr>
      <w:r>
        <w:rPr>
          <w:i/>
          <w:sz w:val="20"/>
        </w:rPr>
        <w:t>EN: Manganese Pyrophosphate Mineralized DNA Nanovaccine Elicits Potent Humoral and Cellular Immunity</w:t>
      </w:r>
    </w:p>
    <w:p>
      <w:pPr>
        <w:spacing w:before="0" w:after="120"/>
      </w:pPr>
      <w:r>
        <w:rPr>
          <w:b/>
        </w:rPr>
        <w:t xml:space="preserve">Source: </w:t>
      </w:r>
      <w:r>
        <w:t>Wiley: Angewandte Chemie International Edition: Table of Contents</w:t>
      </w:r>
      <w:r>
        <w:t xml:space="preserve">    </w:t>
      </w:r>
      <w:r>
        <w:rPr>
          <w:b/>
        </w:rPr>
        <w:t xml:space="preserve">Pub date: </w:t>
      </w:r>
      <w:r>
        <w:t>2026-05-30 11:31:35+00:00</w:t>
      </w:r>
      <w:r>
        <w:t xml:space="preserve">    </w:t>
      </w:r>
      <w:r>
        <w:rPr>
          <w:b/>
        </w:rPr>
        <w:t xml:space="preserve">DOI: </w:t>
      </w:r>
      <w:hyperlink r:id="rId336">
        <w:r>
          <w:rPr>
            <w:color w:val="1155CC"/>
            <w:u w:val="single"/>
          </w:rPr>
          <w:t>10.1002/anie.5724301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亚单位疫苗提供安全性和精确性，但需要佐剂来克服较弱的免疫原性，特别是在诱导细胞免疫方面。在此，我们通过生物矿化开发了一种基于焦磷酸锰矿化 DNA 双佐剂的亚单位疫苗平台，该平台证明了其能够引发强大的抗原特异性细胞免疫反应。 Mn/CpG 双佐剂调节 Th1 和 Th2 免疫反应之间的平衡。更重要的是，Mn(II)离子介导的CpG和cGAS-STING通路协同激活Toll样受体9样(TLR9​​)信号通路，显着增强了细胞免疫，这在体外和体内均比商业铝基佐剂有显着增强。此外，机理研究表明，基于 Mn(II) 的纳米佐剂有效促进了 Th1 偏向的细胞免疫反应，如 IgG2a/IgG1 比率升高和 Th1 相关细胞因子分泌增强以及调节性 T 细胞活性潜在降低所证明的那样。这些见解确立了开发下一代锰源佐剂系统所必需的关键设计原则，从而推进了疫苗学和免疫学的前沿。</w:t>
      </w:r>
    </w:p>
    <w:p>
      <w:pPr>
        <w:spacing w:before="0" w:after="200" w:lineRule="auto" w:line="276"/>
      </w:pPr>
      <w:r>
        <w:rPr>
          <w:b/>
        </w:rPr>
        <w:t xml:space="preserve">Abstract (EN): </w:t>
      </w:r>
      <w:r>
        <w:t>Subunit vaccines offer safety and precision but require adjuvants to overcome weak immunogenicity, particularly for the induction of cellular immunity. Herein, we develop a manganese pyrophosphate mineralized DNA bi‐adjuvant‐based subunit vaccine platform via biomineralization, which demonstrated the capability to elicit robust antigen‐specific cellular immune responses. The Mn/CpG bi‐adjuvant modulated the balance between Th1 and Th2 immune responses. More importantly, the synergistic activation of Toll‐like receptor 9‐like (TLR9) signaling pathways by CpG and cGAS‐STING pathways mediated by Mn(II) ions robustly enhanced cellular immunity, which was a magnitude of enhancement over commercial aluminum‐based adjuvants both in vitro and in vivo. Furthermore, the mechanistic studies revealed that the Mn(II)‐based nanoadjuvant effectively promoted Th1‐biased cellular immune response, as evidenced by an elevated IgG2a/IgG1 ratio and enhanced Th1‐associated cytokine secretion, alongside a potential reduction in regulatory T cell activity. These insights established critical design principles essential for the development of next‐generation manganese‐derived adjuvant systems, thereby advancing the frontiers of vaccinology and immunology.</w:t>
      </w:r>
    </w:p>
    <w:p>
      <w:pPr>
        <w:spacing w:before="120" w:after="120"/>
      </w:pPr>
      <w:r>
        <w:rPr>
          <w:sz w:val="18"/>
        </w:rPr>
        <w:t>——————————————————————————————————————————————————————————————————————</w:t>
      </w:r>
    </w:p>
    <w:p>
      <w:pPr>
        <w:spacing w:before="160" w:after="40" w:line="240" w:lineRule="auto"/>
      </w:pPr>
      <w:r>
        <w:rPr>
          <w:b/>
        </w:rPr>
        <w:t xml:space="preserve">[22] </w:t>
      </w:r>
      <w:hyperlink r:id="rId337">
        <w:r>
          <w:rPr>
            <w:color w:val="1155CC"/>
            <w:u w:val="single"/>
          </w:rPr>
          <w:t>用于放大圆偏振发光的簇发光胆甾型纤维素衍生物中的协同手性传输和能量转移</w:t>
        </w:r>
      </w:hyperlink>
    </w:p>
    <w:p>
      <w:pPr>
        <w:spacing w:before="0" w:after="80"/>
      </w:pPr>
      <w:r>
        <w:rPr>
          <w:i/>
          <w:sz w:val="20"/>
        </w:rPr>
        <w:t>EN: Synergistic Chirality Transmission and Energy Transfer in Clusteroluminescent Cholesteric Cellulose Derivatives for Amplified Circularly Polarized Luminescence</w:t>
      </w:r>
    </w:p>
    <w:p>
      <w:pPr>
        <w:spacing w:before="0" w:after="120"/>
      </w:pPr>
      <w:r>
        <w:rPr>
          <w:b/>
        </w:rPr>
        <w:t xml:space="preserve">Source: </w:t>
      </w:r>
      <w:r>
        <w:t>Wiley: Angewandte Chemie International Edition: Table of Contents</w:t>
      </w:r>
      <w:r>
        <w:t xml:space="preserve">    </w:t>
      </w:r>
      <w:r>
        <w:rPr>
          <w:b/>
        </w:rPr>
        <w:t xml:space="preserve">Pub date: </w:t>
      </w:r>
      <w:r>
        <w:t>2026-05-30 11:33:49+00:00</w:t>
      </w:r>
      <w:r>
        <w:t xml:space="preserve">    </w:t>
      </w:r>
      <w:r>
        <w:rPr>
          <w:b/>
        </w:rPr>
        <w:t xml:space="preserve">DOI: </w:t>
      </w:r>
      <w:hyperlink r:id="rId338">
        <w:r>
          <w:rPr>
            <w:color w:val="1155CC"/>
            <w:u w:val="single"/>
          </w:rPr>
          <w:t>10.1002/anie.3452883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基于纤维素的系统由于其固有的手性和簇发光特性，为构建圆偏振发光（CPL）材料提供了独特的优势。然而，利用纤维素的簇发光来生成、调节和放大 CPL 仍然具有挑战性。目前的工作报告了通过利用簇发光和手性向列（胆甾型）液晶相的超分子手性的协同效应从纤维素衍生物中获得内在CPL的第一个例子。值得注意的是，胆甾型纤维素衍生物可以同时将其固有的手性和激发能转移到掺杂的非手性荧光染料上，从而导致放大的多色 CPL 发射延伸到近红外区域。通过利用纤维素衍生物薄膜的选择性反射，与非手性荧光和余辉薄膜的集成可实现可调谐 CPL 以及圆偏振余辉。此外，多维信息加密显示和手性逻辑系统也研制成功。这项工作为生物大分子中手性和簇发光的协同作用提供了有价值的见解，并为构建基于簇发光的 CPL 材料建立了一个通用且可推广的平台。</w:t>
      </w:r>
    </w:p>
    <w:p>
      <w:pPr>
        <w:spacing w:before="0" w:after="200" w:lineRule="auto" w:line="276"/>
      </w:pPr>
      <w:r>
        <w:rPr>
          <w:b/>
        </w:rPr>
        <w:t xml:space="preserve">Abstract (EN): </w:t>
      </w:r>
      <w:r>
        <w:t>Cellulose‐based systems provide unique advantages for constructing circularly polarized luminescence (CPL) materials owing to their intrinsic chirality and clusteroluminescence properties. However, harnessing the clusteroluminescence of cellulose for the generation, modulation, and amplification of CPL remains challenging. The present work reports the first example of intrinsic CPL from cellulose derivatives by leveraging the synergistic effects of clusteroluminescence and the supramolecular chirality of the chiral nematic (cholesteric) liquid crystalline phase. Notably, the cholesteric cellulose derivatives can simultaneously transfer their inherent chirality and excitation energy to doped achiral fluorescent dyes, leading to amplified multicolor CPL emissions that extend into the near‐infrared region. By leveraging the selective reflection of cellulose derivative film, integration with achiral fluorescent and afterglow film enables tunable CPL, as well as circularly polarized afterglow. Moreover, multidimensional information encryption display and chiral logic system are successfully developed. This work offers valuable insights into the synergistic role of chirality and clusteroluminescence in biomacromolecules, and establishes a versatile and generalizable platform for constructing clusteroluminescence‐based CPL materials.</w:t>
      </w:r>
    </w:p>
    <w:p>
      <w:pPr>
        <w:spacing w:before="120" w:after="120"/>
      </w:pPr>
      <w:r>
        <w:rPr>
          <w:sz w:val="18"/>
        </w:rPr>
        <w:t>——————————————————————————————————————————————————————————————————————</w:t>
      </w:r>
    </w:p>
    <w:p>
      <w:pPr>
        <w:spacing w:before="160" w:after="40" w:line="240" w:lineRule="auto"/>
      </w:pPr>
      <w:r>
        <w:rPr>
          <w:b/>
        </w:rPr>
        <w:t xml:space="preserve">[23] </w:t>
      </w:r>
      <w:hyperlink r:id="rId339">
        <w:r>
          <w:rPr>
            <w:color w:val="1155CC"/>
            <w:u w:val="single"/>
          </w:rPr>
          <w:t>镍/光氧化还原双催化迁移还原C(sp2)–H/Si–Cl交叉偶联</w:t>
        </w:r>
      </w:hyperlink>
    </w:p>
    <w:p>
      <w:pPr>
        <w:spacing w:before="0" w:after="80"/>
      </w:pPr>
      <w:r>
        <w:rPr>
          <w:i/>
          <w:sz w:val="20"/>
        </w:rPr>
        <w:t>EN: Nickel/Photoredox Dual‐Catalyzed Migratory Reductive C(sp2)–H/Si–Cl Cross‐Coupling</w:t>
      </w:r>
    </w:p>
    <w:p>
      <w:pPr>
        <w:spacing w:before="0" w:after="120"/>
      </w:pPr>
      <w:r>
        <w:rPr>
          <w:b/>
        </w:rPr>
        <w:t xml:space="preserve">Source: </w:t>
      </w:r>
      <w:r>
        <w:t>Wiley: Angewandte Chemie International Edition: Table of Contents</w:t>
      </w:r>
      <w:r>
        <w:t xml:space="preserve">    </w:t>
      </w:r>
      <w:r>
        <w:rPr>
          <w:b/>
        </w:rPr>
        <w:t xml:space="preserve">Pub date: </w:t>
      </w:r>
      <w:r>
        <w:t>2026-05-30 11:34:50+00:00</w:t>
      </w:r>
      <w:r>
        <w:t xml:space="preserve">    </w:t>
      </w:r>
      <w:r>
        <w:rPr>
          <w:b/>
        </w:rPr>
        <w:t xml:space="preserve">DOI: </w:t>
      </w:r>
      <w:hyperlink r:id="rId340">
        <w:r>
          <w:rPr>
            <w:color w:val="1155CC"/>
            <w:u w:val="single"/>
          </w:rPr>
          <w:t>10.1002/anie.8722626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有机硅化合物已广泛应用于工业界和学术界。过渡金属催化的迁移交叉偶联涉及1，</w:t>
      </w:r>
      <w:r>
        <w:t xml:space="preserve"> </w:t>
      </w:r>
      <w:r>
        <w:t>n</w:t>
      </w:r>
      <w:r>
        <w:t xml:space="preserve"> </w:t>
      </w:r>
      <w:r>
        <w:t>‐金属迁移允许在远程站点上实现 C−H 键的功能化，而这在其他情况下是难以实现的。然而，到目前为止，通过迁移交叉偶联形成 C−Si 键似乎还没有被提出。在此，我们报告了镍/光氧化还原双催化迁移交叉偶联，该偶联实现了第一个正式的远程C（</w:t>
      </w:r>
      <w:r>
        <w:t xml:space="preserve"> </w:t>
      </w:r>
      <w:r>
        <w:t>sp</w:t>
      </w:r>
      <w:r>
        <w:rPr>
          <w:vertAlign w:val="subscript"/>
        </w:rPr>
        <w:t>2</w:t>
      </w:r>
      <w:r>
        <w:t>)–H与氯硅烷的硅烷化，从而实现位点选择性</w:t>
      </w:r>
      <w:r>
        <w:t xml:space="preserve"> </w:t>
      </w:r>
      <w:r>
        <w:t>依索</w:t>
      </w:r>
      <w:r>
        <w:t xml:space="preserve"> </w:t>
      </w:r>
      <w:r>
        <w:t>/</w:t>
      </w:r>
      <w:r>
        <w:t>正射</w:t>
      </w:r>
      <w:r>
        <w:t xml:space="preserve"> </w:t>
      </w:r>
      <w:r>
        <w:t>‐容易获得的芳基溴化物的双官能化。该方案在可见光照射下进行，无需化学计量的金属还原剂，并提供了一系列具有优异化学、区域和性能的多取代芳基硅烷。</w:t>
      </w:r>
      <w:r>
        <w:t xml:space="preserve"> </w:t>
      </w:r>
      <w:r>
        <w:t>乙</w:t>
      </w:r>
      <w:r>
        <w:t xml:space="preserve"> </w:t>
      </w:r>
      <w:r>
        <w:t>/</w:t>
      </w:r>
      <w:r>
        <w:t>Z</w:t>
      </w:r>
      <w:r>
        <w:t xml:space="preserve"> </w:t>
      </w:r>
      <w:r>
        <w:t>‐选择性。通过各种下游转化和含硅聚合物的制备，进一步证明了该方法的合成效用，突出了其在复杂分子合成和材料化学中的潜力。</w:t>
      </w:r>
    </w:p>
    <w:p>
      <w:pPr>
        <w:spacing w:before="0" w:after="200" w:lineRule="auto" w:line="276"/>
      </w:pPr>
      <w:r>
        <w:rPr>
          <w:b/>
        </w:rPr>
        <w:t xml:space="preserve">Abstract (EN): </w:t>
      </w:r>
      <w:r>
        <w:t>Organosilicon compounds have been extensively utilized in both industry and academia. Transition metal‐catalyzed migratory cross‐coupling involving 1,</w:t>
      </w:r>
      <w:r>
        <w:t xml:space="preserve"> </w:t>
      </w:r>
      <w:r>
        <w:t>n</w:t>
      </w:r>
      <w:r>
        <w:t xml:space="preserve"> </w:t>
      </w:r>
      <w:r>
        <w:t>‐metal migration allows functionalization of C−H bonds on a remote site that are otherwise difficult to achieve. However, until now, forging C−Si bond via migratory cross‐coupling seems to have not been presented. Herein, we report a nickel/photoredox dual‐catalyzed migratory cross‐coupling that enables the first formal remote C(</w:t>
      </w:r>
      <w:r>
        <w:t xml:space="preserve"> </w:t>
      </w:r>
      <w:r>
        <w:t>sp</w:t>
      </w:r>
      <w:r>
        <w:rPr>
          <w:vertAlign w:val="subscript"/>
        </w:rPr>
        <w:t>2</w:t>
      </w:r>
      <w:r>
        <w:t>)–H silylation with chlorosilanes, thus achieving site‐selective</w:t>
      </w:r>
      <w:r>
        <w:t xml:space="preserve"> </w:t>
      </w:r>
      <w:r>
        <w:t>ipso</w:t>
      </w:r>
      <w:r>
        <w:t xml:space="preserve"> </w:t>
      </w:r>
      <w:r>
        <w:t>/</w:t>
      </w:r>
      <w:r>
        <w:t>ortho</w:t>
      </w:r>
      <w:r>
        <w:t xml:space="preserve"> </w:t>
      </w:r>
      <w:r>
        <w:t>‐difunctionalization of readily available aryl bromides. The protocol proceeds under visible‐light irradiation without stoichiometric metallic reductants and delivers a broad array of multisubstituted arylsilanes with excellent chemo‐, regio‐, and</w:t>
      </w:r>
      <w:r>
        <w:t xml:space="preserve"> </w:t>
      </w:r>
      <w:r>
        <w:t>E</w:t>
      </w:r>
      <w:r>
        <w:t xml:space="preserve"> </w:t>
      </w:r>
      <w:r>
        <w:t>/</w:t>
      </w:r>
      <w:r>
        <w:t>Z</w:t>
      </w:r>
      <w:r>
        <w:t xml:space="preserve"> </w:t>
      </w:r>
      <w:r>
        <w:t>‐selectivity. The synthetic utility of the method is further demonstrated through diverse downstream transformations and the preparation of silicon‐containing polymers, highlighting its potential in complex molecule synthesis and materials chemistry.</w:t>
      </w:r>
    </w:p>
    <w:p>
      <w:pPr>
        <w:spacing w:before="120" w:after="120"/>
      </w:pPr>
      <w:r>
        <w:rPr>
          <w:sz w:val="18"/>
        </w:rPr>
        <w:t>——————————————————————————————————————————————————————————————————————</w:t>
      </w:r>
    </w:p>
    <w:p>
      <w:pPr>
        <w:spacing w:before="160" w:after="40" w:line="240" w:lineRule="auto"/>
      </w:pPr>
      <w:r>
        <w:rPr>
          <w:b/>
        </w:rPr>
        <w:t xml:space="preserve">[24] </w:t>
      </w:r>
      <w:hyperlink r:id="rId341">
        <w:r>
          <w:rPr>
            <w:color w:val="1155CC"/>
            <w:u w:val="single"/>
          </w:rPr>
          <w:t>用于眼部护理的分子构象锁定和高效窄带深蓝色有机电致发光</w:t>
        </w:r>
      </w:hyperlink>
    </w:p>
    <w:p>
      <w:pPr>
        <w:spacing w:before="0" w:after="80"/>
      </w:pPr>
      <w:r>
        <w:rPr>
          <w:i/>
          <w:sz w:val="20"/>
        </w:rPr>
        <w:t>EN: Molecular Conformation‐Locking for Eye Care and Highly Efficient Narrowband Deep‐Blue Organic Electroluminescence</w:t>
      </w:r>
    </w:p>
    <w:p>
      <w:pPr>
        <w:spacing w:before="0" w:after="120"/>
      </w:pPr>
      <w:r>
        <w:rPr>
          <w:b/>
        </w:rPr>
        <w:t xml:space="preserve">Source: </w:t>
      </w:r>
      <w:r>
        <w:t>Wiley: Angewandte Chemie International Edition: Table of Contents</w:t>
      </w:r>
      <w:r>
        <w:t xml:space="preserve">    </w:t>
      </w:r>
      <w:r>
        <w:rPr>
          <w:b/>
        </w:rPr>
        <w:t xml:space="preserve">Pub date: </w:t>
      </w:r>
      <w:r>
        <w:t>2026-05-30 11:38:51+00:00</w:t>
      </w:r>
      <w:r>
        <w:t xml:space="preserve">    </w:t>
      </w:r>
      <w:r>
        <w:rPr>
          <w:b/>
        </w:rPr>
        <w:t xml:space="preserve">DOI: </w:t>
      </w:r>
      <w:hyperlink r:id="rId342">
        <w:r>
          <w:rPr>
            <w:color w:val="1155CC"/>
            <w:u w:val="single"/>
          </w:rPr>
          <w:t>10.1002/anie.4464375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高色彩纯度显示器的进步要求深蓝色发射器能够满足严格的比色标准，同时最大限度地减少对眼睛健康的光生物学风险。我们提出了一种骨骼刚性策略，将五元氧杂环融合到经典的 MR-TADF 骨架中（</w:t>
      </w:r>
      <w:r>
        <w:t xml:space="preserve"> </w:t>
      </w:r>
      <w:r>
        <w:t>ν</w:t>
      </w:r>
      <w:r>
        <w:t xml:space="preserve"> </w:t>
      </w:r>
      <w:r>
        <w:t>‐DABNA），它通过芳香融合和构象锁定同时引入刚性增强。这种方法导致了光学带隙的增加和分子内C-H·O二次相互作用的形成，从而导致系统的蓝移和变窄的发射光谱。在甲苯溶液中，概念验证分子，</w:t>
      </w:r>
      <w:r>
        <w:t xml:space="preserve"> </w:t>
      </w:r>
      <w:r>
        <w:t>v</w:t>
      </w:r>
      <w:r>
        <w:t xml:space="preserve"> </w:t>
      </w:r>
      <w:r>
        <w:t>‐DABNA-O，表现出窄带深蓝色发射峰，峰值为 460.4 nm，超窄半峰全宽 (FWHM) 为 12.0/69.8 nm/meV。结果，</w:t>
      </w:r>
      <w:r>
        <w:t xml:space="preserve"> </w:t>
      </w:r>
      <w:r>
        <w:t>ν</w:t>
      </w:r>
      <w:r>
        <w:t xml:space="preserve"> </w:t>
      </w:r>
      <w:r>
        <w:t>‐带有敏化剂的基于 DABNA 的器件可实现 36.1% 的最大外量子效率、半高宽为 17.9/95.4 nm/meV 的窄电致发光光谱以及国际照明委员会坐标 (0.135, 0.091)。至关重要的是，该设备实现了对 450 nm 以下高能发射的大幅抑制，直接满足了视觉安全的要求。这项工作通过同时实现超窄发射带宽、精确定位的发射峰和抑制低于 450 nm 的光谱强度，成功解决了深蓝色发射器的三难困境。</w:t>
      </w:r>
    </w:p>
    <w:p>
      <w:pPr>
        <w:spacing w:before="0" w:after="200" w:lineRule="auto" w:line="276"/>
      </w:pPr>
      <w:r>
        <w:rPr>
          <w:b/>
        </w:rPr>
        <w:t xml:space="preserve">Abstract (EN): </w:t>
      </w:r>
      <w:r>
        <w:t>The advancement of high‐color‐purity displays demands deep‐blue emitters that fulfil stringent colorimetric standards while minimizing photobiological risks to eye health. We propose a skeletal rigidity strategy by fusing a five‐membered oxa‐heterocycle into a classical MR‐TADF skeleton (</w:t>
      </w:r>
      <w:r>
        <w:t xml:space="preserve"> </w:t>
      </w:r>
      <w:r>
        <w:t>ν</w:t>
      </w:r>
      <w:r>
        <w:t xml:space="preserve"> </w:t>
      </w:r>
      <w:r>
        <w:t>‐DABNA), which simultaneously introduces rigidity enhancement via aromatic fusion and conformational locking. This approach resulted in an increased optical bandgap and the formation of intramolecular C–H···O secondary interactions, and thus a systematic blue‐shift and narrowing emission spectrum. In toluene solution, the proof‐of‐concept molecule,</w:t>
      </w:r>
      <w:r>
        <w:t xml:space="preserve"> </w:t>
      </w:r>
      <w:r>
        <w:t>v</w:t>
      </w:r>
      <w:r>
        <w:t xml:space="preserve"> </w:t>
      </w:r>
      <w:r>
        <w:t>‐DABNA‐O, exhibits a narrowband deep‐blue emission peaking at 460.4 nm, with an ultra‐narrow full‐width at half maximum (FWHM) of 12.0/69.8 nm/meV. As a result, the</w:t>
      </w:r>
      <w:r>
        <w:t xml:space="preserve"> </w:t>
      </w:r>
      <w:r>
        <w:t>ν</w:t>
      </w:r>
      <w:r>
        <w:t xml:space="preserve"> </w:t>
      </w:r>
      <w:r>
        <w:t>‐DABNA‐based device with a sensitizer achieves a maximum external quantum efficiency of 36.1%, a narrow electroluminescence spectrum with an FWHM of 17.9/95.4 nm/meV, and a Commission Internationale de l’Éclairage coordinate of (0.135, 0.091). Crucially, the device achieves a sharp suppression of high‐energy emission below 450 nm, directly addressing the imperative for visual safety. This work successfully addresses the trilemma in deep‐blue emitters by simultaneously achieving an ultra‐narrow emission bandwidth, a precisely positioned emission peak, and suppressed spectral intensity below 450 nm.</w:t>
      </w:r>
    </w:p>
    <w:p>
      <w:pPr>
        <w:spacing w:before="120" w:after="120"/>
      </w:pPr>
      <w:r>
        <w:rPr>
          <w:sz w:val="18"/>
        </w:rPr>
        <w:t>——————————————————————————————————————————————————————————————————————</w:t>
      </w:r>
    </w:p>
    <w:p>
      <w:pPr>
        <w:spacing w:before="160" w:after="40" w:line="240" w:lineRule="auto"/>
      </w:pPr>
      <w:r>
        <w:rPr>
          <w:b/>
        </w:rPr>
        <w:t xml:space="preserve">[25] </w:t>
      </w:r>
      <w:hyperlink r:id="rId343">
        <w:r>
          <w:rPr>
            <w:color w:val="1155CC"/>
            <w:u w:val="single"/>
          </w:rPr>
          <w:t>开发用于 19F 磁共振成像的具有受控体内行为的亚 50 nm 核壳二氧化硅纳米粒子</w:t>
        </w:r>
      </w:hyperlink>
    </w:p>
    <w:p>
      <w:pPr>
        <w:spacing w:before="0" w:after="80"/>
      </w:pPr>
      <w:r>
        <w:rPr>
          <w:i/>
          <w:sz w:val="20"/>
        </w:rPr>
        <w:t>EN: Development of Sub‐50 nm Core–Shell Silica Nanoparticles With Controlled In Vivo Behavior for 19F Magnetic Resonance Imaging</w:t>
      </w:r>
    </w:p>
    <w:p>
      <w:pPr>
        <w:spacing w:before="0" w:after="120"/>
      </w:pPr>
      <w:r>
        <w:rPr>
          <w:b/>
        </w:rPr>
        <w:t xml:space="preserve">Source: </w:t>
      </w:r>
      <w:r>
        <w:t>Wiley: Angewandte Chemie International Edition: Table of Contents</w:t>
      </w:r>
      <w:r>
        <w:t xml:space="preserve">    </w:t>
      </w:r>
      <w:r>
        <w:rPr>
          <w:b/>
        </w:rPr>
        <w:t xml:space="preserve">Pub date: </w:t>
      </w:r>
      <w:r>
        <w:t>2026-05-30 11:39:34+00:00</w:t>
      </w:r>
      <w:r>
        <w:t xml:space="preserve">    </w:t>
      </w:r>
      <w:r>
        <w:rPr>
          <w:b/>
        </w:rPr>
        <w:t xml:space="preserve">DOI: </w:t>
      </w:r>
      <w:hyperlink r:id="rId344">
        <w:r>
          <w:rPr>
            <w:color w:val="1155CC"/>
            <w:u w:val="single"/>
          </w:rPr>
          <w:t>10.1002/anie.5486910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rPr>
          <w:vertAlign w:val="subscript"/>
        </w:rPr>
        <w:t>19</w:t>
      </w:r>
      <w:r>
        <w:t>F 磁共振成像（</w:t>
      </w:r>
      <w:r>
        <w:rPr>
          <w:vertAlign w:val="subscript"/>
        </w:rPr>
        <w:t>19</w:t>
      </w:r>
      <w:r>
        <w:t>F MRI）能够实现定量和无背景检测，但其固有的低灵敏度要求探针具有高氟密度和良好的药代动力学。全氟化碳（PFC）封装的纳米粒子是一类有前途的</w:t>
      </w:r>
      <w:r>
        <w:rPr>
          <w:vertAlign w:val="subscript"/>
        </w:rPr>
        <w:t>19</w:t>
      </w:r>
      <w:r>
        <w:t>F MRI 探头表现出高</w:t>
      </w:r>
      <w:r>
        <w:rPr>
          <w:vertAlign w:val="subscript"/>
        </w:rPr>
        <w:t>19</w:t>
      </w:r>
      <w:r>
        <w:t>F MR 灵敏度。然而，它们相对较大的尺寸（通常超过 70 nm）导致肝脏清除缓慢和有限的肿瘤积累。在此，我们开发了亚 50 nm 全氟 15 冠 5 醚 (PFCE) 负载的核壳二氧化硅纳米粒子 (s-FLAME)，它结合了高</w:t>
      </w:r>
      <w:r>
        <w:rPr>
          <w:vertAlign w:val="subscript"/>
        </w:rPr>
        <w:t>19</w:t>
      </w:r>
      <w:r>
        <w:t>F 信号强度具有减小的尺寸分布。所建立的一锅双乳液合成缩短了二氧化硅壳的形成时间，抑制了液滴聚结，并以较小的尺寸动力学固定了 PFCE 乳液，从而制备了核直径为 30 nm 的均匀核壳纳米颗粒 (s-FLAME-OH)，明显小于之前报道的液体核系统。共缩合方法产生了羧基功能化纳米颗粒（s-FLAME-COOH），可降低细胞毒性并提高胶体稳定性。由此产生的纳米粒子表现出很强的、浓度依赖性</w:t>
      </w:r>
      <w:r>
        <w:rPr>
          <w:vertAlign w:val="subscript"/>
        </w:rPr>
        <w:t>19</w:t>
      </w:r>
      <w:r>
        <w:t>F MRI 信号。体内</w:t>
      </w:r>
      <w:r>
        <w:rPr>
          <w:vertAlign w:val="subscript"/>
        </w:rPr>
        <w:t>19</w:t>
      </w:r>
      <w:r>
        <w:t>F MRI 显示肝加速</w:t>
      </w:r>
    </w:p>
    <w:p>
      <w:pPr>
        <w:spacing w:before="0" w:after="200" w:lineRule="auto" w:line="276"/>
      </w:pPr>
      <w:r>
        <w:rPr>
          <w:b/>
        </w:rPr>
        <w:t xml:space="preserve">Abstract (EN): </w:t>
      </w:r>
      <w:r>
        <w:rPr>
          <w:vertAlign w:val="subscript"/>
        </w:rPr>
        <w:t>19</w:t>
      </w:r>
      <w:r>
        <w:t>F magnetic resonance imaging (</w:t>
      </w:r>
      <w:r>
        <w:rPr>
          <w:vertAlign w:val="subscript"/>
        </w:rPr>
        <w:t>19</w:t>
      </w:r>
      <w:r>
        <w:t>F MRI) enables quantitative and background‐free detection, but its inherently low sensitivity demands probes with high fluorine density and favorable pharmacokinetics. Perfluorocarbon (PFC)‐encapsulated nanoparticles are a promising class of</w:t>
      </w:r>
      <w:r>
        <w:rPr>
          <w:vertAlign w:val="subscript"/>
        </w:rPr>
        <w:t>19</w:t>
      </w:r>
      <w:r>
        <w:t>F MRI probes that demonstrate high</w:t>
      </w:r>
      <w:r>
        <w:rPr>
          <w:vertAlign w:val="subscript"/>
        </w:rPr>
        <w:t>19</w:t>
      </w:r>
      <w:r>
        <w:t>F MR sensitivity. However, their relatively large size (usually over 70 nm) results in slow hepatic clearance and limited tumor accumulation. Herein, we developed sub‐50 nm perfluoro‐15‐crown‐5‐ether (PFCE)‐loaded core–shell silica nanoparticles (s‐FLAME), which combine high</w:t>
      </w:r>
      <w:r>
        <w:rPr>
          <w:vertAlign w:val="subscript"/>
        </w:rPr>
        <w:t>19</w:t>
      </w:r>
      <w:r>
        <w:t>F signal intensity with reduced size distribution. The established one‐pot double‐emulsion‐based synthesis shortened the silica shell formation time, suppressed droplet coalescence, and kinetically fixed PFCE emulsions at smaller sizes, resulting in the preparation of uniform core–shell nanoparticles (s‐FLAME‐OH) with a core diameter of 30 nm—significantly smaller than previously reported liquid‐core systems. A co‐condensation approach yielded carboxyl‐functionalized nanoparticles (s‐FLAME‐COOH), which reduced cytotoxicity and improved colloidal stability. The resulting nanoparticles exhibited strong, concentration‐dependent</w:t>
      </w:r>
      <w:r>
        <w:rPr>
          <w:vertAlign w:val="subscript"/>
        </w:rPr>
        <w:t>19</w:t>
      </w:r>
      <w:r>
        <w:t>F MRI signals. In vivo</w:t>
      </w:r>
      <w:r>
        <w:rPr>
          <w:vertAlign w:val="subscript"/>
        </w:rPr>
        <w:t>19</w:t>
      </w:r>
      <w:r>
        <w:t>F MRI revealed accelerated hepatic clearance and tumor‐associated signals, indicating size‐dependent biodistribution. This study establishes a versatile strategy for tuning the size and surface chemistry of silica‐based</w:t>
      </w:r>
      <w:r>
        <w:rPr>
          <w:vertAlign w:val="subscript"/>
        </w:rPr>
        <w:t>19</w:t>
      </w:r>
      <w:r>
        <w:t>F MRI nanoprobes to achieve controlled in vivo behaviors, providing a promising platform for future molecular imaging applications.</w:t>
      </w:r>
    </w:p>
    <w:p>
      <w:pPr>
        <w:spacing w:before="120" w:after="120"/>
      </w:pPr>
      <w:r>
        <w:rPr>
          <w:sz w:val="18"/>
        </w:rPr>
        <w:t>——————————————————————————————————————————————————————————————————————</w:t>
      </w:r>
    </w:p>
    <w:p>
      <w:pPr>
        <w:spacing w:before="160" w:after="40" w:line="240" w:lineRule="auto"/>
      </w:pPr>
      <w:r>
        <w:rPr>
          <w:b/>
        </w:rPr>
        <w:t xml:space="preserve">[26] </w:t>
      </w:r>
      <w:hyperlink r:id="rId345">
        <w:r>
          <w:rPr>
            <w:color w:val="1155CC"/>
            <w:u w:val="single"/>
          </w:rPr>
          <w:t>金(III)半醌配合物：合成、结构及其在光催化中的应用</w:t>
        </w:r>
      </w:hyperlink>
    </w:p>
    <w:p>
      <w:pPr>
        <w:spacing w:before="0" w:after="80"/>
      </w:pPr>
      <w:r>
        <w:rPr>
          <w:i/>
          <w:sz w:val="20"/>
        </w:rPr>
        <w:t>EN: Gold(III) Semiquinone Complexes: Synthesis, Structure, and Application in Photocatalysis</w:t>
      </w:r>
    </w:p>
    <w:p>
      <w:pPr>
        <w:spacing w:before="0" w:after="120"/>
      </w:pPr>
      <w:r>
        <w:rPr>
          <w:b/>
        </w:rPr>
        <w:t xml:space="preserve">Source: </w:t>
      </w:r>
      <w:r>
        <w:t>Wiley: Angewandte Chemie International Edition: Table of Contents</w:t>
      </w:r>
      <w:r>
        <w:t xml:space="preserve">    </w:t>
      </w:r>
      <w:r>
        <w:rPr>
          <w:b/>
        </w:rPr>
        <w:t xml:space="preserve">Pub date: </w:t>
      </w:r>
      <w:r>
        <w:t>2026-05-30 11:39:37+00:00</w:t>
      </w:r>
      <w:r>
        <w:t xml:space="preserve">    </w:t>
      </w:r>
      <w:r>
        <w:rPr>
          <w:b/>
        </w:rPr>
        <w:t xml:space="preserve">DOI: </w:t>
      </w:r>
      <w:hyperlink r:id="rId346">
        <w:r>
          <w:rPr>
            <w:color w:val="1155CC"/>
            <w:u w:val="single"/>
          </w:rPr>
          <w:t>10.1002/anie.9925350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最近，半稳定配体被发现能够实现双电子 Au(I)/Au(III) 氧化还原循环。然而，单电子过程和氧化还原活性配体在金化学中的使用仍然很大程度上尚未得到充分探索。在这里，我们报告了 Au(III) 半醌配合物的合成、分离、全面表征和首次光催化应用。后者很容易通过儿茶酚金 (Au(III)) 前体的单电子氧化获得。实验和 DFT 研究表明氧化发生在 O^O 配体处，而金中心保留其 +3 氧化态。由于其方形平面几何形状和富电子特性，Au(III) 儿茶酚酸盐配合物很容易与有机底物发生电子供体-受体 (EDA) 相互作用。在可见光照射下，这些 EDA 加合物发生光诱导单电子转移，从而能够从芳基重氮盐生成芳基自由基。这种反应活性可在温和条件下转化为杂环的高效光催化 C-H 芳基化，具有广泛的底物范围和高官能团耐受性。氧化还原活性和辅助配体的变化提供了一种简单的方法来调整系统，从而实现了催化优化，正如具有挑战性的富电子芳基重氮伙伴所证实的那样。与已建立的金光氧化还原系统在机制上不同，这项工作描绘了一种独立的 Au(III) 介导的光氧化还原催化的新策略，并强调了氧化还原活性配体在扩大金配合物反应性方面的更广泛潜力。</w:t>
      </w:r>
    </w:p>
    <w:p>
      <w:pPr>
        <w:spacing w:before="0" w:after="200" w:lineRule="auto" w:line="276"/>
      </w:pPr>
      <w:r>
        <w:rPr>
          <w:b/>
        </w:rPr>
        <w:t xml:space="preserve">Abstract (EN): </w:t>
      </w:r>
      <w:r>
        <w:t>Recently, hemilabile ligands have been found to enable two‐electron Au(I)/Au(III) redox cycling. Yet, single‐electron processes and the use of redox‐active ligands in gold chemistry remain largely underexplored. Here, we report the synthesis, isolation, full characterization and first photocatalytic application of Au(III) semiquinone complexes. The latter are easily obtained via one‐electron oxidation of Au(III) catecholate precursors. Experimental and DFT studies establish that oxidation occurs at the O^O ligand while the gold center retains its +3 oxidation state. Owing to their square‐planar geometry and electron‐rich character, Au(III) catecholate complexes readily engage into electron donor–acceptor (EDA) interactions with organic substrates. Upon visible‐light irradiation, these EDA adducts undergo photoinduced single‐electron transfer, enabling the generation of aryl radicals from aryldiazonium salts. This reactivity translates into efficient photocatalytic C–H arylation of heterocycles under mild conditions, with broad substrate scope and high functional group tolerance. Variation of the redox‐active and ancillary ligands provides a simple means to tune the system, enabling catalytic optimization as substantiated with challenging electron‐rich aryldiazonium partners. Mechanistically distinct from established gold photoredox systems, this work delineates a new strategy for standalone Au(III)‐mediated photoredox catalysis and highlights the broader potential of redox‐active ligands in expanding the reactivity landscape of gold complexes.</w:t>
      </w:r>
    </w:p>
    <w:p>
      <w:pPr>
        <w:spacing w:before="120" w:after="120"/>
      </w:pPr>
      <w:r>
        <w:rPr>
          <w:sz w:val="18"/>
        </w:rPr>
        <w:t>——————————————————————————————————————————————————————————————————————</w:t>
      </w:r>
    </w:p>
    <w:p>
      <w:pPr>
        <w:spacing w:before="160" w:after="40" w:line="240" w:lineRule="auto"/>
      </w:pPr>
      <w:r>
        <w:rPr>
          <w:b/>
        </w:rPr>
        <w:t xml:space="preserve">[27] </w:t>
      </w:r>
      <w:hyperlink r:id="rId347">
        <w:r>
          <w:rPr>
            <w:color w:val="1155CC"/>
            <w:u w:val="single"/>
          </w:rPr>
          <w:t>卤化铋钙钛矿纳米点修饰的 TiO2 纳米管光催化合成芳香腈</w:t>
        </w:r>
      </w:hyperlink>
    </w:p>
    <w:p>
      <w:pPr>
        <w:spacing w:before="0" w:after="80"/>
      </w:pPr>
      <w:r>
        <w:rPr>
          <w:i/>
          <w:sz w:val="20"/>
        </w:rPr>
        <w:t>EN: Photocatalytic Synthesis of Aromatic Nitriles Using TiO2 Nanotubes Decorated With Bismuth Halide Perovskite Nanodots</w:t>
      </w:r>
    </w:p>
    <w:p>
      <w:pPr>
        <w:spacing w:before="0" w:after="120"/>
      </w:pPr>
      <w:r>
        <w:rPr>
          <w:b/>
        </w:rPr>
        <w:t xml:space="preserve">Source: </w:t>
      </w:r>
      <w:r>
        <w:t>Wiley: Angewandte Chemie International Edition: Table of Contents</w:t>
      </w:r>
      <w:r>
        <w:t xml:space="preserve">    </w:t>
      </w:r>
      <w:r>
        <w:rPr>
          <w:b/>
        </w:rPr>
        <w:t xml:space="preserve">Pub date: </w:t>
      </w:r>
      <w:r>
        <w:t>2026-05-30 11:40:57+00:00</w:t>
      </w:r>
      <w:r>
        <w:t xml:space="preserve">    </w:t>
      </w:r>
      <w:r>
        <w:rPr>
          <w:b/>
        </w:rPr>
        <w:t xml:space="preserve">DOI: </w:t>
      </w:r>
      <w:hyperlink r:id="rId348">
        <w:r>
          <w:rPr>
            <w:color w:val="1155CC"/>
            <w:u w:val="single"/>
          </w:rPr>
          <w:t>10.1002/anie.5169596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通过甲基芳烃氨氧化合成芳香腈通常需要苛刻的反应条件（≥ 350°C 或 ≥ 15 bar O</w:t>
      </w:r>
      <w:r>
        <w:rPr>
          <w:vertAlign w:val="subscript"/>
        </w:rPr>
        <w:t>2</w:t>
      </w:r>
      <w:r>
        <w:t>）。这里，二氧化钛</w:t>
      </w:r>
      <w:r>
        <w:rPr>
          <w:vertAlign w:val="subscript"/>
        </w:rPr>
        <w:t>2</w:t>
      </w:r>
      <w:r>
        <w:t>卤化物钙钛矿 Cs 均匀修饰的纳米管 (NT)</w:t>
      </w:r>
      <w:r>
        <w:rPr>
          <w:vertAlign w:val="subscript"/>
        </w:rPr>
        <w:t>3</w:t>
      </w:r>
      <w:r>
        <w:t>毕</w:t>
      </w:r>
      <w:r>
        <w:rPr>
          <w:vertAlign w:val="subscript"/>
        </w:rPr>
        <w:t>2</w:t>
      </w:r>
      <w:r>
        <w:t>溴</w:t>
      </w:r>
      <w:r>
        <w:rPr>
          <w:vertAlign w:val="subscript"/>
        </w:rPr>
        <w:t>9</w:t>
      </w:r>
      <w:r>
        <w:t>(CBB) 纳米点（&lt; 2 nm）被确立为可持续合成芳香腈的有效光催化剂。产率高达 353 µmol g</w:t>
      </w:r>
      <w:r>
        <w:t xml:space="preserve"> </w:t>
      </w:r>
      <w:r>
        <w:t>−1</w:t>
      </w:r>
      <w:r>
        <w:t xml:space="preserve"> </w:t>
      </w:r>
      <w:r>
        <w:t>小时</w:t>
      </w:r>
      <w:r>
        <w:t xml:space="preserve"> </w:t>
      </w:r>
      <w:r>
        <w:t>−1</w:t>
      </w:r>
      <w:r>
        <w:t xml:space="preserve"> </w:t>
      </w:r>
      <w:r>
        <w:t>是在温和条件下（100°C–120°C、1–4 bar 和蓝光照射）实现的，具有良好的腈选择性 (85%–88%)。增强的光诱导电荷扩散和 CBB 纳米点的结构稳定性提供了优异的量子效率（高达 26.7%），并且在长期氨氧化（45 小时）中具有持续的光催化活性。此外，11 个甲基芳烃在 CBB/TiO 上成功转化为相应的腈</w:t>
      </w:r>
      <w:r>
        <w:rPr>
          <w:vertAlign w:val="subscript"/>
        </w:rPr>
        <w:t>2</w:t>
      </w:r>
      <w:r>
        <w:t>NT光触媒。机理研究揭示了钙钛矿纳米点和TiO之间的协同催化作用</w:t>
      </w:r>
      <w:r>
        <w:rPr>
          <w:vertAlign w:val="subscript"/>
        </w:rPr>
        <w:t>2</w:t>
      </w:r>
      <w:r>
        <w:t>NT。 CBB纳米点活化苄基C(sp</w:t>
      </w:r>
      <w:r>
        <w:rPr>
          <w:vertAlign w:val="subscript"/>
        </w:rPr>
        <w:t>3</w:t>
      </w:r>
      <w:r>
        <w:t>)–H键并促进醛亚胺中间体的氧化，而TiO</w:t>
      </w:r>
      <w:r>
        <w:rPr>
          <w:vertAlign w:val="subscript"/>
        </w:rPr>
        <w:t>2</w:t>
      </w:r>
      <w:r>
        <w:t>NTs具有独特的酒精吸附能力</w:t>
      </w:r>
    </w:p>
    <w:p>
      <w:pPr>
        <w:spacing w:before="0" w:after="200" w:lineRule="auto" w:line="276"/>
      </w:pPr>
      <w:r>
        <w:rPr>
          <w:b/>
        </w:rPr>
        <w:t xml:space="preserve">Abstract (EN): </w:t>
      </w:r>
      <w:r>
        <w:t>The aromatic nitrile synthesis via ammoxidation of methylarenes typically requires harsh reaction conditions (≥ 350°C or ≥ 15 bar O</w:t>
      </w:r>
      <w:r>
        <w:rPr>
          <w:vertAlign w:val="subscript"/>
        </w:rPr>
        <w:t>2</w:t>
      </w:r>
      <w:r>
        <w:t>). Here, TiO</w:t>
      </w:r>
      <w:r>
        <w:rPr>
          <w:vertAlign w:val="subscript"/>
        </w:rPr>
        <w:t>2</w:t>
      </w:r>
      <w:r>
        <w:t>nanotubes (NTs) homogeneously decorated with halide perovskite Cs</w:t>
      </w:r>
      <w:r>
        <w:rPr>
          <w:vertAlign w:val="subscript"/>
        </w:rPr>
        <w:t>3</w:t>
      </w:r>
      <w:r>
        <w:t>Bi</w:t>
      </w:r>
      <w:r>
        <w:rPr>
          <w:vertAlign w:val="subscript"/>
        </w:rPr>
        <w:t>2</w:t>
      </w:r>
      <w:r>
        <w:t>Br</w:t>
      </w:r>
      <w:r>
        <w:rPr>
          <w:vertAlign w:val="subscript"/>
        </w:rPr>
        <w:t>9</w:t>
      </w:r>
      <w:r>
        <w:t>(CBB) nanodots (&amp;lt; 2 nm) were established as efficient photocatalysts for the sustainable synthesis of aromatic nitriles. A yield rate up to 353 µmol g</w:t>
      </w:r>
      <w:r>
        <w:t xml:space="preserve"> </w:t>
      </w:r>
      <w:r>
        <w:t>−1</w:t>
      </w:r>
      <w:r>
        <w:t xml:space="preserve"> </w:t>
      </w:r>
      <w:r>
        <w:t>h</w:t>
      </w:r>
      <w:r>
        <w:t xml:space="preserve"> </w:t>
      </w:r>
      <w:r>
        <w:t>−1</w:t>
      </w:r>
      <w:r>
        <w:t xml:space="preserve"> </w:t>
      </w:r>
      <w:r>
        <w:t>was achieved under mild conditions (100°C–120°C, 1–4 bar, and blue light irradiation) with decent nitrile selectivity (85%–88%). Enhanced photo‐induced charge diffusion and structural stability of CBB nanodots afforded excellent quantum efficiencies (up to 26.7%) and sustained photocatalytic activity in long‐term ammoxidation (45 h). Additionally, 11 methylarenes were successfully converted to the corresponding nitriles over the CBB/TiO</w:t>
      </w:r>
      <w:r>
        <w:rPr>
          <w:vertAlign w:val="subscript"/>
        </w:rPr>
        <w:t>2</w:t>
      </w:r>
      <w:r>
        <w:t>NT photocatalyst. Mechanism investigations revealed a synergistic catalytic effect between perovskite nanodots and TiO</w:t>
      </w:r>
      <w:r>
        <w:rPr>
          <w:vertAlign w:val="subscript"/>
        </w:rPr>
        <w:t>2</w:t>
      </w:r>
      <w:r>
        <w:t>NTs. CBB nanodots activated benzylic C(sp</w:t>
      </w:r>
      <w:r>
        <w:rPr>
          <w:vertAlign w:val="subscript"/>
        </w:rPr>
        <w:t>3</w:t>
      </w:r>
      <w:r>
        <w:t>)–H bonds and promoted the oxidation of aldimine intermediates, while TiO</w:t>
      </w:r>
      <w:r>
        <w:rPr>
          <w:vertAlign w:val="subscript"/>
        </w:rPr>
        <w:t>2</w:t>
      </w:r>
      <w:r>
        <w:t>NTs with unique adsorption of alcohol intermediates accelerated their partial oxidation to aldehydes.</w:t>
      </w:r>
    </w:p>
    <w:p>
      <w:pPr>
        <w:spacing w:before="120" w:after="120"/>
      </w:pPr>
      <w:r>
        <w:rPr>
          <w:sz w:val="18"/>
        </w:rPr>
        <w:t>——————————————————————————————————————————————————————————————————————</w:t>
      </w:r>
    </w:p>
    <w:p>
      <w:pPr>
        <w:spacing w:before="160" w:after="40" w:line="240" w:lineRule="auto"/>
      </w:pPr>
      <w:r>
        <w:rPr>
          <w:b/>
        </w:rPr>
        <w:t xml:space="preserve">[28] </w:t>
      </w:r>
      <w:hyperlink r:id="rId349">
        <w:r>
          <w:rPr>
            <w:color w:val="1155CC"/>
            <w:u w:val="single"/>
          </w:rPr>
          <w:t>铋与弱配位阴离子的偶联能力</w:t>
        </w:r>
      </w:hyperlink>
    </w:p>
    <w:p>
      <w:pPr>
        <w:spacing w:before="0" w:after="80"/>
      </w:pPr>
      <w:r>
        <w:rPr>
          <w:i/>
          <w:sz w:val="20"/>
        </w:rPr>
        <w:t>EN: On the Ability of Bismuth to Couple Weakly Coordinating Anions</w:t>
      </w:r>
    </w:p>
    <w:p>
      <w:pPr>
        <w:spacing w:before="0" w:after="120"/>
      </w:pPr>
      <w:r>
        <w:rPr>
          <w:b/>
        </w:rPr>
        <w:t xml:space="preserve">Source: </w:t>
      </w:r>
      <w:r>
        <w:t>Wiley: Angewandte Chemie International Edition: Table of Contents</w:t>
      </w:r>
      <w:r>
        <w:t xml:space="preserve">    </w:t>
      </w:r>
      <w:r>
        <w:rPr>
          <w:b/>
        </w:rPr>
        <w:t xml:space="preserve">Pub date: </w:t>
      </w:r>
      <w:r>
        <w:t>2026-05-30 11:42:52+00:00</w:t>
      </w:r>
      <w:r>
        <w:t xml:space="preserve">    </w:t>
      </w:r>
      <w:r>
        <w:rPr>
          <w:b/>
        </w:rPr>
        <w:t xml:space="preserve">DOI: </w:t>
      </w:r>
      <w:hyperlink r:id="rId350">
        <w:r>
          <w:rPr>
            <w:color w:val="1155CC"/>
            <w:u w:val="single"/>
          </w:rPr>
          <w:t>10.1002/anie.6127002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与芳基重氮盐类似，高价铋物质已被证明可以促进弱配位阴离子（WCA）（例如三氟甲磺酸根和四氟硼酸根）的偶联。在这项研究中，我们通过量化高价铋化学中的标量相对论效应来确定这些转变的驱动力的起源。相对论极限和非相对论极限之间的全电子 DFT 比较揭示了前一个框架中 Bi 6s 轨道的显着稳定性。结果，Bi(V)/Bi(III)过程的结构和前沿轨道能量受到严重影响，从而对还原消除产生显着影响。具体来说，Bi 的相对论贡献可以在不同的尺度上观察到，从简单的单原子模型到复杂的反应曲线。这些结果合理化了催化相关 Bi(V) 配合物的 WCA 偶联，并为 Bi(III) 在铋介导的成键形成中成为异常有效的离核剂奠定了基础。</w:t>
      </w:r>
    </w:p>
    <w:p>
      <w:pPr>
        <w:spacing w:before="0" w:after="200" w:lineRule="auto" w:line="276"/>
      </w:pPr>
      <w:r>
        <w:rPr>
          <w:b/>
        </w:rPr>
        <w:t xml:space="preserve">Abstract (EN): </w:t>
      </w:r>
      <w:r>
        <w:t>Similar to aryldiazonium salts, hypervalent bismuth species have been shown to promote coupling of weakly coordinating anions (WCAs) such as triflate and tetrafluoroborate. In this study, we identify the origin of the driving force for these transformations by quantifying scalar relativistic effects in high‑valent bismuth chemistry. All‑electron DFT comparisons between relativistic and non‑relativistic limits reveal pronounced stabilization of the Bi 6s orbital in the former framework. As a result, the structure and frontier‑orbital energetics of the Bi(V)/Bi(III) processes are heavily affected, thus having a pronounced effect on the reductive elimination. Specifically, relativistic contributions to Bi could be observed on different scales ranging from a simple monoatomic model to complex reaction profiles. These results rationalize the facile WCA coupling from catalytically relevant Bi(V) complexes and establish the basis of why Bi(III) is an exceptionally potent nucleofuge in bismuth‑mediated bond formation.</w:t>
      </w:r>
    </w:p>
    <w:p>
      <w:pPr>
        <w:spacing w:before="120" w:after="120"/>
      </w:pPr>
      <w:r>
        <w:rPr>
          <w:sz w:val="18"/>
        </w:rPr>
        <w:t>——————————————————————————————————————————————————————————————————————</w:t>
      </w:r>
    </w:p>
    <w:p>
      <w:pPr>
        <w:spacing w:before="160" w:after="40" w:line="240" w:lineRule="auto"/>
      </w:pPr>
      <w:r>
        <w:rPr>
          <w:b/>
        </w:rPr>
        <w:t xml:space="preserve">[29] </w:t>
      </w:r>
      <w:hyperlink r:id="rId351">
        <w:r>
          <w:rPr>
            <w:color w:val="1155CC"/>
            <w:u w:val="single"/>
          </w:rPr>
          <w:t>太阳能驱动生物质醇与氨之间的碳氮耦合用于高价值胺合成</w:t>
        </w:r>
      </w:hyperlink>
    </w:p>
    <w:p>
      <w:pPr>
        <w:spacing w:before="0" w:after="80"/>
      </w:pPr>
      <w:r>
        <w:rPr>
          <w:i/>
          <w:sz w:val="20"/>
        </w:rPr>
        <w:t>EN: Solar‐Driven Carbon–Nitrogen Coupling Between Biomass‐Derived Alcohol and Ammonia for High‐Value Amine Synthesis</w:t>
      </w:r>
    </w:p>
    <w:p>
      <w:pPr>
        <w:spacing w:before="0" w:after="120"/>
      </w:pPr>
      <w:r>
        <w:rPr>
          <w:b/>
        </w:rPr>
        <w:t xml:space="preserve">Source: </w:t>
      </w:r>
      <w:r>
        <w:t>Wiley: Angewandte Chemie International Edition: Table of Contents</w:t>
      </w:r>
      <w:r>
        <w:t xml:space="preserve">    </w:t>
      </w:r>
      <w:r>
        <w:rPr>
          <w:b/>
        </w:rPr>
        <w:t xml:space="preserve">Pub date: </w:t>
      </w:r>
      <w:r>
        <w:t>2026-05-30 11:42:56+00:00</w:t>
      </w:r>
      <w:r>
        <w:t xml:space="preserve">    </w:t>
      </w:r>
      <w:r>
        <w:rPr>
          <w:b/>
        </w:rPr>
        <w:t xml:space="preserve">DOI: </w:t>
      </w:r>
      <w:hyperlink r:id="rId352">
        <w:r>
          <w:rPr>
            <w:color w:val="1155CC"/>
            <w:u w:val="single"/>
          </w:rPr>
          <w:t>10.1002/anie.1386399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质衍生的醇和无机氮源的光催化碳氮（C-N）偶联提供了一条可持续的途径来生产高价值胺，但通常受到低效的C-H活化和不可控的氮转化动力学的限制。在此，我们报告了一种整合了厌氧醇脱氢和亚胺氢化的协同氧化还原途径，该途径是通过原子分散的Au物质与CdS纳米棒上的三个外来磷原子（AuP</w:t>
      </w:r>
      <w:r>
        <w:rPr>
          <w:vertAlign w:val="subscript"/>
        </w:rPr>
        <w:t>3</w:t>
      </w:r>
      <w:r>
        <w:t>‐CdS）。原位光谱和理论计算表明 Au-P</w:t>
      </w:r>
      <w:r>
        <w:rPr>
          <w:vertAlign w:val="subscript"/>
        </w:rPr>
        <w:t>3</w:t>
      </w:r>
      <w:r>
        <w:t>与与 CdS 纳米棒上三个本征硫原子配位的传统 Au 物质相比，这些位点促进了电荷分离，并以最佳反应能量实现醇脱氢和亚胺氢化（AuS</w:t>
      </w:r>
      <w:r>
        <w:rPr>
          <w:vertAlign w:val="subscript"/>
        </w:rPr>
        <w:t>3</w:t>
      </w:r>
      <w:r>
        <w:t>‐CdS）。这些特性使 AuP</w:t>
      </w:r>
      <w:r>
        <w:rPr>
          <w:vertAlign w:val="subscript"/>
        </w:rPr>
        <w:t>3</w:t>
      </w:r>
      <w:r>
        <w:t>‐CdS 实现糠胺产率 41.48 mmol g</w:t>
      </w:r>
      <w:r>
        <w:t xml:space="preserve"> </w:t>
      </w:r>
      <w:r>
        <w:t>−1</w:t>
      </w:r>
      <w:r>
        <w:t xml:space="preserve"> </w:t>
      </w:r>
      <w:r>
        <w:t>小时</w:t>
      </w:r>
      <w:r>
        <w:t xml:space="preserve"> </w:t>
      </w:r>
      <w:r>
        <w:t>−1</w:t>
      </w:r>
      <w:r>
        <w:t xml:space="preserve"> </w:t>
      </w:r>
      <w:r>
        <w:t>生物质来源的糠醇和氨的选择性高达 99.1%，是传统 AuS 的 63 倍</w:t>
      </w:r>
      <w:r>
        <w:rPr>
          <w:vertAlign w:val="subscript"/>
        </w:rPr>
        <w:t>3</w:t>
      </w:r>
      <w:r>
        <w:t>-CdS，并且明显超过其他 P 配位金属负载 CdS 催化剂。此外，AuP</w:t>
      </w:r>
      <w:r>
        <w:rPr>
          <w:vertAlign w:val="subscript"/>
        </w:rPr>
        <w:t>3</w:t>
      </w:r>
      <w:r>
        <w:t>‐CdS 也适用于各种其他醇，用于多种胺的合成。进一步</w:t>
      </w:r>
    </w:p>
    <w:p>
      <w:pPr>
        <w:spacing w:before="0" w:after="200" w:lineRule="auto" w:line="276"/>
      </w:pPr>
      <w:r>
        <w:rPr>
          <w:b/>
        </w:rPr>
        <w:t xml:space="preserve">Abstract (EN): </w:t>
      </w:r>
      <w:r>
        <w:t>Photocatalytic carbon–nitrogen (C–N) coupling of biomass‐derived alcohols and inorganic nitrogen sources provides a sustainable route to high‐value amines but is often limited by inefficient C–H activation and uncontrollable nitrogen conversion kinetics. Herein, we report a synergistic redox pathway integrating anaerobic alcohol dehydrogenation and imine hydrogenation, enabled by an atomically dispersed Au species coordinated with three foreign phosphorus atoms on CdS nanorods (AuP</w:t>
      </w:r>
      <w:r>
        <w:rPr>
          <w:vertAlign w:val="subscript"/>
        </w:rPr>
        <w:t>3</w:t>
      </w:r>
      <w:r>
        <w:t>‐CdS). In situ spectroscopy and theoretical calculations elucidate that Au–P</w:t>
      </w:r>
      <w:r>
        <w:rPr>
          <w:vertAlign w:val="subscript"/>
        </w:rPr>
        <w:t>3</w:t>
      </w:r>
      <w:r>
        <w:t>sites boost charge separation and enable both alcohol dehydrogenation and imine hydrogenation with optimal reaction energies compared to the conventional Au species coordinated with three intrinsic sulfur atoms on CdS nanorods (AuS</w:t>
      </w:r>
      <w:r>
        <w:rPr>
          <w:vertAlign w:val="subscript"/>
        </w:rPr>
        <w:t>3</w:t>
      </w:r>
      <w:r>
        <w:t>‐CdS). These characteristics enable AuP</w:t>
      </w:r>
      <w:r>
        <w:rPr>
          <w:vertAlign w:val="subscript"/>
        </w:rPr>
        <w:t>3</w:t>
      </w:r>
      <w:r>
        <w:t>‐CdS to achieve a furfurylamine production rate of 41.48 mmol g</w:t>
      </w:r>
      <w:r>
        <w:t xml:space="preserve"> </w:t>
      </w:r>
      <w:r>
        <w:t>−1</w:t>
      </w:r>
      <w:r>
        <w:t xml:space="preserve"> </w:t>
      </w:r>
      <w:r>
        <w:t>h</w:t>
      </w:r>
      <w:r>
        <w:t xml:space="preserve"> </w:t>
      </w:r>
      <w:r>
        <w:t>−1</w:t>
      </w:r>
      <w:r>
        <w:t xml:space="preserve"> </w:t>
      </w:r>
      <w:r>
        <w:t>with a selectivity of 99.1% from biomass‐derived furfuryl alcohol and ammonia, which is 63 times higher than that of conventional AuS</w:t>
      </w:r>
      <w:r>
        <w:rPr>
          <w:vertAlign w:val="subscript"/>
        </w:rPr>
        <w:t>3</w:t>
      </w:r>
      <w:r>
        <w:t>‐CdS, and notably surpasses other P‐coordinated metal‐loaded CdS catalysts. Moreover, AuP</w:t>
      </w:r>
      <w:r>
        <w:rPr>
          <w:vertAlign w:val="subscript"/>
        </w:rPr>
        <w:t>3</w:t>
      </w:r>
      <w:r>
        <w:t>‐CdS is also applicable to various other alcohols for diverse amine synthesis. Furthermore, this catalyst demonstrates a production rate of 14.24 mmol g</w:t>
      </w:r>
      <w:r>
        <w:t xml:space="preserve"> </w:t>
      </w:r>
      <w:r>
        <w:t>−1</w:t>
      </w:r>
      <w:r>
        <w:t xml:space="preserve"> </w:t>
      </w:r>
      <w:r>
        <w:t>h</w:t>
      </w:r>
      <w:r>
        <w:t xml:space="preserve"> </w:t>
      </w:r>
      <w:r>
        <w:t>−1</w:t>
      </w:r>
      <w:r>
        <w:t xml:space="preserve"> </w:t>
      </w:r>
      <w:r>
        <w:t>with a selectivity of 97.1% under concentrated natural sunlight (3773 mW cm</w:t>
      </w:r>
      <w:r>
        <w:t xml:space="preserve"> </w:t>
      </w:r>
      <w:r>
        <w:t>−2</w:t>
      </w:r>
      <w:r>
        <w:t xml:space="preserve"> </w:t>
      </w:r>
      <w:r>
        <w:t>) in a scalable reactor, providing a promising strategy for the photosynthetic synthesis of amines from diverse biomass‐derived alcohols and ammonia.</w:t>
      </w:r>
    </w:p>
    <w:p>
      <w:pPr>
        <w:spacing w:before="120" w:after="120"/>
      </w:pPr>
      <w:r>
        <w:rPr>
          <w:sz w:val="18"/>
        </w:rPr>
        <w:t>——————————————————————————————————————————————————————————————————————</w:t>
      </w:r>
    </w:p>
    <w:p>
      <w:pPr>
        <w:spacing w:before="160" w:after="40" w:line="240" w:lineRule="auto"/>
      </w:pPr>
      <w:r>
        <w:rPr>
          <w:b/>
        </w:rPr>
        <w:t xml:space="preserve">[30] </w:t>
      </w:r>
      <w:hyperlink r:id="rId353">
        <w:r>
          <w:rPr>
            <w:color w:val="1155CC"/>
            <w:u w:val="single"/>
          </w:rPr>
          <w:t>γ射线调控的主客体分子识别</w:t>
        </w:r>
      </w:hyperlink>
    </w:p>
    <w:p>
      <w:pPr>
        <w:spacing w:before="0" w:after="80"/>
      </w:pPr>
      <w:r>
        <w:rPr>
          <w:i/>
          <w:sz w:val="20"/>
        </w:rPr>
        <w:t>EN: γ‐Ray Regulated Host–Guest Molecular Recognition</w:t>
      </w:r>
    </w:p>
    <w:p>
      <w:pPr>
        <w:spacing w:before="0" w:after="120"/>
      </w:pPr>
      <w:r>
        <w:rPr>
          <w:b/>
        </w:rPr>
        <w:t xml:space="preserve">Source: </w:t>
      </w:r>
      <w:r>
        <w:t>Wiley: Angewandte Chemie International Edition: Table of Contents</w:t>
      </w:r>
      <w:r>
        <w:t xml:space="preserve">    </w:t>
      </w:r>
      <w:r>
        <w:rPr>
          <w:b/>
        </w:rPr>
        <w:t xml:space="preserve">Pub date: </w:t>
      </w:r>
      <w:r>
        <w:t>2026-05-30 11:43:04+00:00</w:t>
      </w:r>
      <w:r>
        <w:t xml:space="preserve">    </w:t>
      </w:r>
      <w:r>
        <w:rPr>
          <w:b/>
        </w:rPr>
        <w:t xml:space="preserve">DOI: </w:t>
      </w:r>
      <w:hyperlink r:id="rId354">
        <w:r>
          <w:rPr>
            <w:color w:val="1155CC"/>
            <w:u w:val="single"/>
          </w:rPr>
          <w:t>10.1002/anie.4556916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光响应主客体超分子系统几十年来的进步允许精确的分子转换和光激活，但它们的体内使用受到紫外线/可见光较弱的组织穿透性的严重限制。 γ射线等电离辐射具有优异的深部组织穿透力，在临床放射学和放射治疗中得到广泛应用。在此，我们开发了一种基于偶氮苯衍生物和大环主体（环糊精和葫芦脲）的γ辐射调节的主客体识别系统。在 2 Gy 的临床剂量下，γ 辐射会触发顺式</w:t>
      </w:r>
      <w:r>
        <w:t xml:space="preserve"> </w:t>
      </w:r>
      <w:r>
        <w:t>反式</w:t>
      </w:r>
      <w:r>
        <w:t xml:space="preserve"> </w:t>
      </w:r>
      <w:r>
        <w:t>偶氮苯的异构化并能够与大环进行有效的分子识别。即使穿过厘米厚的猪组织，γ 射线在诱导异构化方面也优于蓝光，并且该系统在十个照射周期中表现出出色的可回收性。此外，γ射线调控的三元识别实现了原位水凝胶化，构建了同时机械增强、硬化和自修复的双网络水凝胶。水凝胶的拉伸强度为 ∼23 MPa，韧性为 ∼30 MJ m</w:t>
      </w:r>
      <w:r>
        <w:t xml:space="preserve"> </w:t>
      </w:r>
      <w:r>
        <w:t>−3</w:t>
      </w:r>
      <w:r>
        <w:t xml:space="preserve"> </w:t>
      </w:r>
      <w:r>
        <w:t>，可与工程弹性体相媲美，同时保留超分子适应性。这种辐射调节的分子识别为远程编程软材料力学提供了一个通用平台，并在体内应用中具有巨大的潜力。</w:t>
      </w:r>
    </w:p>
    <w:p>
      <w:pPr>
        <w:spacing w:before="0" w:after="200" w:lineRule="auto" w:line="276"/>
      </w:pPr>
      <w:r>
        <w:rPr>
          <w:b/>
        </w:rPr>
        <w:t xml:space="preserve">Abstract (EN): </w:t>
      </w:r>
      <w:r>
        <w:t>Decades of advances in light‐responsive host–guest supramolecular systems allow precise molecular switching and photoactivation, yet their in vivo use is severely limited by the weak tissue penetration of UV/visible light. Ionizing radiation such as γ‐rays possesses outstanding deep‐tissue penetration, which has been widely applied in clinical radiology and radiotherapy. Herein, we develop a γ‐irradiation‐regulated host–guest recognition system based on azobenzene derivatives and macrocyclic hosts (cyclodextrins and cucurbiturils). At a clinical dose of 2 Gy, γ‐radiation triggers cis‐to‐</w:t>
      </w:r>
      <w:r>
        <w:t xml:space="preserve"> </w:t>
      </w:r>
      <w:r>
        <w:t>trans</w:t>
      </w:r>
      <w:r>
        <w:t xml:space="preserve"> </w:t>
      </w:r>
      <w:r>
        <w:t>isomerization of azobenzene and enables efficient molecular recognition with macrocycles. γ‐Rays outperform blue light in inducing isomerization even through centimeter‐thick porcine tissues, and the system exhibits excellent recyclability over ten irradiation cycles. Moreover, γ‐ray‐regulated ternary recognition realizes in situ hydrogelation, constructing double‐network hydrogels with simultaneous mechanical reinforcement, stiffening and self‐healing. The hydrogel achieves tensile strength of ∼23 MPa and toughness of ∼30 MJ m</w:t>
      </w:r>
      <w:r>
        <w:t xml:space="preserve"> </w:t>
      </w:r>
      <w:r>
        <w:t>−3</w:t>
      </w:r>
      <w:r>
        <w:t xml:space="preserve"> </w:t>
      </w:r>
      <w:r>
        <w:t>, comparable to engineered elastomers while retaining supramolecular adaptability. This radiation‐regulated molecular recognition offers a universal platform for remotely programming soft material mechanics and holds great potential for in vivo applications.</w:t>
      </w:r>
    </w:p>
    <w:p>
      <w:pPr>
        <w:spacing w:before="120" w:after="120"/>
      </w:pPr>
      <w:r>
        <w:rPr>
          <w:sz w:val="18"/>
        </w:rPr>
        <w:t>——————————————————————————————————————————————————————————————————————</w:t>
      </w:r>
    </w:p>
    <w:p>
      <w:pPr>
        <w:spacing w:before="160" w:after="40" w:line="240" w:lineRule="auto"/>
      </w:pPr>
      <w:r>
        <w:rPr>
          <w:b/>
        </w:rPr>
        <w:t xml:space="preserve">[31] </w:t>
      </w:r>
      <w:hyperlink r:id="rId355">
        <w:r>
          <w:rPr>
            <w:color w:val="1155CC"/>
            <w:u w:val="single"/>
          </w:rPr>
          <w:t>二维金属有机框架作为电荷提取介质，使二元有机太阳能电池的效率达到 20.70%</w:t>
        </w:r>
      </w:hyperlink>
    </w:p>
    <w:p>
      <w:pPr>
        <w:spacing w:before="0" w:after="80"/>
      </w:pPr>
      <w:r>
        <w:rPr>
          <w:i/>
          <w:sz w:val="20"/>
        </w:rPr>
        <w:t>EN: Two‐Dimensional Metal‐Organic Frameworks as Charge Extraction Media Enabling Binary Organic Solar Cells With 20.70% Efficiency</w:t>
      </w:r>
    </w:p>
    <w:p>
      <w:pPr>
        <w:spacing w:before="0" w:after="120"/>
      </w:pPr>
      <w:r>
        <w:rPr>
          <w:b/>
        </w:rPr>
        <w:t xml:space="preserve">Source: </w:t>
      </w:r>
      <w:r>
        <w:t>Wiley: Angewandte Chemie International Edition: Table of Contents</w:t>
      </w:r>
      <w:r>
        <w:t xml:space="preserve">    </w:t>
      </w:r>
      <w:r>
        <w:rPr>
          <w:b/>
        </w:rPr>
        <w:t xml:space="preserve">Pub date: </w:t>
      </w:r>
      <w:r>
        <w:t>2026-05-30 11:45:15+00:00</w:t>
      </w:r>
      <w:r>
        <w:t xml:space="preserve">    </w:t>
      </w:r>
      <w:r>
        <w:rPr>
          <w:b/>
        </w:rPr>
        <w:t xml:space="preserve">DOI: </w:t>
      </w:r>
      <w:hyperlink r:id="rId356">
        <w:r>
          <w:rPr>
            <w:color w:val="1155CC"/>
            <w:u w:val="single"/>
          </w:rPr>
          <w:t>10.1002/anie.4785538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金属有机框架（MOF）以其可调节、高度共轭的框架和卓越的电荷传输特性而闻名，在有机太阳能电池（OSC）中表现出巨大的潜力。然而，它们的整合因在低极性溶剂中分散性不足而受到阻碍。在此，合成了二维MOF材料Cu-TCPP和Zn-TCPP，并通过反溶剂策略精确渗透到有源层的上部区域，通过连续的电荷传输显着增强了电荷传输。</w:t>
      </w:r>
      <w:r>
        <w:t xml:space="preserve"> </w:t>
      </w:r>
      <w:r>
        <w:t>π</w:t>
      </w:r>
      <w:r>
        <w:t xml:space="preserve"> </w:t>
      </w:r>
      <w:r>
        <w:t>MOF 层内的 ‐d 共轭。此外，MOF 和受体 L8-BO 之间的分子间相互作用，包括金属中心配位和</w:t>
      </w:r>
      <w:r>
        <w:t xml:space="preserve"> </w:t>
      </w:r>
      <w:r>
        <w:t>π</w:t>
      </w:r>
      <w:r>
        <w:t xml:space="preserve"> </w:t>
      </w:r>
      <w:r>
        <w:t>‐</w:t>
      </w:r>
      <w:r>
        <w:t xml:space="preserve"> </w:t>
      </w:r>
      <w:r>
        <w:t>π</w:t>
      </w:r>
      <w:r>
        <w:t xml:space="preserve"> </w:t>
      </w:r>
      <w:r>
        <w:t>共轭卟啉配体实现的效应，促进优异的分子堆积、双原纤维结构和有利的垂直相分离。因此，掺入 Zn-TCPP 的 D18:L8-BO OSC 实现了 20.70% 的出色效率，跻身二进制器件的最高报告值之列。同时，MOFs的锚定效应显着增强了活性层的形态稳定性，使OSCs的运行稳定性提高了两倍以上。这项工作不仅为将高性能 MOF 材料集成到 OSC 中开辟了一条新途径，而且为构建有效的电荷传输通道和制造高度稳定、高性能的材料建立了一个有前途的范例。</w:t>
      </w:r>
    </w:p>
    <w:p>
      <w:pPr>
        <w:spacing w:before="0" w:after="200" w:lineRule="auto" w:line="276"/>
      </w:pPr>
      <w:r>
        <w:rPr>
          <w:b/>
        </w:rPr>
        <w:t xml:space="preserve">Abstract (EN): </w:t>
      </w:r>
      <w:r>
        <w:t>Metal‐organic frameworks (MOFs), recognized for their tunable, highly conjugated frameworks and exceptional charge‐transport properties, exhibit significant potential in organic solar cells (OSCs). However, their integration has been hampered by inadequate dispersibility in low‐polarity solvents. Herein, the two‐dimensional MOF materials, Cu‐TCPP and Zn‐TCPP, were synthesized and precisely infiltrated into the upper region of the active layer through an anti‐solvent strategy, which significantly enhanced charge transport through continuous</w:t>
      </w:r>
      <w:r>
        <w:t xml:space="preserve"> </w:t>
      </w:r>
      <w:r>
        <w:t>π</w:t>
      </w:r>
      <w:r>
        <w:t xml:space="preserve"> </w:t>
      </w:r>
      <w:r>
        <w:t>‐d conjugation within the MOF layers. Moreover, intermolecular interactions between MOFs and acceptor L8‐BO, including metal‐center coordination and</w:t>
      </w:r>
      <w:r>
        <w:t xml:space="preserve"> </w:t>
      </w:r>
      <w:r>
        <w:t>π</w:t>
      </w:r>
      <w:r>
        <w:t xml:space="preserve"> </w:t>
      </w:r>
      <w:r>
        <w:t>‐</w:t>
      </w:r>
      <w:r>
        <w:t xml:space="preserve"> </w:t>
      </w:r>
      <w:r>
        <w:t>π</w:t>
      </w:r>
      <w:r>
        <w:t xml:space="preserve"> </w:t>
      </w:r>
      <w:r>
        <w:t>effect enabled by conjugated porphyrin ligands, facilitate superior molecular packing, a double‐fibril structure, and favorable vertical phase separation. Consequently, Zn‐TCPP‐incorporated D18:L8‐BO OSCs achieve an outstanding efficiency of 20.70%, ranking among the highest reported values for binary devices. Meanwhile, the anchoring effect of MOFs significantly enhances the morphological stability of the active layer, endowing the OSCs with over twofold improvement in operational stability. This work not only opens a novel pathway for integrating high‐performance MOF materials into OSCs but also establishes a promising paradigm for constructing efficient charge transport channels and fabricating highly stable, high‐performance organic photovoltaics.</w:t>
      </w:r>
    </w:p>
    <w:p>
      <w:pPr>
        <w:spacing w:before="120" w:after="120"/>
      </w:pPr>
      <w:r>
        <w:rPr>
          <w:sz w:val="18"/>
        </w:rPr>
        <w:t>——————————————————————————————————————————————————————————————————————</w:t>
      </w:r>
    </w:p>
    <w:p>
      <w:pPr>
        <w:spacing w:before="160" w:after="40" w:line="240" w:lineRule="auto"/>
      </w:pPr>
      <w:r>
        <w:rPr>
          <w:b/>
        </w:rPr>
        <w:t xml:space="preserve">[32] </w:t>
      </w:r>
      <w:hyperlink r:id="rId357">
        <w:r>
          <w:rPr>
            <w:color w:val="1155CC"/>
            <w:u w:val="single"/>
          </w:rPr>
          <w:t>铁蛋白铁矿化：Fe3+从铁氧化酶中心转移到人 H 链铁蛋白内腔的途径</w:t>
        </w:r>
      </w:hyperlink>
    </w:p>
    <w:p>
      <w:pPr>
        <w:spacing w:before="0" w:after="80"/>
      </w:pPr>
      <w:r>
        <w:rPr>
          <w:i/>
          <w:sz w:val="20"/>
        </w:rPr>
        <w:t>EN: Ferritin Iron Mineralisation: Route of Fe3+ Transfer From the Ferroxidase Centre to the Inner Cavity of Human H‐Chain Ferritin</w:t>
      </w:r>
    </w:p>
    <w:p>
      <w:pPr>
        <w:spacing w:before="0" w:after="120"/>
      </w:pPr>
      <w:r>
        <w:rPr>
          <w:b/>
        </w:rPr>
        <w:t xml:space="preserve">Source: </w:t>
      </w:r>
      <w:r>
        <w:t>Wiley: Angewandte Chemie International Edition: Table of Contents</w:t>
      </w:r>
      <w:r>
        <w:t xml:space="preserve">    </w:t>
      </w:r>
      <w:r>
        <w:rPr>
          <w:b/>
        </w:rPr>
        <w:t xml:space="preserve">Pub date: </w:t>
      </w:r>
      <w:r>
        <w:t>2026-05-30 11:48:02+00:00</w:t>
      </w:r>
      <w:r>
        <w:t xml:space="preserve">    </w:t>
      </w:r>
      <w:r>
        <w:rPr>
          <w:b/>
        </w:rPr>
        <w:t xml:space="preserve">DOI: </w:t>
      </w:r>
      <w:hyperlink r:id="rId358">
        <w:r>
          <w:rPr>
            <w:color w:val="1155CC"/>
            <w:u w:val="single"/>
          </w:rPr>
          <w:t>10.1002/anie.1203843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铁蛋白催化的Fe</w:t>
      </w:r>
      <w:r>
        <w:t xml:space="preserve"> </w:t>
      </w:r>
      <w:r>
        <w:t>2+</w:t>
      </w:r>
      <w:r>
        <w:t xml:space="preserve"> </w:t>
      </w:r>
      <w:r>
        <w:t>与 O 反应氧化</w:t>
      </w:r>
      <w:r>
        <w:rPr>
          <w:vertAlign w:val="subscript"/>
        </w:rPr>
        <w:t>2</w:t>
      </w:r>
      <w:r>
        <w:t>发生在称为亚铁氧化酶中心（FoC）的亚基内二铁位点。目前，如何铁</w:t>
      </w:r>
      <w:r>
        <w:t xml:space="preserve"> </w:t>
      </w:r>
      <w:r>
        <w:t>3+</w:t>
      </w:r>
      <w:r>
        <w:t xml:space="preserve"> </w:t>
      </w:r>
      <w:r>
        <w:t>铁核成核/矿化的关键底物，从 FoC 转移到沉积矿物质的内部蛋白质表面/中心腔尚不清楚。暴露于厌氧 Fe 后被占据的铁结合位点</w:t>
      </w:r>
      <w:r>
        <w:t xml:space="preserve"> </w:t>
      </w:r>
      <w:r>
        <w:t>2+</w:t>
      </w:r>
      <w:r>
        <w:t xml:space="preserve"> </w:t>
      </w:r>
      <w:r>
        <w:t>‐将人细胞质 H 链铁蛋白 (HuHF) 与 O 结合</w:t>
      </w:r>
      <w:r>
        <w:rPr>
          <w:vertAlign w:val="subscript"/>
        </w:rPr>
        <w:t>2</w:t>
      </w:r>
      <w:r>
        <w:t>通过时间分辨X射线晶体学鉴定。除了两个 FoC 铁位点之外，还鉴定了另外三个位点，每个位点都涉及 Glu61 作为配位残基。用非配位残基（变体 E61A）取代消除了这些额外铁位点的结合。 Fe 的溶液动力学研究</w:t>
      </w:r>
      <w:r>
        <w:t xml:space="preserve"> </w:t>
      </w:r>
      <w:r>
        <w:t>2+</w:t>
      </w:r>
      <w:r>
        <w:t xml:space="preserve"> </w:t>
      </w:r>
      <w:r>
        <w:t>野生型 HuHF 及其 E61A 变体的氧化和铁核心矿化表明，快速 Fe</w:t>
      </w:r>
      <w:r>
        <w:t xml:space="preserve"> </w:t>
      </w:r>
      <w:r>
        <w:t>2+</w:t>
      </w:r>
      <w:r>
        <w:t xml:space="preserve"> </w:t>
      </w:r>
      <w:r>
        <w:t>氧化不受 Glu61 损失的影响，排除了这些位点在引导 Fe 中的重要作用</w:t>
      </w:r>
      <w:r>
        <w:t xml:space="preserve"> </w:t>
      </w:r>
      <w:r>
        <w:t>2+</w:t>
      </w:r>
      <w:r>
        <w:t xml:space="preserve"> </w:t>
      </w:r>
      <w:r>
        <w:t>到 FoC，或在 FoC 催化 Fe 的机制中</w:t>
      </w:r>
      <w:r>
        <w:t xml:space="preserve"> </w:t>
      </w:r>
      <w:r>
        <w:t>2+</w:t>
      </w:r>
      <w:r>
        <w:t xml:space="preserve"> </w:t>
      </w:r>
      <w:r>
        <w:t>氧化。反之，Fe的转移</w:t>
      </w:r>
      <w:r>
        <w:t xml:space="preserve"> </w:t>
      </w:r>
      <w:r>
        <w:t>3+</w:t>
      </w:r>
      <w:r>
        <w:t xml:space="preserve"> </w:t>
      </w:r>
      <w:r>
        <w:t>FoC 和核心矿化都严重</w:t>
      </w:r>
    </w:p>
    <w:p>
      <w:pPr>
        <w:spacing w:before="0" w:after="200" w:lineRule="auto" w:line="276"/>
      </w:pPr>
      <w:r>
        <w:rPr>
          <w:b/>
        </w:rPr>
        <w:t xml:space="preserve">Abstract (EN): </w:t>
      </w:r>
      <w:r>
        <w:t>Ferritin‐catalysed Fe</w:t>
      </w:r>
      <w:r>
        <w:t xml:space="preserve"> </w:t>
      </w:r>
      <w:r>
        <w:t>2+</w:t>
      </w:r>
      <w:r>
        <w:t xml:space="preserve"> </w:t>
      </w:r>
      <w:r>
        <w:t>oxidation by reaction with O</w:t>
      </w:r>
      <w:r>
        <w:rPr>
          <w:vertAlign w:val="subscript"/>
        </w:rPr>
        <w:t>2</w:t>
      </w:r>
      <w:r>
        <w:t>occurs at an intra‐subunit diiron site known as the ferroxidase centre (FoC). Currently, how Fe</w:t>
      </w:r>
      <w:r>
        <w:t xml:space="preserve"> </w:t>
      </w:r>
      <w:r>
        <w:t>3+</w:t>
      </w:r>
      <w:r>
        <w:t xml:space="preserve"> </w:t>
      </w:r>
      <w:r>
        <w:t>, the key substrate for iron core nucleation/mineralisation, transfers from the FoC to the inner protein surface/central cavity where the mineral is laid down is unknown. Iron‐binding sites that become occupied following exposure of anaerobic, Fe</w:t>
      </w:r>
      <w:r>
        <w:t xml:space="preserve"> </w:t>
      </w:r>
      <w:r>
        <w:t>2+</w:t>
      </w:r>
      <w:r>
        <w:t xml:space="preserve"> </w:t>
      </w:r>
      <w:r>
        <w:t>‐bound human cytosolic H‐chain ferritin (HuHF) to O</w:t>
      </w:r>
      <w:r>
        <w:rPr>
          <w:vertAlign w:val="subscript"/>
        </w:rPr>
        <w:t>2</w:t>
      </w:r>
      <w:r>
        <w:t>were identified by time‐resolved x‐ray crystallography. In addition to the two FoC iron sites, three further sites were identified, each involving Glu61 as a coordinating residue. Substitution by a non‐coordinating residue (variant E61A) eliminated binding at these additional iron sites. Solution kinetic studies of Fe</w:t>
      </w:r>
      <w:r>
        <w:t xml:space="preserve"> </w:t>
      </w:r>
      <w:r>
        <w:t>2+</w:t>
      </w:r>
      <w:r>
        <w:t xml:space="preserve"> </w:t>
      </w:r>
      <w:r>
        <w:t>oxidation and iron core mineralisation in wild‐type HuHF and its E61A variant showed that rapid Fe</w:t>
      </w:r>
      <w:r>
        <w:t xml:space="preserve"> </w:t>
      </w:r>
      <w:r>
        <w:t>2+</w:t>
      </w:r>
      <w:r>
        <w:t xml:space="preserve"> </w:t>
      </w:r>
      <w:r>
        <w:t>oxidation was unaffected by loss of Glu61, ruling out an important role for these sites in either guiding Fe</w:t>
      </w:r>
      <w:r>
        <w:t xml:space="preserve"> </w:t>
      </w:r>
      <w:r>
        <w:t>2+</w:t>
      </w:r>
      <w:r>
        <w:t xml:space="preserve"> </w:t>
      </w:r>
      <w:r>
        <w:t>to the FoC, or in the mechanism of FoC‐catalysed Fe</w:t>
      </w:r>
      <w:r>
        <w:t xml:space="preserve"> </w:t>
      </w:r>
      <w:r>
        <w:t>2+</w:t>
      </w:r>
      <w:r>
        <w:t xml:space="preserve"> </w:t>
      </w:r>
      <w:r>
        <w:t>oxidation. Conversely, the transfer of Fe</w:t>
      </w:r>
      <w:r>
        <w:t xml:space="preserve"> </w:t>
      </w:r>
      <w:r>
        <w:t>3+</w:t>
      </w:r>
      <w:r>
        <w:t xml:space="preserve"> </w:t>
      </w:r>
      <w:r>
        <w:t>out of the FoC and core mineralisation were both severely affected in the E61A variant. A mechanism for Fe</w:t>
      </w:r>
      <w:r>
        <w:t xml:space="preserve"> </w:t>
      </w:r>
      <w:r>
        <w:t>3+</w:t>
      </w:r>
      <w:r>
        <w:t xml:space="preserve"> </w:t>
      </w:r>
      <w:r>
        <w:t>transfer from the FoC to the inner protein surface is proposed.</w:t>
      </w:r>
    </w:p>
    <w:p>
      <w:pPr>
        <w:spacing w:before="120" w:after="120"/>
      </w:pPr>
      <w:r>
        <w:rPr>
          <w:sz w:val="18"/>
        </w:rPr>
        <w:t>——————————————————————————————————————————————————————————————————————</w:t>
      </w:r>
    </w:p>
    <w:p>
      <w:pPr>
        <w:spacing w:before="160" w:after="40" w:line="240" w:lineRule="auto"/>
      </w:pPr>
      <w:r>
        <w:rPr>
          <w:b/>
        </w:rPr>
        <w:t xml:space="preserve">[33] </w:t>
      </w:r>
      <w:hyperlink r:id="rId359">
        <w:r>
          <w:rPr>
            <w:color w:val="1155CC"/>
            <w:u w:val="single"/>
          </w:rPr>
          <w:t>镍催化卤代炔与乙酸烯丙酯的交叉电偶合</w:t>
        </w:r>
      </w:hyperlink>
    </w:p>
    <w:p>
      <w:pPr>
        <w:spacing w:before="0" w:after="80"/>
      </w:pPr>
      <w:r>
        <w:rPr>
          <w:i/>
          <w:sz w:val="20"/>
        </w:rPr>
        <w:t>EN: Nickel‐Catalyzed Cross‐Electrophile Coupling of Alkynyl Halides With Allylic Acetates</w:t>
      </w:r>
    </w:p>
    <w:p>
      <w:pPr>
        <w:spacing w:before="0" w:after="120"/>
      </w:pPr>
      <w:r>
        <w:rPr>
          <w:b/>
        </w:rPr>
        <w:t xml:space="preserve">Source: </w:t>
      </w:r>
      <w:r>
        <w:t>Wiley: Angewandte Chemie International Edition: Table of Contents</w:t>
      </w:r>
      <w:r>
        <w:t xml:space="preserve">    </w:t>
      </w:r>
      <w:r>
        <w:rPr>
          <w:b/>
        </w:rPr>
        <w:t xml:space="preserve">Pub date: </w:t>
      </w:r>
      <w:r>
        <w:t>2026-05-30 11:48:05+00:00</w:t>
      </w:r>
      <w:r>
        <w:t xml:space="preserve">    </w:t>
      </w:r>
      <w:r>
        <w:rPr>
          <w:b/>
        </w:rPr>
        <w:t xml:space="preserve">DOI: </w:t>
      </w:r>
      <w:hyperlink r:id="rId360">
        <w:r>
          <w:rPr>
            <w:color w:val="1155CC"/>
            <w:u w:val="single"/>
          </w:rPr>
          <w:t>10.1002/anie.5529378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开发了一种镍催化的交叉亲电子偶联（XEC）策略，能够从容易获得的炔基卤化物和烯丙基乙酸酯中有效合成多种跳跃烯炔。该方法表现出广泛的底物范围，可容纳各种脂肪族和芳香族亲电子试剂，以及复杂的天然产物和药物衍生的基序，这对于使用当前方法仍然是一个挑战。机理实验和 DFT 研究支持双氧化加成途径，其中 Ni</w:t>
      </w:r>
      <w:r>
        <w:rPr>
          <w:vertAlign w:val="subscript"/>
        </w:rPr>
        <w:t>0</w:t>
      </w:r>
      <w:r>
        <w:t>优先与炔基卤进行氧化加成。据我们所知，这项工作代表了两个亲电子试剂之间通过TM催化还原交叉偶联制备跳跃烯炔的第一个例子。该过程具有优异的立体选择性和显着的区域选择性，为未来不对称跳跃烯炔合成的发展提供了一个有前途的平台。</w:t>
      </w:r>
    </w:p>
    <w:p>
      <w:pPr>
        <w:spacing w:before="0" w:after="200" w:lineRule="auto" w:line="276"/>
      </w:pPr>
      <w:r>
        <w:rPr>
          <w:b/>
        </w:rPr>
        <w:t xml:space="preserve">Abstract (EN): </w:t>
      </w:r>
      <w:r>
        <w:t>We have developed a Ni‐catalyzed cross‐electrophile coupling (XEC) strategy that enables the efficient synthesis of diverse skipped enynes from readily accessible alkynyl halides and allylic acetates. This method exhibits broad substrate scope, accommodating a wide range of aliphatic and aromatic electrophiles, as well as complex natural product‐ and pharmaceutical‐derived motifs, which remains a challenge using the current methods. Mechanistic experiments and DFT studies support a double oxidative addition pathway, wherein Ni</w:t>
      </w:r>
      <w:r>
        <w:rPr>
          <w:vertAlign w:val="subscript"/>
        </w:rPr>
        <w:t>0</w:t>
      </w:r>
      <w:r>
        <w:t>preferentially undergoes oxidative addition with the alkynyl halide. To our knowledge, this work represents the first example of a TM‐catalyzed reductive cross‐coupling between two electrophiles for the preparation of skipped enynes. The process proceeds with excellent stereoselectivity and notable regioselectivity, offering a promising platform for future development of asymmetric skipped enynes synthesis.</w:t>
      </w:r>
    </w:p>
    <w:p>
      <w:pPr>
        <w:spacing w:before="120" w:after="120"/>
      </w:pPr>
      <w:r>
        <w:rPr>
          <w:sz w:val="18"/>
        </w:rPr>
        <w:t>——————————————————————————————————————————————————————————————————————</w:t>
      </w:r>
    </w:p>
    <w:p>
      <w:pPr>
        <w:spacing w:before="160" w:after="40" w:line="240" w:lineRule="auto"/>
      </w:pPr>
      <w:r>
        <w:rPr>
          <w:b/>
        </w:rPr>
        <w:t xml:space="preserve">[34] </w:t>
      </w:r>
      <w:hyperlink r:id="rId361">
        <w:r>
          <w:rPr>
            <w:color w:val="1155CC"/>
            <w:u w:val="single"/>
          </w:rPr>
          <w:t>CoOx/Fe2O3 环己烷氧化过程中自旋极化和晶格氧迁移的证据</w:t>
        </w:r>
      </w:hyperlink>
    </w:p>
    <w:p>
      <w:pPr>
        <w:spacing w:before="0" w:after="80"/>
      </w:pPr>
      <w:r>
        <w:rPr>
          <w:i/>
          <w:sz w:val="20"/>
        </w:rPr>
        <w:t>EN: Evidence for Spin Polarization and Lattice Oxygen Migration During Cyclohexane Oxidation Over CoOx/Fe2O3</w:t>
      </w:r>
    </w:p>
    <w:p>
      <w:pPr>
        <w:spacing w:before="0" w:after="120"/>
      </w:pPr>
      <w:r>
        <w:rPr>
          <w:b/>
        </w:rPr>
        <w:t xml:space="preserve">Source: </w:t>
      </w:r>
      <w:r>
        <w:t>Wiley: Angewandte Chemie International Edition: Table of Contents</w:t>
      </w:r>
      <w:r>
        <w:t xml:space="preserve">    </w:t>
      </w:r>
      <w:r>
        <w:rPr>
          <w:b/>
        </w:rPr>
        <w:t xml:space="preserve">Pub date: </w:t>
      </w:r>
      <w:r>
        <w:t>2026-05-30 11:53:40+00:00</w:t>
      </w:r>
      <w:r>
        <w:t xml:space="preserve">    </w:t>
      </w:r>
      <w:r>
        <w:rPr>
          <w:b/>
        </w:rPr>
        <w:t xml:space="preserve">DOI: </w:t>
      </w:r>
      <w:hyperlink r:id="rId362">
        <w:r>
          <w:rPr>
            <w:color w:val="1155CC"/>
            <w:u w:val="single"/>
          </w:rPr>
          <w:t>10.1002/anie.5512890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烷烃的选择性有氧氧化在碳氢化合物的可持续转化中发挥着关键作用。然而，设计促进自由基选择性生成同时避免副反应（例如过度氧化）的催化剂仍然是一个重大挑战。在这里，我们证明了 CoO 上增强的自旋极化和晶格氧迁移</w:t>
      </w:r>
      <w:r>
        <w:t xml:space="preserve"> </w:t>
      </w:r>
      <w:r>
        <w:t>x</w:t>
      </w:r>
      <w:r>
        <w:t xml:space="preserve"> </w:t>
      </w:r>
      <w:r>
        <w:t>/铁</w:t>
      </w:r>
      <w:r>
        <w:rPr>
          <w:vertAlign w:val="subscript"/>
        </w:rPr>
        <w:t>2</w:t>
      </w:r>
      <w:r>
        <w:t>氧</w:t>
      </w:r>
      <w:r>
        <w:rPr>
          <w:vertAlign w:val="subscript"/>
        </w:rPr>
        <w:t>3</w:t>
      </w:r>
      <w:r>
        <w:t>无溶剂条件下环己烷氧化催化剂。我们引入高度分散的CoO</w:t>
      </w:r>
      <w:r>
        <w:t xml:space="preserve"> </w:t>
      </w:r>
      <w:r>
        <w:t>x</w:t>
      </w:r>
      <w:r>
        <w:t xml:space="preserve"> </w:t>
      </w:r>
      <w:r>
        <w:t>通过原子层沉积在氧化铁纳米棒（Co/FeNR）上形成簇，形成界面Co-O-Fe活性位点。高自旋Co原子通过双交换相互作用调节邻近Fe原子的自旋态，促进三线态分子氧的吸附和解离。同时，Co有效增强了晶格氧的迁移率，进一步形成界面限制的自由基中间体。自旋极化促进的氧活化和晶格氧迁移都驱动界面限制自由基的转变，从而抑制副反应并提高选择性。受益于这些效应，5Co/FeNR 的 KA 油转化率为 14.6%，选择性为 82.7%，质量比反应率为 830.7 mmol·g</w:t>
      </w:r>
      <w:r>
        <w:t xml:space="preserve"> </w:t>
      </w:r>
      <w:r>
        <w:t>猫</w:t>
      </w:r>
      <w:r>
        <w:t xml:space="preserve"> </w:t>
      </w:r>
      <w:r>
        <w:t>−1</w:t>
      </w:r>
      <w:r>
        <w:t xml:space="preserve"> </w:t>
      </w:r>
      <w:r>
        <w:t>·小时</w:t>
      </w:r>
      <w:r>
        <w:t xml:space="preserve"> </w:t>
      </w:r>
      <w:r>
        <w:t>−1</w:t>
      </w:r>
      <w:r>
        <w:t xml:space="preserve"> </w:t>
      </w:r>
      <w:r>
        <w:t>，大约是 t 的 6 倍</w:t>
      </w:r>
    </w:p>
    <w:p>
      <w:pPr>
        <w:spacing w:before="0" w:after="200" w:lineRule="auto" w:line="276"/>
      </w:pPr>
      <w:r>
        <w:rPr>
          <w:b/>
        </w:rPr>
        <w:t xml:space="preserve">Abstract (EN): </w:t>
      </w:r>
      <w:r>
        <w:t>The selective aerobic oxidation of alkanes plays a pivotal role in the sustainable conversion of hydrocarbons. However, designing catalysts that facilitate the selective generation of radicals while avoiding side reactions (such as over‐oxidation) remains a major challenge. Herein, we demonstrate the enhanced spin polarization and lattice oxygen migration on CoO</w:t>
      </w:r>
      <w:r>
        <w:t xml:space="preserve"> </w:t>
      </w:r>
      <w:r>
        <w:t>x</w:t>
      </w:r>
      <w:r>
        <w:t xml:space="preserve"> </w:t>
      </w:r>
      <w:r>
        <w:t>/Fe</w:t>
      </w:r>
      <w:r>
        <w:rPr>
          <w:vertAlign w:val="subscript"/>
        </w:rPr>
        <w:t>2</w:t>
      </w:r>
      <w:r>
        <w:t>O</w:t>
      </w:r>
      <w:r>
        <w:rPr>
          <w:vertAlign w:val="subscript"/>
        </w:rPr>
        <w:t>3</w:t>
      </w:r>
      <w:r>
        <w:t>catalyst for cyclohexane oxidation under solvent‐free conditions. We introduce highly dispersed CoO</w:t>
      </w:r>
      <w:r>
        <w:t xml:space="preserve"> </w:t>
      </w:r>
      <w:r>
        <w:t>x</w:t>
      </w:r>
      <w:r>
        <w:t xml:space="preserve"> </w:t>
      </w:r>
      <w:r>
        <w:t>clusters on iron oxide nanorods (Co/FeNR) through atomic layer deposition, forming interfacial Co–O–Fe active sites. The high‐spin Co atoms modulate the spin‐state of neighboring Fe atoms via double‐exchange interaction, promoting the adsorption and dissociation of triplet molecular oxygen. Meanwhile, Co effectively enhances the mobility of lattice oxygen, further forming the interface‐confined radical intermediate. Both spin polarization‐promoted oxygen activation and lattice oxygen migration drive the transformation of interface‐confined radicals, thus suppressing side reactions and enhancing selectivity. Benefiting from these effects, the 5Co/FeNR achieves 14.6% conversion and 82.7% selectivity for KA oil and mass‐specific reaction rate of 830.7 mmol·g</w:t>
      </w:r>
      <w:r>
        <w:t xml:space="preserve"> </w:t>
      </w:r>
      <w:r>
        <w:t>cat</w:t>
      </w:r>
      <w:r>
        <w:t xml:space="preserve"> </w:t>
      </w:r>
      <w:r>
        <w:t>−1</w:t>
      </w:r>
      <w:r>
        <w:t xml:space="preserve"> </w:t>
      </w:r>
      <w:r>
        <w:t>·h</w:t>
      </w:r>
      <w:r>
        <w:t xml:space="preserve"> </w:t>
      </w:r>
      <w:r>
        <w:t>−1</w:t>
      </w:r>
      <w:r>
        <w:t xml:space="preserve"> </w:t>
      </w:r>
      <w:r>
        <w:t>, which is approximately 6 times that of FeNR. This study provides valuable insights into the rational design of efficient oxidation catalysts.</w:t>
      </w:r>
    </w:p>
    <w:p>
      <w:pPr>
        <w:spacing w:before="120" w:after="120"/>
      </w:pPr>
      <w:r>
        <w:rPr>
          <w:sz w:val="18"/>
        </w:rPr>
        <w:t>——————————————————————————————————————————————————————————————————————</w:t>
      </w:r>
    </w:p>
    <w:p>
      <w:pPr>
        <w:spacing w:before="160" w:after="40" w:line="240" w:lineRule="auto"/>
      </w:pPr>
      <w:r>
        <w:rPr>
          <w:b/>
        </w:rPr>
        <w:t xml:space="preserve">[35] </w:t>
      </w:r>
      <w:hyperlink r:id="rId363">
        <w:r>
          <w:rPr>
            <w:color w:val="1155CC"/>
            <w:u w:val="single"/>
          </w:rPr>
          <w:t>氟化钴位点可实现太阳能增强中性活性氯电合成，用于原位海水净化</w:t>
        </w:r>
      </w:hyperlink>
    </w:p>
    <w:p>
      <w:pPr>
        <w:spacing w:before="0" w:after="80"/>
      </w:pPr>
      <w:r>
        <w:rPr>
          <w:i/>
          <w:sz w:val="20"/>
        </w:rPr>
        <w:t>EN: Fluorinated Cobalt Sites Enable Solar‐Enhanced Neutral Active Chlorine Electrosynthesis for In Situ Seawater Purification</w:t>
      </w:r>
    </w:p>
    <w:p>
      <w:pPr>
        <w:spacing w:before="0" w:after="120"/>
      </w:pPr>
      <w:r>
        <w:rPr>
          <w:b/>
        </w:rPr>
        <w:t xml:space="preserve">Source: </w:t>
      </w:r>
      <w:r>
        <w:t>Wiley: Angewandte Chemie International Edition: Table of Contents</w:t>
      </w:r>
      <w:r>
        <w:t xml:space="preserve">    </w:t>
      </w:r>
      <w:r>
        <w:rPr>
          <w:b/>
        </w:rPr>
        <w:t xml:space="preserve">Pub date: </w:t>
      </w:r>
      <w:r>
        <w:t>2026-05-30 12:01:39+00:00</w:t>
      </w:r>
      <w:r>
        <w:t xml:space="preserve">    </w:t>
      </w:r>
      <w:r>
        <w:rPr>
          <w:b/>
        </w:rPr>
        <w:t xml:space="preserve">DOI: </w:t>
      </w:r>
      <w:hyperlink r:id="rId364">
        <w:r>
          <w:rPr>
            <w:color w:val="1155CC"/>
            <w:u w:val="single"/>
          </w:rPr>
          <w:t>10.1002/anie.9156528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电催化析氯反应 (ClER) 提供了一种可持续的方法，可将丰富的海水氯化物转化为高活性氯物质，用于原位海洋净化。然而，实际实施仍然受到贵金属电极实现高选择性的需求的限制，而在中性条件下，析氧反应（OER）的激烈竞争和严重的阳极溶解会损害效率和稳定性。在这里，我们展示了一种采用表面氟化氢氧化钴纳米片（Co(OH)）的太阳能驱动策略</w:t>
      </w:r>
      <w:r>
        <w:t xml:space="preserve"> </w:t>
      </w:r>
      <w:r>
        <w:t>x</w:t>
      </w:r>
      <w:r>
        <w:t xml:space="preserve"> </w:t>
      </w:r>
      <w:r>
        <w:t>F</w:t>
      </w:r>
      <w:r>
        <w:t xml:space="preserve"> </w:t>
      </w:r>
      <w:r>
        <w:t>y</w:t>
      </w:r>
      <w:r>
        <w:t xml:space="preserve"> </w:t>
      </w:r>
      <w:r>
        <w:t>）作为一种高效、高选择性且不含贵金属的中性 pH ClER 催化剂。这种催化剂能够在几秒钟内快速降解多种常见的海洋污染物，包括抗生素、酚类和内分泌干扰物。原位表面询问扫描电化学显微镜（SI-SECM）和扫描电化学电池显微镜（SECCM）与理论计算相结合表明，表面氟化优化了Co（III）活性位点的配位和电子结构，显着增强了本征活性和选择性，特别是在边缘区域。此外，该催化剂独特地利用光活化选择性地放大氯的产生。该方法集成到无膜光电化学流动反应器中，通过信号实现直接海水净化</w:t>
      </w:r>
    </w:p>
    <w:p>
      <w:pPr>
        <w:spacing w:before="0" w:after="200" w:lineRule="auto" w:line="276"/>
      </w:pPr>
      <w:r>
        <w:rPr>
          <w:b/>
        </w:rPr>
        <w:t xml:space="preserve">Abstract (EN): </w:t>
      </w:r>
      <w:r>
        <w:t>The electrocatalytic chlorine evolution reaction (ClER) provides a sustainable approach for converting abundant seawater chloride into highly reactive chlorine species for in situ marine purification. However, the practical implementation remains limited by the need for precious‐metal‐based electrodes to achieve high selectivity, while under neutral conditions, intense competition from the oxygen evolution reaction (OER) and severe anode dissolution compromise both efficiency and stability. Here, we demonstrate a solar‐driven strategy employing surface‐fluorinated cobalt hydroxide nanosheets (Co(OH)</w:t>
      </w:r>
      <w:r>
        <w:t xml:space="preserve"> </w:t>
      </w:r>
      <w:r>
        <w:t>x</w:t>
      </w:r>
      <w:r>
        <w:t xml:space="preserve"> </w:t>
      </w:r>
      <w:r>
        <w:t>F</w:t>
      </w:r>
      <w:r>
        <w:t xml:space="preserve"> </w:t>
      </w:r>
      <w:r>
        <w:t>y</w:t>
      </w:r>
      <w:r>
        <w:t xml:space="preserve"> </w:t>
      </w:r>
      <w:r>
        <w:t>) as an efficient, highly selective, and precious‐metal‐free catalyst for neutral‐pH ClER. This catalyst enables rapid degradation of a broad spectrum of prevalent marine contaminants within seconds, including antibiotics, phenols, and endocrine disruptors. In situ surface‐interrogation scanning electrochemical microscopy (SI‐SECM) and scanning electrochemical cell microscopy (SECCM) combined with theoretical calculations reveal that surface fluorination optimizes the coordination and electronic structure of Co(III) active sites, significantly enhancing intrinsic activity and selectivity, particularly at edge regions. Furthermore, the catalyst uniquely leverages photo‐activation to selectively amplify chlorine generation. Integrated into a membrane‐free photoelectrochemical flow reactor, this approach achieves direct seawater purification with significantly reduced energy demand and carbon emissions, demonstrating compelling promise for scalable, environmentally benign marine water treatment.</w:t>
      </w:r>
    </w:p>
    <w:p>
      <w:pPr>
        <w:spacing w:before="120" w:after="120"/>
      </w:pPr>
      <w:r>
        <w:rPr>
          <w:sz w:val="18"/>
        </w:rPr>
        <w:t>——————————————————————————————————————————————————————————————————————</w:t>
      </w:r>
    </w:p>
    <w:p>
      <w:pPr>
        <w:spacing w:before="160" w:after="40" w:line="240" w:lineRule="auto"/>
      </w:pPr>
      <w:r>
        <w:rPr>
          <w:b/>
        </w:rPr>
        <w:t xml:space="preserve">[36] </w:t>
      </w:r>
      <w:hyperlink r:id="rId365">
        <w:r>
          <w:rPr>
            <w:color w:val="1155CC"/>
            <w:u w:val="single"/>
          </w:rPr>
          <w:t>安德烈·利沃夫</w:t>
        </w:r>
      </w:hyperlink>
    </w:p>
    <w:p>
      <w:pPr>
        <w:spacing w:before="0" w:after="80"/>
      </w:pPr>
      <w:r>
        <w:rPr>
          <w:i/>
          <w:sz w:val="20"/>
        </w:rPr>
        <w:t>EN: Andrey Lvov</w:t>
      </w:r>
    </w:p>
    <w:p>
      <w:pPr>
        <w:spacing w:before="0" w:after="120"/>
      </w:pPr>
      <w:r>
        <w:rPr>
          <w:b/>
        </w:rPr>
        <w:t xml:space="preserve">Source: </w:t>
      </w:r>
      <w:r>
        <w:t>Wiley: Angewandte Chemie International Edition: Table of Contents</w:t>
      </w:r>
      <w:r>
        <w:t xml:space="preserve">    </w:t>
      </w:r>
      <w:r>
        <w:rPr>
          <w:b/>
        </w:rPr>
        <w:t xml:space="preserve">Pub date: </w:t>
      </w:r>
      <w:r>
        <w:t>2026-05-30 12:05:38+00:00</w:t>
      </w:r>
      <w:r>
        <w:t xml:space="preserve">    </w:t>
      </w:r>
      <w:r>
        <w:rPr>
          <w:b/>
        </w:rPr>
        <w:t xml:space="preserve">DOI: </w:t>
      </w:r>
      <w:hyperlink r:id="rId366">
        <w:r>
          <w:rPr>
            <w:color w:val="1155CC"/>
            <w:u w:val="single"/>
          </w:rPr>
          <w:t>10.1002/anie.8101425</w:t>
        </w:r>
      </w:hyperlink>
    </w:p>
    <w:p>
      <w:pPr>
        <w:spacing w:before="0" w:after="120"/>
      </w:pPr>
      <w:r>
        <w:rPr>
          <w:b/>
        </w:rPr>
        <w:t xml:space="preserve">Notes: </w:t>
      </w:r>
      <w:r>
        <w:t>abstract_source=pubmed</w:t>
      </w:r>
    </w:p>
    <w:p>
      <w:pPr>
        <w:spacing w:before="0" w:after="80" w:lineRule="auto" w:line="276"/>
      </w:pPr>
      <w:r>
        <w:rPr>
          <w:b/>
        </w:rPr>
        <w:t xml:space="preserve">摘要（ZH）: </w:t>
      </w:r>
      <w:r>
        <w:t>“如果我能回到过去做任何实验，那就是在 Aleksei E. Chichibabin 的实验室中研究潜在的光致变色吡啶基硫靛……我工作中最具挑战性的部分是在团队中保持友好和创造性的氛围……”在 Andrey Lvov 的简介中了解更多关于 Andrey Lvov 的信息。</w:t>
      </w:r>
    </w:p>
    <w:p>
      <w:pPr>
        <w:spacing w:before="0" w:after="200" w:lineRule="auto" w:line="276"/>
      </w:pPr>
      <w:r>
        <w:rPr>
          <w:b/>
        </w:rPr>
        <w:t xml:space="preserve">Abstract (EN): </w:t>
      </w:r>
      <w:r>
        <w:t>"If I could go back in time and do any experiment, it would be the investigation of potentially photochromic pyridine-based thioindigo in the laboratory of Aleksei E. Chichibabin… The most challenging part of my job is maintain a friendly and creative atmosphere in the team…" Find out more about Andrey Lvov in his Introducing… Profile.</w:t>
      </w:r>
    </w:p>
    <w:p>
      <w:pPr>
        <w:spacing w:before="120" w:after="120"/>
      </w:pPr>
      <w:r>
        <w:rPr>
          <w:sz w:val="18"/>
        </w:rPr>
        <w:t>——————————————————————————————————————————————————————————————————————</w:t>
      </w:r>
    </w:p>
    <w:p>
      <w:pPr>
        <w:spacing w:before="160" w:after="40" w:line="240" w:lineRule="auto"/>
      </w:pPr>
      <w:r>
        <w:rPr>
          <w:b/>
        </w:rPr>
        <w:t xml:space="preserve">[37] </w:t>
      </w:r>
      <w:hyperlink r:id="rId367">
        <w:r>
          <w:rPr>
            <w:color w:val="1155CC"/>
            <w:u w:val="single"/>
          </w:rPr>
          <w:t>动态超支化拓扑网络实现坚韧且可修复的形状记忆弹性体</w:t>
        </w:r>
      </w:hyperlink>
    </w:p>
    <w:p>
      <w:pPr>
        <w:spacing w:before="0" w:after="80"/>
      </w:pPr>
      <w:r>
        <w:rPr>
          <w:i/>
          <w:sz w:val="20"/>
        </w:rPr>
        <w:t>EN: Tough and Healable Shape‐Memory Elastomers Enabled by Dynamic Hyperbranched Topological Networks</w:t>
      </w:r>
    </w:p>
    <w:p>
      <w:pPr>
        <w:spacing w:before="0" w:after="120"/>
      </w:pPr>
      <w:r>
        <w:rPr>
          <w:b/>
        </w:rPr>
        <w:t xml:space="preserve">Source: </w:t>
      </w:r>
      <w:r>
        <w:t>Wiley: Advanced Materials: Table of Contents</w:t>
      </w:r>
      <w:r>
        <w:t xml:space="preserve">    </w:t>
      </w:r>
      <w:r>
        <w:rPr>
          <w:b/>
        </w:rPr>
        <w:t xml:space="preserve">Pub date: </w:t>
      </w:r>
      <w:r>
        <w:t>2026-05-30 13:55:43+00:00</w:t>
      </w:r>
      <w:r>
        <w:t xml:space="preserve">    </w:t>
      </w:r>
      <w:r>
        <w:rPr>
          <w:b/>
        </w:rPr>
        <w:t xml:space="preserve">DOI: </w:t>
      </w:r>
      <w:hyperlink r:id="rId368">
        <w:r>
          <w:rPr>
            <w:color w:val="1155CC"/>
            <w:u w:val="single"/>
          </w:rPr>
          <w:t>10.1002/adma.73541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快速自愈性和形状记忆集成到坚韧的聚氨酯弹性体中对于人造肌肉和软执行器的应用来说是非常理想的。然而，这种组合从根本上受到强相分离和动态相互作用之间固有的结构权衡的限制。在此，我们开发了一种动态超支化拓扑策略来设计金纳米颗粒交联聚氨酯弹性体，该弹性体具有分层结构，包括动态拓扑网络、具有强氢键的增强硬域以及与非晶基体相分离的纳米组件，其中预先填充了软链段以实现超灵敏应变诱导结晶（SIC）。动态键的可逆解离/结合以及硬域和组件的渐进破裂有助于能量耗散，而超灵敏的 SIC 能够实现网络自我增强，提供 53 MPa 的高强度、483.3 MJ m 的韧性</w:t>
      </w:r>
      <w:r>
        <w:t xml:space="preserve"> </w:t>
      </w:r>
      <w:r>
        <w:t>−3</w:t>
      </w:r>
      <w:r>
        <w:t xml:space="preserve"> </w:t>
      </w:r>
      <w:r>
        <w:t>，断裂能为 352.5 kJ m</w:t>
      </w:r>
      <w:r>
        <w:t xml:space="preserve"> </w:t>
      </w:r>
      <w:r>
        <w:t>−2</w:t>
      </w:r>
      <w:r>
        <w:t xml:space="preserve"> </w:t>
      </w:r>
      <w:r>
        <w:t>。同时，丰富的动态键使弹性体能够快速自修复，在近红外照射 2 分钟后修复效率高达 93.5%。伴随着敏感的 SIC 诱导的网络固定，这些弹性体表现出显着的形状记忆，形状固定率为 91%，形状恢复率为 94.7%。基于前所未有的组合属性，这项工作建立了分层的设计范式</w:t>
      </w:r>
    </w:p>
    <w:p>
      <w:pPr>
        <w:spacing w:before="0" w:after="200" w:lineRule="auto" w:line="276"/>
      </w:pPr>
      <w:r>
        <w:rPr>
          <w:b/>
        </w:rPr>
        <w:t xml:space="preserve">Abstract (EN): </w:t>
      </w:r>
      <w:r>
        <w:t>Integrating rapid self‐healability and shape memory into tough polyurethane elastomers is highly desirable for applications of artificial muscles and soft actuators. However, this combination is fundamentally limited by an inherent structural trade‐off between strong phase separation and dynamic interactions. Herein, we develop a dynamic hyperbranched topology strategy to engineer gold nanoparticle‐crosslinked polyurethane elastomers featuring a hierarchical structure that includes dynamic topological networks, enhanced hard domains with strong hydrogen bonds, and nano‐assemblies phase‐separated from an amorphous matrix in which soft segments are prepacked for ultrasensitive strain‐induced crystallization (SIC). Reversible dissociation/combination of dynamic bonds and progressive rupture of hard domains and assemblies contribute to energy dissipation, while ultrasensitive SIC enables network self‐reinforcement, affording a high strength of 53 MPa, a toughness of 483.3 MJ m</w:t>
      </w:r>
      <w:r>
        <w:t xml:space="preserve"> </w:t>
      </w:r>
      <w:r>
        <w:t>−3</w:t>
      </w:r>
      <w:r>
        <w:t xml:space="preserve"> </w:t>
      </w:r>
      <w:r>
        <w:t>, and a fracture energy of 352.5 kJ m</w:t>
      </w:r>
      <w:r>
        <w:t xml:space="preserve"> </w:t>
      </w:r>
      <w:r>
        <w:t>−2</w:t>
      </w:r>
      <w:r>
        <w:t xml:space="preserve"> </w:t>
      </w:r>
      <w:r>
        <w:t>. Meanwhile, abundant dynamic bonds enable rapid self‐healability of the elastomer with a healing efficiency of 93.5% upon 2‐min near‑infrared  irradiation. Accompanied by sensitive SIC‐induced network fixation, these elastomers show remarkable shape memory with a shape fixation ratio of 91% and a shape recovery ratio of 94.7%. Based on the unprecedented combinational properties, this work establishes a design paradigm for hierarchically structured elastomers that reconcile high mechanical performance with smart stimulus responsiveness.</w:t>
      </w:r>
    </w:p>
    <w:p>
      <w:pPr>
        <w:spacing w:before="120" w:after="120"/>
      </w:pPr>
      <w:r>
        <w:rPr>
          <w:sz w:val="18"/>
        </w:rPr>
        <w:t>——————————————————————————————————————————————————————————————————————</w:t>
      </w:r>
    </w:p>
    <w:p>
      <w:pPr>
        <w:spacing w:before="160" w:after="40" w:line="240" w:lineRule="auto"/>
      </w:pPr>
      <w:r>
        <w:rPr>
          <w:b/>
        </w:rPr>
        <w:t xml:space="preserve">[38] </w:t>
      </w:r>
      <w:hyperlink r:id="rId369">
        <w:r>
          <w:rPr>
            <w:color w:val="1155CC"/>
            <w:u w:val="single"/>
          </w:rPr>
          <w:t>超窄带短波红外J聚集材料的形成及其在多光谱光声层析成像中的应用</w:t>
        </w:r>
      </w:hyperlink>
    </w:p>
    <w:p>
      <w:pPr>
        <w:spacing w:before="0" w:after="80"/>
      </w:pPr>
      <w:r>
        <w:rPr>
          <w:i/>
          <w:sz w:val="20"/>
        </w:rPr>
        <w:t>EN: Formation of Ultra‐Narrowband SWIR J‐Aggregate Materials and Their Applications in Multispectral Optoacoustic Tomography Imaging</w:t>
      </w:r>
    </w:p>
    <w:p>
      <w:pPr>
        <w:spacing w:before="0" w:after="120"/>
      </w:pPr>
      <w:r>
        <w:rPr>
          <w:b/>
        </w:rPr>
        <w:t xml:space="preserve">Source: </w:t>
      </w:r>
      <w:r>
        <w:t>Wiley: Advanced Materials: Table of Contents</w:t>
      </w:r>
      <w:r>
        <w:t xml:space="preserve">    </w:t>
      </w:r>
      <w:r>
        <w:rPr>
          <w:b/>
        </w:rPr>
        <w:t xml:space="preserve">Pub date: </w:t>
      </w:r>
      <w:r>
        <w:t>2026-05-30 13:56:21+00:00</w:t>
      </w:r>
      <w:r>
        <w:t xml:space="preserve">    </w:t>
      </w:r>
      <w:r>
        <w:rPr>
          <w:b/>
        </w:rPr>
        <w:t xml:space="preserve">DOI: </w:t>
      </w:r>
      <w:hyperlink r:id="rId370">
        <w:r>
          <w:rPr>
            <w:color w:val="1155CC"/>
            <w:u w:val="single"/>
          </w:rPr>
          <w:t>10.1002/adma.73576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超窄带材料为高分辨率成像、精密传感和先进光子应用提供了卓越的光谱纯度，但在短波红外 (SWIR) 中实现超窄带吸收的分子系统仍然极其罕见。这种稀缺性源于长波长吸收、振动展宽和无序聚集过程中通常出现的结构无序之间的内在权衡。在这里，我们引入了通过受控空间位阻、磺酸盐介导的静电相互作用和 π 共轭设计合理设计的短波红外花青染料，以促进高度有序的 J 聚集。优化后的染料 IRJ1089 组装成非常稳定且无封装的 J 聚集体，表现出高光声信号生成效率和 1089 nm 处的超窄带吸收，半高宽为 164 cm</w:t>
      </w:r>
      <w:r>
        <w:t xml:space="preserve"> </w:t>
      </w:r>
      <w:r>
        <w:t>−1</w:t>
      </w:r>
      <w:r>
        <w:t xml:space="preserve"> </w:t>
      </w:r>
      <w:r>
        <w:t>（19.4 纳米）。基于结构类似物（IRJ1021）的晶体学数据和计算分析，我们提出磺酸盐基团和极化π主链之间的静电联锁，以及有利的滑移堆积几何形状，促进了聚集体有序性并增强了J聚集体的稳定性。 IRJ1089 J-聚集体支持大鼠体内深部脉管系统（~1.2 cm）的高对比度多光谱光声断层扫描（MSOT）成像，能够实时监测降压药物引起的主动脉扩张，并允许无串扰的短波红外多重成像用于诊断结直肠癌</w:t>
      </w:r>
    </w:p>
    <w:p>
      <w:pPr>
        <w:spacing w:before="0" w:after="200" w:lineRule="auto" w:line="276"/>
      </w:pPr>
      <w:r>
        <w:rPr>
          <w:b/>
        </w:rPr>
        <w:t xml:space="preserve">Abstract (EN): </w:t>
      </w:r>
      <w:r>
        <w:t>Ultra‐narrowband materials provide exceptional spectral purity for high‐resolution imaging, precision sensing, and advanced photonic applications, yet molecular systems achieving ultra‐narrowband absorption in the short‐wave infrared (SWIR) remain exceedingly rare. This scarcity arises from the intrinsic trade‐off between long‐wavelength absorption, vibrational broadening, and the structural disorder that typically emerges during disordered aggregation. Here, we introduce SWIR cyanine dyes rationally engineered through controlled steric hindrance, sulfonate‐mediated electrostatic interactions, and π‐conjugation design to promote highly ordered J‐aggregation. The optimized dye, IRJ1089, assembles into remarkably stable and encapsulation‐free J‐aggregates, exhibiting high optoacoustic signal generation efficiency and ultra‐narrowband absorption at 1089 nm with a FWHM of 164 cm</w:t>
      </w:r>
      <w:r>
        <w:t xml:space="preserve"> </w:t>
      </w:r>
      <w:r>
        <w:t>−1</w:t>
      </w:r>
      <w:r>
        <w:t xml:space="preserve"> </w:t>
      </w:r>
      <w:r>
        <w:t>(19.4 nm). Based on a structural analogue's (IRJ1021) crystallographic data and computational analyses, we propose that electrostatic interlocking between sulfonate groups and the polarized π‐backbone, together with favorable slip‐stacking geometry, promotes aggregate order and enhances the J‐aggregates’ stability. IRJ1089 J‐aggregates support high‐contrast multispectral optoacoustic tomography (MSOT) imaging in vasculature deep inside rats (∼1.2 cm), enable real‐time monitoring of antihypertensive drug‐induced aortic dilation, and allow crosstalk‐free SWIR multiplexed imaging for diagnosing colorectal cancer‐associated intestinal obstruction. These findings establish a generalizable blueprint for designing ultra‐narrowband J‐aggregating dyes and provide valuable insights into other SWIR photonic materials in multiple areas.</w:t>
      </w:r>
    </w:p>
    <w:p>
      <w:pPr>
        <w:spacing w:before="120" w:after="120"/>
      </w:pPr>
      <w:r>
        <w:rPr>
          <w:sz w:val="18"/>
        </w:rPr>
        <w:t>——————————————————————————————————————————————————————————————————————</w:t>
      </w:r>
    </w:p>
    <w:p>
      <w:pPr>
        <w:spacing w:before="160" w:after="40" w:line="240" w:lineRule="auto"/>
      </w:pPr>
      <w:r>
        <w:rPr>
          <w:b/>
        </w:rPr>
        <w:t xml:space="preserve">[39] </w:t>
      </w:r>
      <w:hyperlink r:id="rId371">
        <w:r>
          <w:rPr>
            <w:color w:val="1155CC"/>
            <w:u w:val="single"/>
          </w:rPr>
          <w:t>Li+介导的铝硅酸盐玻璃陶瓷的拓扑调控：多功能光电应用的近全结晶度</w:t>
        </w:r>
      </w:hyperlink>
    </w:p>
    <w:p>
      <w:pPr>
        <w:spacing w:before="0" w:after="80"/>
      </w:pPr>
      <w:r>
        <w:rPr>
          <w:i/>
          <w:sz w:val="20"/>
        </w:rPr>
        <w:t>EN: Li+‐Mediated Topological Regulation of Aluminosilicate Glass Ceramics: Near‐Full Crystallinity for Multifunctional Optoelectronic Applications</w:t>
      </w:r>
    </w:p>
    <w:p>
      <w:pPr>
        <w:spacing w:before="0" w:after="120"/>
      </w:pPr>
      <w:r>
        <w:rPr>
          <w:b/>
        </w:rPr>
        <w:t xml:space="preserve">Source: </w:t>
      </w:r>
      <w:r>
        <w:t>Wiley: Advanced Materials: Table of Contents</w:t>
      </w:r>
      <w:r>
        <w:t xml:space="preserve">    </w:t>
      </w:r>
      <w:r>
        <w:rPr>
          <w:b/>
        </w:rPr>
        <w:t xml:space="preserve">Pub date: </w:t>
      </w:r>
      <w:r>
        <w:t>2026-05-30 15:25:21+00:00</w:t>
      </w:r>
      <w:r>
        <w:t xml:space="preserve">    </w:t>
      </w:r>
      <w:r>
        <w:rPr>
          <w:b/>
        </w:rPr>
        <w:t xml:space="preserve">DOI: </w:t>
      </w:r>
      <w:hyperlink r:id="rId372">
        <w:r>
          <w:rPr>
            <w:color w:val="1155CC"/>
            <w:u w:val="single"/>
          </w:rPr>
          <w:t>10.1002/adma.73581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由于晶体体积分数和晶界光散射之间的内在权衡，开发具有超高结晶度和优异光学透明度的玻璃陶瓷（GC）仍然是一个艰巨的挑战。在此，李</w:t>
      </w:r>
      <w:r>
        <w:t xml:space="preserve"> </w:t>
      </w:r>
      <w:r>
        <w:t>+</w:t>
      </w:r>
      <w:r>
        <w:t xml:space="preserve"> </w:t>
      </w:r>
      <w:r>
        <w:t>‐ 开发掺杂介导的拓扑网络调节策略来解决 MgO-Al 中的这一困境</w:t>
      </w:r>
      <w:r>
        <w:rPr>
          <w:vertAlign w:val="subscript"/>
        </w:rPr>
        <w:t>2</w:t>
      </w:r>
      <w:r>
        <w:t>氧</w:t>
      </w:r>
      <w:r>
        <w:rPr>
          <w:vertAlign w:val="subscript"/>
        </w:rPr>
        <w:t>3</w:t>
      </w:r>
      <w:r>
        <w:t>-二氧化硅</w:t>
      </w:r>
      <w:r>
        <w:rPr>
          <w:vertAlign w:val="subscript"/>
        </w:rPr>
        <w:t>2</w:t>
      </w:r>
      <w:r>
        <w:t>透明 GC (TGC)。结合实验表征和分子动力学模拟证实Li</w:t>
      </w:r>
      <w:r>
        <w:t xml:space="preserve"> </w:t>
      </w:r>
      <w:r>
        <w:t>+</w:t>
      </w:r>
      <w:r>
        <w:t xml:space="preserve"> </w:t>
      </w:r>
      <w:r>
        <w:t>作为网络改性剂，可以松弛刚性四面体框架、定制铝配位并优化结晶动力学。这将结晶度从 5.6 vol% 提高到 97.0 vol%（接近完全结晶度），同时通过晶体和残留玻璃之间的折射率匹配保持高透明度。欧盟</w:t>
      </w:r>
      <w:r>
        <w:t xml:space="preserve"> </w:t>
      </w:r>
      <w:r>
        <w:t>2+</w:t>
      </w:r>
      <w:r>
        <w:t xml:space="preserve"> </w:t>
      </w:r>
      <w:r>
        <w:t>‐活化的高结晶度 TGC 表现出优异的多功能光学性能，包括 63% 的高内量子效率、良好的抗热猝灭性（150°C 下强度保持率为 82%）以及 5740 光子/MeV 的高 X 射线产率。它们在高功率室内/园艺照明和高分辨率 X 射线闪烁方面的实际适用性得到了进一步验证。这项工作为玻璃网络白杨的合理设计建立了通用的拓扑工程范式</w:t>
      </w:r>
    </w:p>
    <w:p>
      <w:pPr>
        <w:spacing w:before="0" w:after="200" w:lineRule="auto" w:line="276"/>
      </w:pPr>
      <w:r>
        <w:rPr>
          <w:b/>
        </w:rPr>
        <w:t xml:space="preserve">Abstract (EN): </w:t>
      </w:r>
      <w:r>
        <w:t>Developing glass ceramics (GCs) with ultrahigh crystallinity and excellent optical transparency remains a formidable challenge due to the intrinsic trade‐off between crystalline volume fraction and grain boundary light scattering. Herein, a Li</w:t>
      </w:r>
      <w:r>
        <w:t xml:space="preserve"> </w:t>
      </w:r>
      <w:r>
        <w:t>+</w:t>
      </w:r>
      <w:r>
        <w:t xml:space="preserve"> </w:t>
      </w:r>
      <w:r>
        <w:t>‐ doping mediated topological network regulation strategy is developed to address this dilemma in MgO‐Al</w:t>
      </w:r>
      <w:r>
        <w:rPr>
          <w:vertAlign w:val="subscript"/>
        </w:rPr>
        <w:t>2</w:t>
      </w:r>
      <w:r>
        <w:t>O</w:t>
      </w:r>
      <w:r>
        <w:rPr>
          <w:vertAlign w:val="subscript"/>
        </w:rPr>
        <w:t>3</w:t>
      </w:r>
      <w:r>
        <w:t>‐SiO</w:t>
      </w:r>
      <w:r>
        <w:rPr>
          <w:vertAlign w:val="subscript"/>
        </w:rPr>
        <w:t>2</w:t>
      </w:r>
      <w:r>
        <w:t>transparent GCs (TGCs). Combined experimental characterizations and molecular dynamics simulations confirm that Li</w:t>
      </w:r>
      <w:r>
        <w:t xml:space="preserve"> </w:t>
      </w:r>
      <w:r>
        <w:t>+</w:t>
      </w:r>
      <w:r>
        <w:t xml:space="preserve"> </w:t>
      </w:r>
      <w:r>
        <w:t>acts as a network modifier to relax the rigid tetrahedral framework, tailor Al coordination, and optimize crystallization kinetics. This boosts crystallinity from 5.6 to 97.0 vol% (near‐full crystallinity) while retaining high transparency via refractive index matching between the crystal and residual glass. Eu</w:t>
      </w:r>
      <w:r>
        <w:t xml:space="preserve"> </w:t>
      </w:r>
      <w:r>
        <w:t>2+</w:t>
      </w:r>
      <w:r>
        <w:t xml:space="preserve"> </w:t>
      </w:r>
      <w:r>
        <w:t>‐activated high‐crystallinity TGCs exhibit superior multifunctional optical performance, including a high internal quantum efficiency of 63%, good resistance to thermal quenching (82% intensity retention at 150°C), and a high x‐ray light yield of 5740 photons/MeV. Their practical applicability is further validated for high‐power indoor/horticultural lighting and high‐resolution x‐ray scintillation. This work establishes a universal topological engineering paradigm for the rational design of glass network topologies, which provides a new solution to the transparency‐crystallinity trade‐off in GCs and paves the way for next‐generation high‐performance TGCs‐based optoelectronic devices.</w:t>
      </w:r>
    </w:p>
    <w:p>
      <w:pPr>
        <w:spacing w:before="120" w:after="120"/>
      </w:pPr>
      <w:r>
        <w:rPr>
          <w:sz w:val="18"/>
        </w:rPr>
        <w:t>——————————————————————————————————————————————————————————————————————</w:t>
      </w:r>
    </w:p>
    <w:p>
      <w:pPr>
        <w:spacing w:before="160" w:after="40" w:line="240" w:lineRule="auto"/>
      </w:pPr>
      <w:r>
        <w:rPr>
          <w:b/>
        </w:rPr>
        <w:t xml:space="preserve">[40] </w:t>
      </w:r>
      <w:hyperlink r:id="rId373">
        <w:r>
          <w:rPr>
            <w:color w:val="1155CC"/>
            <w:u w:val="single"/>
          </w:rPr>
          <w:t>南方国家的化石锁定、资源依赖和能源转型政策</w:t>
        </w:r>
      </w:hyperlink>
    </w:p>
    <w:p>
      <w:pPr>
        <w:spacing w:before="0" w:after="80"/>
      </w:pPr>
      <w:r>
        <w:rPr>
          <w:i/>
          <w:sz w:val="20"/>
        </w:rPr>
        <w:t>EN: Fossil lock-in, resource dependence, and energy transition policy in the Global South</w:t>
      </w:r>
    </w:p>
    <w:p>
      <w:pPr>
        <w:spacing w:before="0" w:after="120"/>
      </w:pPr>
      <w:r>
        <w:rPr>
          <w:b/>
        </w:rPr>
        <w:t xml:space="preserve">Source: </w:t>
      </w:r>
      <w:r>
        <w:t>ScienceDirect Publication: Energy Policy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374">
        <w:r>
          <w:rPr>
            <w:color w:val="1155CC"/>
            <w:u w:val="single"/>
          </w:rPr>
          <w:t>多目标优化和强化学习的全过程可解释风速组合预测</w:t>
        </w:r>
      </w:hyperlink>
    </w:p>
    <w:p>
      <w:pPr>
        <w:spacing w:before="0" w:after="80"/>
      </w:pPr>
      <w:r>
        <w:rPr>
          <w:i/>
          <w:sz w:val="20"/>
        </w:rPr>
        <w:t>EN: Whole-process interpretable wind speed combination forecasting with multi-objective optimization and reinforcement learning</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375">
        <w:r>
          <w:rPr>
            <w:color w:val="1155CC"/>
            <w:u w:val="single"/>
          </w:rPr>
          <w:t>使用贝叶斯优化的电动汽车尺寸和控制协同优化</w:t>
        </w:r>
      </w:hyperlink>
    </w:p>
    <w:p>
      <w:pPr>
        <w:spacing w:before="0" w:after="80"/>
      </w:pPr>
      <w:r>
        <w:rPr>
          <w:i/>
          <w:sz w:val="20"/>
        </w:rPr>
        <w:t>EN: Size and control co-optimization of electric vehicles using Bayesian optimization</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376">
        <w:r>
          <w:rPr>
            <w:color w:val="1155CC"/>
            <w:u w:val="single"/>
          </w:rPr>
          <w:t>天然气基础设施和电力系统的综合脆弱性和依赖性评估：传统和新兴算法的回顾</w:t>
        </w:r>
      </w:hyperlink>
    </w:p>
    <w:p>
      <w:pPr>
        <w:spacing w:before="0" w:after="80"/>
      </w:pPr>
      <w:r>
        <w:rPr>
          <w:i/>
          <w:sz w:val="20"/>
        </w:rPr>
        <w:t>EN: Integrated vulnerability and dependency assessment in natural gas infrastructure and power systems: A review of traditional and emerging algorithms</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377">
        <w:r>
          <w:rPr>
            <w:color w:val="1155CC"/>
            <w:u w:val="single"/>
          </w:rPr>
          <w:t>分散世界中的能源贫困趋同：来自非经合组织国家的多维证据</w:t>
        </w:r>
      </w:hyperlink>
    </w:p>
    <w:p>
      <w:pPr>
        <w:spacing w:before="0" w:after="80"/>
      </w:pPr>
      <w:r>
        <w:rPr>
          <w:i/>
          <w:sz w:val="20"/>
        </w:rPr>
        <w:t>EN: Energy poverty convergence in a fragmented world: Multidimensional evidence from non-OECD countries</w:t>
      </w:r>
    </w:p>
    <w:p>
      <w:pPr>
        <w:spacing w:before="0" w:after="120"/>
      </w:pPr>
      <w:r>
        <w:rPr>
          <w:b/>
        </w:rPr>
        <w:t xml:space="preserve">Source: </w:t>
      </w:r>
      <w:r>
        <w:t>ScienceDirect Publication: Energy Policy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378">
        <w:r>
          <w:rPr>
            <w:color w:val="1155CC"/>
            <w:u w:val="single"/>
          </w:rPr>
          <w:t>光轴：太阳能加压纺丝用于可持续纤维生产</w:t>
        </w:r>
      </w:hyperlink>
    </w:p>
    <w:p>
      <w:pPr>
        <w:spacing w:before="0" w:after="80"/>
      </w:pPr>
      <w:r>
        <w:rPr>
          <w:i/>
          <w:sz w:val="20"/>
        </w:rPr>
        <w:t>EN: Spindle of light: solar-powered pressurised spinning for sustainable fibre production</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379">
        <w:r>
          <w:rPr>
            <w:color w:val="1155CC"/>
            <w:u w:val="single"/>
          </w:rPr>
          <w:t>人工智能与能源教育：协同技术创新与人力资本发展，共创可持续未来——应用能源50周年特刊</w:t>
        </w:r>
      </w:hyperlink>
    </w:p>
    <w:p>
      <w:pPr>
        <w:spacing w:before="0" w:after="80"/>
      </w:pPr>
      <w:r>
        <w:rPr>
          <w:i/>
          <w:sz w:val="20"/>
        </w:rPr>
        <w:t>EN: Artificial intelligence and energy education: synergizing technological innovation with human capital development for a sustainable future - for the applied energy 50th anniversary special issue</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380">
        <w:r>
          <w:rPr>
            <w:color w:val="1155CC"/>
            <w:u w:val="single"/>
          </w:rPr>
          <w:t>拥塞的双重惩罚：容量市场中的 V2G 聚合</w:t>
        </w:r>
      </w:hyperlink>
    </w:p>
    <w:p>
      <w:pPr>
        <w:spacing w:before="0" w:after="80"/>
      </w:pPr>
      <w:r>
        <w:rPr>
          <w:i/>
          <w:sz w:val="20"/>
        </w:rPr>
        <w:t>EN: The double penalty of congestion: V2G aggregation in capacity markets</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381">
        <w:r>
          <w:rPr>
            <w:color w:val="1155CC"/>
            <w:u w:val="single"/>
          </w:rPr>
          <w:t>用于安全智能电网优化的集成强化学习和区块链框架</w:t>
        </w:r>
      </w:hyperlink>
    </w:p>
    <w:p>
      <w:pPr>
        <w:spacing w:before="0" w:after="80"/>
      </w:pPr>
      <w:r>
        <w:rPr>
          <w:i/>
          <w:sz w:val="20"/>
        </w:rPr>
        <w:t>EN: Integrated reinforcement learning and blockchain framework for secure smart grid optimization</w:t>
      </w:r>
    </w:p>
    <w:p>
      <w:pPr>
        <w:spacing w:before="0" w:after="120"/>
      </w:pPr>
      <w:r>
        <w:rPr>
          <w:b/>
        </w:rPr>
        <w:t xml:space="preserve">Source: </w:t>
      </w:r>
      <w:r>
        <w:t>ScienceDirect Publication: Applied Energy</w:t>
      </w:r>
      <w:r>
        <w:t xml:space="preserve">    </w:t>
      </w:r>
      <w:r>
        <w:rPr>
          <w:b/>
        </w:rPr>
        <w:t xml:space="preserve">Pub date: </w:t>
      </w:r>
      <w:r>
        <w:t>2026-05-31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382">
        <w:r>
          <w:rPr>
            <w:color w:val="1155CC"/>
            <w:u w:val="single"/>
          </w:rPr>
          <w:t>Shoupeng Cao</w:t>
        </w:r>
      </w:hyperlink>
    </w:p>
    <w:p>
      <w:pPr>
        <w:spacing w:before="0" w:after="120"/>
      </w:pPr>
      <w:r>
        <w:rPr>
          <w:b/>
        </w:rPr>
        <w:t xml:space="preserve">Source: </w:t>
      </w:r>
      <w:r>
        <w:t>Wiley: Angewandte Chemie International Edition: Table of Contents</w:t>
      </w:r>
      <w:r>
        <w:t xml:space="preserve">    </w:t>
      </w:r>
      <w:r>
        <w:rPr>
          <w:b/>
        </w:rPr>
        <w:t xml:space="preserve">Pub date: </w:t>
      </w:r>
      <w:r>
        <w:t>2026-05-31 16:09:44+00:00</w:t>
      </w:r>
      <w:r>
        <w:t xml:space="preserve">    </w:t>
      </w:r>
      <w:r>
        <w:rPr>
          <w:b/>
        </w:rPr>
        <w:t xml:space="preserve">DOI: </w:t>
      </w:r>
      <w:hyperlink r:id="rId383">
        <w:r>
          <w:rPr>
            <w:color w:val="1155CC"/>
            <w:u w:val="single"/>
          </w:rPr>
          <w:t>10.1002/anie.7347662</w:t>
        </w:r>
      </w:hyperlink>
    </w:p>
    <w:p>
      <w:pPr>
        <w:spacing w:before="0" w:after="120"/>
      </w:pPr>
      <w:r>
        <w:rPr>
          <w:b/>
        </w:rPr>
        <w:t xml:space="preserve">Notes: </w:t>
      </w:r>
      <w:r>
        <w:t>abstract_source=pubmed</w:t>
      </w:r>
    </w:p>
    <w:p>
      <w:pPr>
        <w:spacing w:before="0" w:after="80" w:lineRule="auto" w:line="276"/>
      </w:pPr>
      <w:r>
        <w:rPr>
          <w:b/>
        </w:rPr>
        <w:t xml:space="preserve">摘要（ZH）: </w:t>
      </w:r>
      <w:r>
        <w:t>“当我集思广益地讨论分子设计和自组装的新想法和机制时，我忘记了时间……我最大的动机不仅是追求卓越的研究，而且通过有意义的指导和共同的学术成长来培养和激励年轻一代……”在曹首鹏的介绍中了解更多关于他的简介……简介。</w:t>
      </w:r>
    </w:p>
    <w:p>
      <w:pPr>
        <w:spacing w:before="0" w:after="200" w:lineRule="auto" w:line="276"/>
      </w:pPr>
      <w:r>
        <w:rPr>
          <w:b/>
        </w:rPr>
        <w:t xml:space="preserve">Abstract (EN): </w:t>
      </w:r>
      <w:r>
        <w:t>"I lose track of time when I brainstorm new ideas and mechanisms for molecular design and self-assembly… My biggest motivation is not only to pursue excellent research but also to cultivate and inspire the younger generation through meaningful mentorship and mutual academic growth…" Find out more about Shoupeng Cao in his Introducing… Profile.</w:t>
      </w:r>
    </w:p>
    <w:p>
      <w:pPr>
        <w:spacing w:before="120" w:after="120"/>
      </w:pPr>
      <w:r>
        <w:rPr>
          <w:sz w:val="18"/>
        </w:rPr>
        <w:t>——————————————————————————————————————————————————————————————————————</w:t>
      </w:r>
    </w:p>
    <w:p>
      <w:pPr>
        <w:spacing w:before="160" w:after="40" w:line="240" w:lineRule="auto"/>
      </w:pPr>
      <w:r>
        <w:rPr>
          <w:b/>
        </w:rPr>
        <w:t xml:space="preserve">[50] </w:t>
      </w:r>
      <w:hyperlink r:id="rId384">
        <w:r>
          <w:rPr>
            <w:color w:val="1155CC"/>
            <w:u w:val="single"/>
          </w:rPr>
          <w:t>MoS2 上的边缘硫空位可实现 5-羟甲基糠醛的室温加氢脱氧</w:t>
        </w:r>
      </w:hyperlink>
    </w:p>
    <w:p>
      <w:pPr>
        <w:spacing w:before="0" w:after="80"/>
      </w:pPr>
      <w:r>
        <w:rPr>
          <w:i/>
          <w:sz w:val="20"/>
        </w:rPr>
        <w:t>EN: Edge Sulfur Vacancies on MoS2 Enable Room‐Temperature Hydrodeoxygenation of 5‐Hydroxymethylfurfural</w:t>
      </w:r>
    </w:p>
    <w:p>
      <w:pPr>
        <w:spacing w:before="0" w:after="120"/>
      </w:pPr>
      <w:r>
        <w:rPr>
          <w:b/>
        </w:rPr>
        <w:t xml:space="preserve">Source: </w:t>
      </w:r>
      <w:r>
        <w:t>Wiley: Angewandte Chemie International Edition: Table of Contents</w:t>
      </w:r>
      <w:r>
        <w:t xml:space="preserve">    </w:t>
      </w:r>
      <w:r>
        <w:rPr>
          <w:b/>
        </w:rPr>
        <w:t xml:space="preserve">Pub date: </w:t>
      </w:r>
      <w:r>
        <w:t>2026-05-31 16:10:54+00:00</w:t>
      </w:r>
      <w:r>
        <w:t xml:space="preserve">    </w:t>
      </w:r>
      <w:r>
        <w:rPr>
          <w:b/>
        </w:rPr>
        <w:t xml:space="preserve">DOI: </w:t>
      </w:r>
      <w:hyperlink r:id="rId385">
        <w:r>
          <w:rPr>
            <w:color w:val="1155CC"/>
            <w:u w:val="single"/>
          </w:rPr>
          <w:t>10.1002/anie.4384058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将生物质衍生的平台分子 5-羟甲基糠醛 (HMF) 选择性加氢脱氧 (HDO) 转化为具有高活性和选择性的合成化学品和液体生物燃料是有吸引力但具有挑战性的，特别是在低温下。在此，我们报道了一种高活性和选择性的 MoS2</w:t>
      </w:r>
      <w:r>
        <w:rPr>
          <w:vertAlign w:val="subscript"/>
        </w:rPr>
        <w:t>2</w:t>
      </w:r>
      <w:r>
        <w:t>催化剂（表示为MoS</w:t>
      </w:r>
      <w:r>
        <w:rPr>
          <w:vertAlign w:val="subscript"/>
        </w:rPr>
        <w:t>2</w:t>
      </w:r>
      <w:r>
        <w:t>‐T）通过使用改进的硬模板方法富集了边缘硫空位，在 70°C 的 HMF 的 HDO 中，C6 燃料混合物（2,5-二甲基呋喃 (DMF) 和 1,2-双（5-甲基-2-呋喃基）乙烯（BMFE）的混合物）的产率高达 97.2%。特别是，即使在室温下，随着反应时间的延长，HMF转化率也可以达到100%。 H-D交换、KIE实验和密度函数理论研究相结合表明，MoS2上存在丰富的边缘硫空位</w:t>
      </w:r>
      <w:r>
        <w:rPr>
          <w:vertAlign w:val="subscript"/>
        </w:rPr>
        <w:t>2</w:t>
      </w:r>
      <w:r>
        <w:t>‐T 促进 H 的激活和解离</w:t>
      </w:r>
      <w:r>
        <w:rPr>
          <w:vertAlign w:val="subscript"/>
        </w:rPr>
        <w:t>2</w:t>
      </w:r>
      <w:r>
        <w:t>以及 C─O 键的断裂，从而解释了 HMF 在接近环境温度下的高活性转化。这项工作中开发的空位工程策略为设计高效、低成本的非贵金属催化剂以从生物质生产呋喃基燃料提供了一种新方法。</w:t>
      </w:r>
    </w:p>
    <w:p>
      <w:pPr>
        <w:spacing w:before="0" w:after="200" w:lineRule="auto" w:line="276"/>
      </w:pPr>
      <w:r>
        <w:rPr>
          <w:b/>
        </w:rPr>
        <w:t xml:space="preserve">Abstract (EN): </w:t>
      </w:r>
      <w:r>
        <w:t>Selective hydrodeoxygenation (HDO) of biomass‐derived platform molecule 5‐hydroxymethylfurfural (HMF) to synthetic chemicals and liquid biofuels with high activity and selectivity is attractive yet challenging, especially at low temperature. Herein, we report a highly active and selective MoS</w:t>
      </w:r>
      <w:r>
        <w:rPr>
          <w:vertAlign w:val="subscript"/>
        </w:rPr>
        <w:t>2</w:t>
      </w:r>
      <w:r>
        <w:t>catalyst (denoted as MoS</w:t>
      </w:r>
      <w:r>
        <w:rPr>
          <w:vertAlign w:val="subscript"/>
        </w:rPr>
        <w:t>2</w:t>
      </w:r>
      <w:r>
        <w:t>‐T) enriched with edge sulfur vacancies by using a modified hard template method, which displays a high yield of 97.2% toward C6 fuel blend (mixture of 2,5‐dimethylfuran (DMF) and 1,2‐bis(5‐methyl‐2‐furanyl)ethylene (BMFE)) in the HDO of HMF at 70°C. In particular, the activity of HMF conversion could be reached up to 100% with prolonged reaction time even at room temperature. A combination of H‐D exchange, KIE experiments, and density function theory studies indicates that the abundant edge sulfur vacancies on MoS</w:t>
      </w:r>
      <w:r>
        <w:rPr>
          <w:vertAlign w:val="subscript"/>
        </w:rPr>
        <w:t>2</w:t>
      </w:r>
      <w:r>
        <w:t>‐T facilitate the activation and dissociation of H</w:t>
      </w:r>
      <w:r>
        <w:rPr>
          <w:vertAlign w:val="subscript"/>
        </w:rPr>
        <w:t>2</w:t>
      </w:r>
      <w:r>
        <w:t>as well as the cleavage of C─O bonds, thus accounting for the high activity of HMF conversion at near‐ambient‐temperature. The vacancy engineering strategy developed in this work offers a new approach for designing efficient, low‐cost non‐noble metal catalysts for producing furan‐based fuels from biomass.</w:t>
      </w:r>
    </w:p>
    <w:p>
      <w:pPr>
        <w:spacing w:before="120" w:after="120"/>
      </w:pPr>
      <w:r>
        <w:rPr>
          <w:sz w:val="18"/>
        </w:rPr>
        <w:t>——————————————————————————————————————————————————————————————————————</w:t>
      </w:r>
    </w:p>
    <w:p>
      <w:pPr>
        <w:spacing w:before="160" w:after="40" w:line="240" w:lineRule="auto"/>
      </w:pPr>
      <w:r>
        <w:rPr>
          <w:b/>
        </w:rPr>
        <w:t xml:space="preserve">[51] </w:t>
      </w:r>
      <w:hyperlink r:id="rId386">
        <w:r>
          <w:rPr>
            <w:color w:val="1155CC"/>
            <w:u w:val="single"/>
          </w:rPr>
          <w:t>单分子分辨率下恶嗪大环复合物光物理和结合的变构调节</w:t>
        </w:r>
      </w:hyperlink>
    </w:p>
    <w:p>
      <w:pPr>
        <w:spacing w:before="0" w:after="80"/>
      </w:pPr>
      <w:r>
        <w:rPr>
          <w:i/>
          <w:sz w:val="20"/>
        </w:rPr>
        <w:t>EN: Allosteric Regulation of Photophysics and Binding in Oxazine‐macrocycle Complexes at Single‐molecule Resolution</w:t>
      </w:r>
    </w:p>
    <w:p>
      <w:pPr>
        <w:spacing w:before="0" w:after="120"/>
      </w:pPr>
      <w:r>
        <w:rPr>
          <w:b/>
        </w:rPr>
        <w:t xml:space="preserve">Source: </w:t>
      </w:r>
      <w:r>
        <w:t>Wiley: Angewandte Chemie International Edition: Table of Contents</w:t>
      </w:r>
      <w:r>
        <w:t xml:space="preserve">    </w:t>
      </w:r>
      <w:r>
        <w:rPr>
          <w:b/>
        </w:rPr>
        <w:t xml:space="preserve">Pub date: </w:t>
      </w:r>
      <w:r>
        <w:t>2026-05-31 16:12:56+00:00</w:t>
      </w:r>
      <w:r>
        <w:t xml:space="preserve">    </w:t>
      </w:r>
      <w:r>
        <w:rPr>
          <w:b/>
        </w:rPr>
        <w:t xml:space="preserve">DOI: </w:t>
      </w:r>
      <w:hyperlink r:id="rId387">
        <w:r>
          <w:rPr>
            <w:color w:val="1155CC"/>
            <w:u w:val="single"/>
          </w:rPr>
          <w:t>10.1002/anie.1546846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染料大环配合物已成为各种应用的宝贵工具。复合物形成和光物理变化的机制可能很复杂且难以表征。这是由于关于异质性、复杂化学计量、动力学速率以及由复杂形成或碰撞过程引起的光物理效应的区别的大量实验提供的信息有限。单分子光谱学应用的最新进展已经开始弥补这一差距。在这里，我们研究了恶嗪荧光团 ATTO655 和两个大环主体葫芦[8]uril (CB8) 和</w:t>
      </w:r>
      <w:r>
        <w:t xml:space="preserve"> </w:t>
      </w:r>
      <w:r>
        <w:t>p</w:t>
      </w:r>
      <w:r>
        <w:t xml:space="preserve"> </w:t>
      </w:r>
      <w:r>
        <w:t>‐磺基杯[4]芳烃（sCX4）。尽管 ATTO655-CB8 显示了包合物的经典图像，但 ATTO655 与 sCX4 的相互作用在很大程度上是前所未有的。 ATTO655 通过与 sCX4 芳香族部分的外部结合形成暗淡排斥复合物。在这里，sCX4 的上部入口和疏水腔仍然可供已知的客体（例如神经递质胆碱）访问。在这种三元复合物中，胆碱降低了结合亲和力，并防止在单分子痕迹中观察到的光诱导暗态的形成，这呈现出结合和光物理学的变构调节形式。我们的研究展示了单分子光谱学揭示主客体系统基本机制的能力，这可以促进它们在先进生物成像和传感应用中的使用。</w:t>
      </w:r>
    </w:p>
    <w:p>
      <w:pPr>
        <w:spacing w:before="0" w:after="200" w:lineRule="auto" w:line="276"/>
      </w:pPr>
      <w:r>
        <w:rPr>
          <w:b/>
        </w:rPr>
        <w:t xml:space="preserve">Abstract (EN): </w:t>
      </w:r>
      <w:r>
        <w:t>Dye‐macrocycle complexes have become invaluable tools for various applications. The mechanisms of complex formation and photophysical changes can be complex and difficult to characterize. This is due to limited information available from bulk experiments on heterogeneity, complex stoichiometry, kinetic rates, and a distinction of photophysical effects caused by complex formation or collisional processes. Recent advances in the use of single‐molecule spectroscopy have begun to bridge this gap. Here, we investigate the interactions between the oxazine fluorophore ATTO655 and two macrocyclic hosts, cucurbit[8]uril (CB8) and</w:t>
      </w:r>
      <w:r>
        <w:t xml:space="preserve"> </w:t>
      </w:r>
      <w:r>
        <w:t>p</w:t>
      </w:r>
      <w:r>
        <w:t xml:space="preserve"> </w:t>
      </w:r>
      <w:r>
        <w:t>‐sulfonatocalix[4]arene (sCX4). Although ATTO655‐CB8 shows the classical picture of an inclusion complex, the interactions of ATTO655 with sCX4 are largely unprecedented. ATTO655 forms dim exclusion complexes via external binding to the aromatic moeities of sCX4. Here, the upper portal and hydrophobic cavity of sCX4 remain accessible for known guests such as the neurotransmitter choline. In this ternary complex, choline reduces the binding affinity and prevents the formation of photoinduced dark states observed in single‐molecule traces, which presents a form of allosteric regulation of binding and photophysics. Our study is a showcase for the power of single‐molecule spectroscopy to unravel fundamental mechanisms of host–guest systems, which can facilitate their use in advanced bioimaging and sensing applications.</w:t>
      </w:r>
    </w:p>
    <w:p>
      <w:pPr>
        <w:spacing w:before="120" w:after="120"/>
      </w:pPr>
      <w:r>
        <w:rPr>
          <w:sz w:val="18"/>
        </w:rPr>
        <w:t>——————————————————————————————————————————————————————————————————————</w:t>
      </w:r>
    </w:p>
    <w:p>
      <w:pPr>
        <w:spacing w:before="160" w:after="40" w:line="240" w:lineRule="auto"/>
      </w:pPr>
      <w:r>
        <w:rPr>
          <w:b/>
        </w:rPr>
        <w:t xml:space="preserve">[52] </w:t>
      </w:r>
      <w:hyperlink r:id="rId388">
        <w:r>
          <w:rPr>
            <w:color w:val="1155CC"/>
            <w:u w:val="single"/>
          </w:rPr>
          <w:t>扭曲分子内电荷穿梭 (TICS) 可实现亚硝酸盐的超快比例传感和成像</w:t>
        </w:r>
      </w:hyperlink>
    </w:p>
    <w:p>
      <w:pPr>
        <w:spacing w:before="0" w:after="80"/>
      </w:pPr>
      <w:r>
        <w:rPr>
          <w:i/>
          <w:sz w:val="20"/>
        </w:rPr>
        <w:t>EN: Twisted Intramolecular Charge Shuttle (TICS) Enables Ultrafast Ratiometric Sensing and Imaging of Nitrite</w:t>
      </w:r>
    </w:p>
    <w:p>
      <w:pPr>
        <w:spacing w:before="0" w:after="120"/>
      </w:pPr>
      <w:r>
        <w:rPr>
          <w:b/>
        </w:rPr>
        <w:t xml:space="preserve">Source: </w:t>
      </w:r>
      <w:r>
        <w:t>Wiley: Angewandte Chemie International Edition: Table of Contents</w:t>
      </w:r>
      <w:r>
        <w:t xml:space="preserve">    </w:t>
      </w:r>
      <w:r>
        <w:rPr>
          <w:b/>
        </w:rPr>
        <w:t xml:space="preserve">Pub date: </w:t>
      </w:r>
      <w:r>
        <w:t>2026-05-31 16:14:59+00:00</w:t>
      </w:r>
      <w:r>
        <w:t xml:space="preserve">    </w:t>
      </w:r>
      <w:r>
        <w:rPr>
          <w:b/>
        </w:rPr>
        <w:t xml:space="preserve">DOI: </w:t>
      </w:r>
      <w:hyperlink r:id="rId389">
        <w:r>
          <w:rPr>
            <w:color w:val="1155CC"/>
            <w:u w:val="single"/>
          </w:rPr>
          <w:t>10.1002/anie.4057924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比率荧光传感具有卓越的抗干扰性和自校准能力，但由于缺乏通用机制，设计这些探针仍然具有挑战性。在此，我们引入了一种基于扭曲分子内电荷穿梭（TICS）过程的新颖的机制驱动策略，以实现超快、敏感的亚硝酸盐（NO</w:t>
      </w:r>
      <w:r>
        <w:rPr>
          <w:vertAlign w:val="subscript"/>
        </w:rPr>
        <w:t>2</w:t>
      </w:r>
      <w:r>
        <w:t>-</w:t>
      </w:r>
      <w:r>
        <w:t>）比率检测。通过策略性地将邻苯二胺 (OPD) 片段安装在派洛宁荧光团的反应性介观位置上，我们通过与 NO 的特定反应成功诱导和调节了 TICS 过程。</w:t>
      </w:r>
      <w:r>
        <w:rPr>
          <w:vertAlign w:val="subscript"/>
        </w:rPr>
        <w:t>2</w:t>
      </w:r>
      <w:r>
        <w:t>-</w:t>
      </w:r>
      <w:r>
        <w:t>。这会产生稳健的比率响应，检测限极低 (6.6 nM)，响应时间为 18 秒，比经典格里斯方法快两个数量级。为了展示实用性，我们将探针集成到便携式设备中，用于快速、直观地现场定量食品和水中的亚硝酸盐。此外，该探针成功地对内源性 NO 进行了成像</w:t>
      </w:r>
      <w:r>
        <w:rPr>
          <w:vertAlign w:val="subscript"/>
        </w:rPr>
        <w:t>2</w:t>
      </w:r>
      <w:r>
        <w:t>-</w:t>
      </w:r>
      <w:r>
        <w:t>活植物的动态，揭示亚硝酸盐波动与环境压力之间的直接相关性。这项研究将 TICS 确立为探针设计的强大平台，标志着从经验染料筛选到理性、机制驱动的分子工程的重大转变。</w:t>
      </w:r>
    </w:p>
    <w:p>
      <w:pPr>
        <w:spacing w:before="0" w:after="200" w:lineRule="auto" w:line="276"/>
      </w:pPr>
      <w:r>
        <w:rPr>
          <w:b/>
        </w:rPr>
        <w:t xml:space="preserve">Abstract (EN): </w:t>
      </w:r>
      <w:r>
        <w:t>Ratiometric fluorescence sensing offers superior interference resistance and self‐calibration, yet designing these probes remains challenging due to a lack of generalizable mechanisms. Herein, we introduce a novel, mechanism‐driven strategy based on the twisted intramolecular charge shuttle (TICS) process to achieve ultrafast, sensitive nitrite (NO</w:t>
      </w:r>
      <w:r>
        <w:rPr>
          <w:vertAlign w:val="subscript"/>
        </w:rPr>
        <w:t>2</w:t>
      </w:r>
      <w:r>
        <w:t>−</w:t>
      </w:r>
      <w:r>
        <w:t>) ratiometric detection. By strategically installing an o‐phenylenediamine (OPD) fragment at the reactive meso‐position of a pyronin fluorophore, we successfully induced and modulated the TICS process through a specific reaction with NO</w:t>
      </w:r>
      <w:r>
        <w:rPr>
          <w:vertAlign w:val="subscript"/>
        </w:rPr>
        <w:t>2</w:t>
      </w:r>
      <w:r>
        <w:t>−</w:t>
      </w:r>
      <w:r>
        <w:t>. This generates a robust ratiometric response with a remarkably low detection limit (6.6 nM) and an ultrafast response time of 18 s—two orders of magnitude faster than the classical Griess method. To demonstrate practical utility, we incorporated the probe into a portable device for rapid, visual on‐site quantification of nitrite in food and water. Furthermore, the probe successfully imaged endogenous NO</w:t>
      </w:r>
      <w:r>
        <w:rPr>
          <w:vertAlign w:val="subscript"/>
        </w:rPr>
        <w:t>2</w:t>
      </w:r>
      <w:r>
        <w:t>−</w:t>
      </w:r>
      <w:r>
        <w:t>dynamics in living plants, revealing a direct correlation between nitrite fluctuations and environmental stress. This study establishes TICS as a powerful platform for probe design, marking a significant transition from empirical dye screening toward rational, mechanism‐driven molecular engineering.</w:t>
      </w:r>
    </w:p>
    <w:p>
      <w:pPr>
        <w:spacing w:before="120" w:after="120"/>
      </w:pPr>
      <w:r>
        <w:rPr>
          <w:sz w:val="18"/>
        </w:rPr>
        <w:t>——————————————————————————————————————————————————————————————————————</w:t>
      </w:r>
    </w:p>
    <w:p>
      <w:pPr>
        <w:spacing w:before="160" w:after="40" w:line="240" w:lineRule="auto"/>
      </w:pPr>
      <w:r>
        <w:rPr>
          <w:b/>
        </w:rPr>
        <w:t xml:space="preserve">[53] </w:t>
      </w:r>
      <w:hyperlink r:id="rId390">
        <w:r>
          <w:rPr>
            <w:color w:val="1155CC"/>
            <w:u w:val="single"/>
          </w:rPr>
          <w:t>电子显微镜下控制化学反应性：电子束电离引发胸腺嘧啶二聚体的单晶到单晶分裂，并通过电子转移介导的链式反应放大</w:t>
        </w:r>
      </w:hyperlink>
    </w:p>
    <w:p>
      <w:pPr>
        <w:spacing w:before="0" w:after="80"/>
      </w:pPr>
      <w:r>
        <w:rPr>
          <w:i/>
          <w:sz w:val="20"/>
        </w:rPr>
        <w:t>EN: Controlling Chemical Reactivity Under the Electron Microscope: Single‐Crystal‐to‐Single‐Crystal Splitting of Thymine Dimers Initiated by Electron Beam Ionization and Amplified by Electron Transfer‐Mediated Chain Reactions</w:t>
      </w:r>
    </w:p>
    <w:p>
      <w:pPr>
        <w:spacing w:before="0" w:after="120"/>
      </w:pPr>
      <w:r>
        <w:rPr>
          <w:b/>
        </w:rPr>
        <w:t xml:space="preserve">Source: </w:t>
      </w:r>
      <w:r>
        <w:t>Wiley: Angewandte Chemie International Edition: Table of Contents</w:t>
      </w:r>
      <w:r>
        <w:t xml:space="preserve">    </w:t>
      </w:r>
      <w:r>
        <w:rPr>
          <w:b/>
        </w:rPr>
        <w:t xml:space="preserve">Pub date: </w:t>
      </w:r>
      <w:r>
        <w:t>2026-05-31 16:15:56+00:00</w:t>
      </w:r>
      <w:r>
        <w:t xml:space="preserve">    </w:t>
      </w:r>
      <w:r>
        <w:rPr>
          <w:b/>
        </w:rPr>
        <w:t xml:space="preserve">DOI: </w:t>
      </w:r>
      <w:hyperlink r:id="rId391">
        <w:r>
          <w:rPr>
            <w:color w:val="1155CC"/>
            <w:u w:val="single"/>
          </w:rPr>
          <w:t>10.1002/anie.2592959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选择通过固态拓扑化学光二聚化获得的三种结晶胸腺嘧啶二聚体（TD）来探索暴露于电子显微镜高能束时自由基离子引发的固-固分裂反应。虽然样本</w:t>
      </w:r>
      <w:r>
        <w:t xml:space="preserve"> </w:t>
      </w:r>
      <w:r>
        <w:t>顺式</w:t>
      </w:r>
      <w:r>
        <w:t xml:space="preserve"> </w:t>
      </w:r>
      <w:r>
        <w:t>‐</w:t>
      </w:r>
      <w:r>
        <w:t xml:space="preserve"> </w:t>
      </w:r>
      <w:r>
        <w:t>顺</w:t>
      </w:r>
      <w:r>
        <w:t xml:space="preserve"> </w:t>
      </w:r>
      <w:r>
        <w:t>‐胸腺嘧啶二聚体（</w:t>
      </w:r>
      <w:r>
        <w:t xml:space="preserve"> </w:t>
      </w:r>
      <w:r>
        <w:t>c,s</w:t>
      </w:r>
      <w:r>
        <w:t xml:space="preserve"> </w:t>
      </w:r>
      <w:r>
        <w:t>‐TD）可从之前的研究中获得，样本</w:t>
      </w:r>
      <w:r>
        <w:t xml:space="preserve"> </w:t>
      </w:r>
      <w:r>
        <w:t>顺式</w:t>
      </w:r>
      <w:r>
        <w:t xml:space="preserve"> </w:t>
      </w:r>
      <w:r>
        <w:t>‐</w:t>
      </w:r>
      <w:r>
        <w:t xml:space="preserve"> </w:t>
      </w:r>
      <w:r>
        <w:t>顺</w:t>
      </w:r>
      <w:r>
        <w:t xml:space="preserve"> </w:t>
      </w:r>
      <w:r>
        <w:t>-N,N-二甲基胸腺嘧啶二聚体（</w:t>
      </w:r>
      <w:r>
        <w:t xml:space="preserve"> </w:t>
      </w:r>
      <w:r>
        <w:t>c</w:t>
      </w:r>
      <w:r>
        <w:t xml:space="preserve"> </w:t>
      </w:r>
      <w:r>
        <w:t>,</w:t>
      </w:r>
      <w:r>
        <w:t xml:space="preserve"> </w:t>
      </w:r>
      <w:r>
        <w:t>s</w:t>
      </w:r>
      <w:r>
        <w:t xml:space="preserve"> </w:t>
      </w:r>
      <w:r>
        <w:t>‐TD‐Me) 和</w:t>
      </w:r>
      <w:r>
        <w:t xml:space="preserve"> </w:t>
      </w:r>
      <w:r>
        <w:t>顺式</w:t>
      </w:r>
      <w:r>
        <w:t xml:space="preserve"> </w:t>
      </w:r>
      <w:r>
        <w:t>‐</w:t>
      </w:r>
      <w:r>
        <w:t xml:space="preserve"> </w:t>
      </w:r>
      <w:r>
        <w:t>反</w:t>
      </w:r>
      <w:r>
        <w:t xml:space="preserve"> </w:t>
      </w:r>
      <w:r>
        <w:t>-N,N-二甲基胸腺嘧啶二聚体（</w:t>
      </w:r>
      <w:r>
        <w:t xml:space="preserve"> </w:t>
      </w:r>
      <w:r>
        <w:t>c</w:t>
      </w:r>
      <w:r>
        <w:t xml:space="preserve"> </w:t>
      </w:r>
      <w:r>
        <w:t>,</w:t>
      </w:r>
      <w:r>
        <w:t xml:space="preserve"> </w:t>
      </w:r>
      <w:r>
        <w:t>一个</w:t>
      </w:r>
      <w:r>
        <w:t xml:space="preserve"> </w:t>
      </w:r>
      <w:r>
        <w:t>-TD-Me）是通过结晶 N,N-二甲基胸腺嘧啶（T-Me）的光反应获得的。意想不到的形成</w:t>
      </w:r>
      <w:r>
        <w:t xml:space="preserve"> </w:t>
      </w:r>
      <w:r>
        <w:t>c</w:t>
      </w:r>
      <w:r>
        <w:t xml:space="preserve"> </w:t>
      </w:r>
      <w:r>
        <w:t>,</w:t>
      </w:r>
      <w:r>
        <w:t xml:space="preserve"> </w:t>
      </w:r>
      <w:r>
        <w:t>一个</w:t>
      </w:r>
      <w:r>
        <w:t xml:space="preserve"> </w:t>
      </w:r>
      <w:r>
        <w:t>‐TD-Me 在拓扑化学的基础上合理化，该结构基于使用 DFT 计算的非球形散射因子精修的 T-Me 的高分辨率 X 射线结构。当暴露于电子束（30-300 kV）时，重结晶二聚体经历了预期的分裂反应，回到 T 和 T-Me 作为唯一的产物。研究了电子束诱发反应与电子注量、束能量和温度的函数关系，证实了电离诱发的链式反应</w:t>
      </w:r>
    </w:p>
    <w:p>
      <w:pPr>
        <w:spacing w:before="0" w:after="200" w:lineRule="auto" w:line="276"/>
      </w:pPr>
      <w:r>
        <w:rPr>
          <w:b/>
        </w:rPr>
        <w:t xml:space="preserve">Abstract (EN): </w:t>
      </w:r>
      <w:r>
        <w:t>Three crystalline thymine dimers (TDs) obtained by solid‐state topochemical photodimerization were selected to explore radical ion‐initiated solid‐to‐solid splitting reactions when exposed to the high‐energy beam of an electron microscope. While samples of</w:t>
      </w:r>
      <w:r>
        <w:t xml:space="preserve"> </w:t>
      </w:r>
      <w:r>
        <w:t>cis</w:t>
      </w:r>
      <w:r>
        <w:t xml:space="preserve"> </w:t>
      </w:r>
      <w:r>
        <w:t>‐</w:t>
      </w:r>
      <w:r>
        <w:t xml:space="preserve"> </w:t>
      </w:r>
      <w:r>
        <w:t>syn</w:t>
      </w:r>
      <w:r>
        <w:t xml:space="preserve"> </w:t>
      </w:r>
      <w:r>
        <w:t>‐thymine dimer (</w:t>
      </w:r>
      <w:r>
        <w:t xml:space="preserve"> </w:t>
      </w:r>
      <w:r>
        <w:t>c,s</w:t>
      </w:r>
      <w:r>
        <w:t xml:space="preserve"> </w:t>
      </w:r>
      <w:r>
        <w:t>‐TD) were available from a previous study, samples of</w:t>
      </w:r>
      <w:r>
        <w:t xml:space="preserve"> </w:t>
      </w:r>
      <w:r>
        <w:t>cis</w:t>
      </w:r>
      <w:r>
        <w:t xml:space="preserve"> </w:t>
      </w:r>
      <w:r>
        <w:t>‐</w:t>
      </w:r>
      <w:r>
        <w:t xml:space="preserve"> </w:t>
      </w:r>
      <w:r>
        <w:t>syn</w:t>
      </w:r>
      <w:r>
        <w:t xml:space="preserve"> </w:t>
      </w:r>
      <w:r>
        <w:t>‐N,N‐dimethyl‐thymine dimer (</w:t>
      </w:r>
      <w:r>
        <w:t xml:space="preserve"> </w:t>
      </w:r>
      <w:r>
        <w:t>c</w:t>
      </w:r>
      <w:r>
        <w:t xml:space="preserve"> </w:t>
      </w:r>
      <w:r>
        <w:t>,</w:t>
      </w:r>
      <w:r>
        <w:t xml:space="preserve"> </w:t>
      </w:r>
      <w:r>
        <w:t>s</w:t>
      </w:r>
      <w:r>
        <w:t xml:space="preserve"> </w:t>
      </w:r>
      <w:r>
        <w:t>‐TD‐Me) and</w:t>
      </w:r>
      <w:r>
        <w:t xml:space="preserve"> </w:t>
      </w:r>
      <w:r>
        <w:t>cis</w:t>
      </w:r>
      <w:r>
        <w:t xml:space="preserve"> </w:t>
      </w:r>
      <w:r>
        <w:t>‐</w:t>
      </w:r>
      <w:r>
        <w:t xml:space="preserve"> </w:t>
      </w:r>
      <w:r>
        <w:t>anti</w:t>
      </w:r>
      <w:r>
        <w:t xml:space="preserve"> </w:t>
      </w:r>
      <w:r>
        <w:t>‐N,N‐dimethyl‐thymine dimer (</w:t>
      </w:r>
      <w:r>
        <w:t xml:space="preserve"> </w:t>
      </w:r>
      <w:r>
        <w:t>c</w:t>
      </w:r>
      <w:r>
        <w:t xml:space="preserve"> </w:t>
      </w:r>
      <w:r>
        <w:t>,</w:t>
      </w:r>
      <w:r>
        <w:t xml:space="preserve"> </w:t>
      </w:r>
      <w:r>
        <w:t>a</w:t>
      </w:r>
      <w:r>
        <w:t xml:space="preserve"> </w:t>
      </w:r>
      <w:r>
        <w:t>‐TD‐Me) were obtained by photoreaction of crystalline N,N‐dimethyl‐thymine (T‐Me). The unexpected formation of</w:t>
      </w:r>
      <w:r>
        <w:t xml:space="preserve"> </w:t>
      </w:r>
      <w:r>
        <w:t>c</w:t>
      </w:r>
      <w:r>
        <w:t xml:space="preserve"> </w:t>
      </w:r>
      <w:r>
        <w:t>,</w:t>
      </w:r>
      <w:r>
        <w:t xml:space="preserve"> </w:t>
      </w:r>
      <w:r>
        <w:t>a</w:t>
      </w:r>
      <w:r>
        <w:t xml:space="preserve"> </w:t>
      </w:r>
      <w:r>
        <w:t>‐TD‐Me was rationalized on a topochemical basis based on a high‐resolution x‐ray structure of T‐Me refined with DFT‐calculated non‐spherical scattering factors. When exposed to the electron beam (30–300 kV), recrystallized dimers underwent the expected splitting reaction back to T and T‐Me as the only products. Electron beam‐induced reactions studied as a function of electron fluence, beam energy, and temperature confirmed an ionization‐induced chain reaction propagated by a single electron transfer (SET) process with a chain length up to 80 000 product molecules per electron. Microcrystal electron diffraction (3D ED) analysis of the photodimers allowed crystal structure determination with approximately 30% of the monomers formed in situ. A long‐lived transient formed in single crystals of</w:t>
      </w:r>
      <w:r>
        <w:t xml:space="preserve"> </w:t>
      </w:r>
      <w:r>
        <w:t>c</w:t>
      </w:r>
      <w:r>
        <w:t xml:space="preserve"> </w:t>
      </w:r>
      <w:r>
        <w:t>,</w:t>
      </w:r>
      <w:r>
        <w:t xml:space="preserve"> </w:t>
      </w:r>
      <w:r>
        <w:t>s</w:t>
      </w:r>
      <w:r>
        <w:t xml:space="preserve"> </w:t>
      </w:r>
      <w:r>
        <w:t>‐TD‐Me was assigned by EPR as the TD‐Me</w:t>
      </w:r>
      <w:r>
        <w:t xml:space="preserve"> </w:t>
      </w:r>
      <w:r>
        <w:t>•+</w:t>
      </w:r>
      <w:r>
        <w:t xml:space="preserve"> </w:t>
      </w:r>
      <w:r>
        <w:t>, in support of the suggested reaction mechanism.</w:t>
      </w:r>
    </w:p>
    <w:p>
      <w:pPr>
        <w:spacing w:before="120" w:after="120"/>
      </w:pPr>
      <w:r>
        <w:rPr>
          <w:sz w:val="18"/>
        </w:rPr>
        <w:t>——————————————————————————————————————————————————————————————————————</w:t>
      </w:r>
    </w:p>
    <w:p>
      <w:pPr>
        <w:spacing w:before="160" w:after="40" w:line="240" w:lineRule="auto"/>
      </w:pPr>
      <w:r>
        <w:rPr>
          <w:b/>
        </w:rPr>
        <w:t xml:space="preserve">[54] </w:t>
      </w:r>
      <w:hyperlink r:id="rId392">
        <w:r>
          <w:rPr>
            <w:color w:val="1155CC"/>
            <w:u w:val="single"/>
          </w:rPr>
          <w:t>间隙C/N掺杂通过原子尺度界面锚定和金属溶解抑制稳定Pd@Pt核壳电催化剂</w:t>
        </w:r>
      </w:hyperlink>
    </w:p>
    <w:p>
      <w:pPr>
        <w:spacing w:before="0" w:after="80"/>
      </w:pPr>
      <w:r>
        <w:rPr>
          <w:i/>
          <w:sz w:val="20"/>
        </w:rPr>
        <w:t>EN: Interstitial C/N Doping Stabilizes Pd@Pt Core–Shell Electrocatalysts by Atomic‐Scale Interfacial Anchoring and Metal Dissolution Suppression</w:t>
      </w:r>
    </w:p>
    <w:p>
      <w:pPr>
        <w:spacing w:before="0" w:after="120"/>
      </w:pPr>
      <w:r>
        <w:rPr>
          <w:b/>
        </w:rPr>
        <w:t xml:space="preserve">Source: </w:t>
      </w:r>
      <w:r>
        <w:t>Wiley: Angewandte Chemie International Edition: Table of Contents</w:t>
      </w:r>
      <w:r>
        <w:t xml:space="preserve">    </w:t>
      </w:r>
      <w:r>
        <w:rPr>
          <w:b/>
        </w:rPr>
        <w:t xml:space="preserve">Pub date: </w:t>
      </w:r>
      <w:r>
        <w:t>2026-05-31 16:18:35+00:00</w:t>
      </w:r>
      <w:r>
        <w:t xml:space="preserve">    </w:t>
      </w:r>
      <w:r>
        <w:rPr>
          <w:b/>
        </w:rPr>
        <w:t xml:space="preserve">DOI: </w:t>
      </w:r>
      <w:hyperlink r:id="rId393">
        <w:r>
          <w:rPr>
            <w:color w:val="1155CC"/>
            <w:u w:val="single"/>
          </w:rPr>
          <w:t>10.1002/anie.3844758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铂（Pt）基多金属催化剂，包括合金和核壳结构，由于其能够优化催化活性并最大限度地减少贵金属的使用而引起了广泛的关注。然而，它们在酸性介质和高电位等恶劣电化学条件下的结构不稳定性阻碍了商业化。在这里，使用明确的 Pd@Pt 核壳纳米晶体作为模型系统，并结合在线溶解分析 (SFC-ICP-MS)、同位 STEM、原位 X 射线吸收光谱和 DFT 计算，我们确定了针孔介导的溶解机制。具体来说，针孔缺陷处的 Pd 溶解破坏了局部界面结构，随后破坏了邻近 Pt 的稳定性，导致核壳结构不可逆重建，最终导致壳塌陷。我们进一步证明，针孔附近的 Pd-Pt 界面处的间隙 C/N 掺杂可以通过强作用诱导原子级界面锚定。</w:t>
      </w:r>
      <w:r>
        <w:t xml:space="preserve"> </w:t>
      </w:r>
      <w:r>
        <w:t>p–d</w:t>
      </w:r>
      <w:r>
        <w:t xml:space="preserve"> </w:t>
      </w:r>
      <w:r>
        <w:t>杂化，从而显着增加金属浸出的动力学势垒。因此，与未掺杂的样品相比，C/N 掺杂的核壳催化剂在高达 1.50 V（vs RHE）的电势下仍保持结构完整性，并且 Pt 和 Pd 的溶解分别减少了 48.5 倍和 13.9 倍。这种针对缺陷的强化策略适用于 Pd-Au 和 Pd-Ag 体系，建立了稳定多金属 He 的一般原则。</w:t>
      </w:r>
    </w:p>
    <w:p>
      <w:pPr>
        <w:spacing w:before="0" w:after="200" w:lineRule="auto" w:line="276"/>
      </w:pPr>
      <w:r>
        <w:rPr>
          <w:b/>
        </w:rPr>
        <w:t xml:space="preserve">Abstract (EN): </w:t>
      </w:r>
      <w:r>
        <w:t>Platinum (Pt)‐based multimetallic catalysts, including alloys and core–shell architectures, have attracted widespread attention due to their ability to optimize catalytic activity and minimize the use of precious metals. However, their structural instability under harsh electrochemical conditions, such as acidic media and high potentials, hinders commercialization. Here, using well‐defined Pd@Pt core–shell nanocrystals as a model system and combining online dissolution analysis (SFC‐ICP‐MS), identical‐location STEM, operando x‐ray absorption spectroscopy, and DFT calculations, we identified a pinhole‐mediated dissolution mechanism. Specifically, Pd dissolution at pinhole defects disrupts the local interfacial structure, subsequently destabilizing neighboring Pt and leading to irreversible reconstruction of the core–shell architecture, ultimately resulting in shell collapse. We further demonstrated that interstitial C/N doping at the Pd–Pt interface near pinholes could induce atomic‐scale interfacial anchoring through strong</w:t>
      </w:r>
      <w:r>
        <w:t xml:space="preserve"> </w:t>
      </w:r>
      <w:r>
        <w:t>p–d</w:t>
      </w:r>
      <w:r>
        <w:t xml:space="preserve"> </w:t>
      </w:r>
      <w:r>
        <w:t>hybridization, thereby significantly increasing the kinetic barrier for metal leaching. Consequently, compared to the undoped sample, the C/N‐doped core–shell catalyst maintained structural integrity at potentials up to 1.50 V (vs RHE), and the dissolution of Pt and Pd was reduced by 48.5 and 13.9 times, respectively. This defect‐targeted strengthening strategy, applicable to Pd–Au and Pd–Ag systems, establishes a general principle for stabilizing multimetallic heterointerfaces and developing durable, low‐Pt electrocatalysts.</w:t>
      </w:r>
    </w:p>
    <w:p>
      <w:pPr>
        <w:spacing w:before="120" w:after="120"/>
      </w:pPr>
      <w:r>
        <w:rPr>
          <w:sz w:val="18"/>
        </w:rPr>
        <w:t>——————————————————————————————————————————————————————————————————————</w:t>
      </w:r>
    </w:p>
    <w:p>
      <w:pPr>
        <w:spacing w:before="160" w:after="40" w:line="240" w:lineRule="auto"/>
      </w:pPr>
      <w:r>
        <w:rPr>
          <w:b/>
        </w:rPr>
        <w:t xml:space="preserve">[55] </w:t>
      </w:r>
      <w:hyperlink r:id="rId394">
        <w:r>
          <w:rPr>
            <w:color w:val="1155CC"/>
            <w:u w:val="single"/>
          </w:rPr>
          <w:t>独立式超薄二维肽晶体</w:t>
        </w:r>
      </w:hyperlink>
    </w:p>
    <w:p>
      <w:pPr>
        <w:spacing w:before="0" w:after="80"/>
      </w:pPr>
      <w:r>
        <w:rPr>
          <w:i/>
          <w:sz w:val="20"/>
        </w:rPr>
        <w:t>EN: Free-standing ultrathin two-dimensional peptide crystals</w:t>
      </w:r>
    </w:p>
    <w:p>
      <w:pPr>
        <w:spacing w:before="0" w:after="120"/>
      </w:pPr>
      <w:r>
        <w:rPr>
          <w:b/>
        </w:rPr>
        <w:t xml:space="preserve">Source: </w:t>
      </w:r>
      <w:r>
        <w:t>Nature Chemistry</w:t>
      </w:r>
      <w:r>
        <w:t xml:space="preserve">    </w:t>
      </w:r>
      <w:r>
        <w:rPr>
          <w:b/>
        </w:rPr>
        <w:t xml:space="preserve">Pub date: </w:t>
      </w:r>
      <w:r>
        <w:t>2026-06-01 00:00:00+00:00</w:t>
      </w:r>
      <w:r>
        <w:t xml:space="preserve">    </w:t>
      </w:r>
      <w:r>
        <w:rPr>
          <w:b/>
        </w:rPr>
        <w:t xml:space="preserve">DOI: </w:t>
      </w:r>
      <w:hyperlink r:id="rId395">
        <w:r>
          <w:rPr>
            <w:color w:val="1155CC"/>
            <w:u w:val="single"/>
          </w:rPr>
          <w:t>10.1038/s41557-026-02158-x</w:t>
        </w:r>
      </w:hyperlink>
    </w:p>
    <w:p>
      <w:pPr>
        <w:spacing w:before="0" w:after="120"/>
      </w:pPr>
      <w:r>
        <w:rPr>
          <w:b/>
        </w:rPr>
        <w:t xml:space="preserve">Notes: </w:t>
      </w:r>
      <w:r>
        <w:t>abstract_source=nature_html</w:t>
      </w:r>
    </w:p>
    <w:p>
      <w:pPr>
        <w:spacing w:before="0" w:after="80" w:lineRule="auto" w:line="276"/>
      </w:pPr>
      <w:r>
        <w:rPr>
          <w:b/>
        </w:rPr>
        <w:t xml:space="preserve">摘要（ZH）: </w:t>
      </w:r>
      <w:r>
        <w:t>高度有序的二维 (2D) 肽结构于 1975 年首次提出，作为生物膜的合成类似物，能够通过原子薄的结构模拟生物分子的对映选择性识别。然而，构建超薄单晶二维肽材料仍然具有挑战性，因为长程有序的层内氢键网络难以建立和维持。在这里，我们报告了一种金属引导的β-片状组装策略，该策略提供了具有平行和反平行β-片层组织的2D肽晶体，并对序列、手性和侧链化学进行可编程控制。反平行排列促进了层内机械互锁，从而增强了二维晶格的稳定性。对不同金属-肽结构的晶体学分析揭示了关键的结构决定因素并阐明了二维互锁组装背后的机制。这些层状晶体可以剥离成独立的单晶超薄纳米片，立体选择性地结合糖皮质激素和手性药物分子，对映选择性高达 20.9。这项工作建立了一个总体策略，用于创建具有可调表面和可编程功能的结构多样的二维晶体材料。该图像的替代文本可能是使用人工智能生成的。</w:t>
      </w:r>
    </w:p>
    <w:p>
      <w:pPr>
        <w:spacing w:before="0" w:after="200" w:lineRule="auto" w:line="276"/>
      </w:pPr>
      <w:r>
        <w:rPr>
          <w:b/>
        </w:rPr>
        <w:t xml:space="preserve">Abstract (EN): </w:t>
      </w:r>
      <w:r>
        <w:t>Highly ordered two-dimensional (2D) peptide structures were first proposed in 1975 as synthetic analogues of biological membranes, capable of mimicking the enantioselective recognition of biomolecules through atomically thin architectures. However, constructing ultrathin single-crystalline 2D peptide materials remains challenging because long-range ordered intralayer hydrogen-bonding networks are difficult to establish and maintain. Here we report a metal-directed β-sheet-like assembly strategy that affords 2D peptide crystals featuring parallel and antiparallel β-sheet organizations, with programmable control over sequence, chirality and side-chain chemistry. The antiparallel arrangement promotes intralayer mechanical interlocking, thereby enhancing the stability of the 2D lattice. Crystallographic analysis of diverse metal-peptide architectures reveals key structural determinants and elucidates the mechanism behind 2D interlocked assembly. These layered crystals can be exfoliated into free-standing, single-crystalline ultrathin nanosheets that stereoselectively bind glucocorticoids and chiral pharmaceutical molecules, with enantioselectivity up to 20.9. This work establishes a general strategy for creating structurally diverse 2D crystalline materials with tunable surfaces and programmable functions.The alternative text for this image may have been generated using AI.</w:t>
      </w:r>
    </w:p>
    <w:p>
      <w:pPr>
        <w:spacing w:before="120" w:after="120"/>
      </w:pPr>
      <w:r>
        <w:rPr>
          <w:sz w:val="18"/>
        </w:rPr>
        <w:t>——————————————————————————————————————————————————————————————————————</w:t>
      </w:r>
    </w:p>
    <w:p>
      <w:pPr>
        <w:spacing w:before="160" w:after="40" w:line="240" w:lineRule="auto"/>
      </w:pPr>
      <w:r>
        <w:rPr>
          <w:b/>
        </w:rPr>
        <w:t xml:space="preserve">[56] </w:t>
      </w:r>
      <w:hyperlink r:id="rId396">
        <w:r>
          <w:rPr>
            <w:color w:val="1155CC"/>
            <w:u w:val="single"/>
          </w:rPr>
          <w:t>具有里程碑意义的癌症试验显示了对抗“不可药物”癌症的成功——为未来的治疗带来了希望</w:t>
        </w:r>
      </w:hyperlink>
    </w:p>
    <w:p>
      <w:pPr>
        <w:spacing w:before="0" w:after="80"/>
      </w:pPr>
      <w:r>
        <w:rPr>
          <w:i/>
          <w:sz w:val="20"/>
        </w:rPr>
        <w:t>EN: Landmark cancer trial shows success against ‘undruggable’ cancer — raising hopes for future treatments</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397">
        <w:r>
          <w:rPr>
            <w:color w:val="1155CC"/>
            <w:u w:val="single"/>
          </w:rPr>
          <w:t>10.1038/d41586-026-01760-w</w:t>
        </w:r>
      </w:hyperlink>
    </w:p>
    <w:p>
      <w:pPr>
        <w:spacing w:before="0" w:after="120"/>
      </w:pPr>
      <w:r>
        <w:rPr>
          <w:b/>
        </w:rPr>
        <w:t xml:space="preserve">Notes: </w:t>
      </w:r>
      <w:r>
        <w:t>abstract_source=nature_html</w:t>
      </w:r>
    </w:p>
    <w:p>
      <w:pPr>
        <w:spacing w:before="0" w:after="80" w:lineRule="auto" w:line="276"/>
      </w:pPr>
      <w:r>
        <w:rPr>
          <w:b/>
        </w:rPr>
        <w:t xml:space="preserve">摘要（ZH）: </w:t>
      </w:r>
      <w:r>
        <w:t>针对顽固难以治疗的癌症取得的前所未有的结果增强了人们的乐观情绪，认为其他具有挑战性的肿瘤将成为下一个。针对顽固难以治疗的癌症取得的前所未有的结果增强了人们的乐观情绪，认为其他具有挑战性的肿瘤将成为下一个。</w:t>
      </w:r>
    </w:p>
    <w:p>
      <w:pPr>
        <w:spacing w:before="0" w:after="200" w:lineRule="auto" w:line="276"/>
      </w:pPr>
      <w:r>
        <w:rPr>
          <w:b/>
        </w:rPr>
        <w:t xml:space="preserve">Abstract (EN): </w:t>
      </w:r>
      <w:r>
        <w:t>Unprecedented results against a stubbornly hard-to-treat cancer are boosting optimism that other challenging tumours will be next. Unprecedented results against a stubbornly hard-to-treat cancer are boosting optimism that other challenging tumours will be next.</w:t>
      </w:r>
    </w:p>
    <w:p>
      <w:pPr>
        <w:spacing w:before="120" w:after="120"/>
      </w:pPr>
      <w:r>
        <w:rPr>
          <w:sz w:val="18"/>
        </w:rPr>
        <w:t>——————————————————————————————————————————————————————————————————————</w:t>
      </w:r>
    </w:p>
    <w:p>
      <w:pPr>
        <w:spacing w:before="160" w:after="40" w:line="240" w:lineRule="auto"/>
      </w:pPr>
      <w:r>
        <w:rPr>
          <w:b/>
        </w:rPr>
        <w:t xml:space="preserve">[57] </w:t>
      </w:r>
      <w:hyperlink r:id="rId398">
        <w:r>
          <w:rPr>
            <w:color w:val="1155CC"/>
            <w:u w:val="single"/>
          </w:rPr>
          <w:t>费曼 50 年前解决了“餐厅困境”——现在一项研究证实了他的数学</w:t>
        </w:r>
      </w:hyperlink>
    </w:p>
    <w:p>
      <w:pPr>
        <w:spacing w:before="0" w:after="80"/>
      </w:pPr>
      <w:r>
        <w:rPr>
          <w:i/>
          <w:sz w:val="20"/>
        </w:rPr>
        <w:t>EN: Feynman solved the ‘restaurant dilemma’ 50 years ago — now a study confirms his mathematics</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399">
        <w:r>
          <w:rPr>
            <w:color w:val="1155CC"/>
            <w:u w:val="single"/>
          </w:rPr>
          <w:t>10.1038/d41586-026-00821-4</w:t>
        </w:r>
      </w:hyperlink>
    </w:p>
    <w:p>
      <w:pPr>
        <w:spacing w:before="0" w:after="120"/>
      </w:pPr>
      <w:r>
        <w:rPr>
          <w:b/>
        </w:rPr>
        <w:t xml:space="preserve">Notes: </w:t>
      </w:r>
      <w:r>
        <w:t>abstract_source=nature_html</w:t>
      </w:r>
    </w:p>
    <w:p>
      <w:pPr>
        <w:spacing w:before="0" w:after="80" w:lineRule="auto" w:line="276"/>
      </w:pPr>
      <w:r>
        <w:rPr>
          <w:b/>
        </w:rPr>
        <w:t xml:space="preserve">摘要（ZH）: </w:t>
      </w:r>
      <w:r>
        <w:t>一项涉及 2,520 名参与者的实验支持了理查德·费曼 (Richard Feynman) 对每个用餐者的困境的回答：我想尝试一些新东西吗？一项涉及 2,520 名参与者的实验支持了理查德·费曼 (Richard Feynman) 对每个用餐者的困境的回答：我想尝试一些新东西吗？</w:t>
      </w:r>
    </w:p>
    <w:p>
      <w:pPr>
        <w:spacing w:before="0" w:after="200" w:lineRule="auto" w:line="276"/>
      </w:pPr>
      <w:r>
        <w:rPr>
          <w:b/>
        </w:rPr>
        <w:t xml:space="preserve">Abstract (EN): </w:t>
      </w:r>
      <w:r>
        <w:t>An experiment with 2,520 participants backs Richard Feynman’s answer to every diner’s dilemma: do I want to try something new? An experiment with 2,520 participants backs Richard Feynman’s answer to every diner’s dilemma: do I want to try something new?</w:t>
      </w:r>
    </w:p>
    <w:p>
      <w:pPr>
        <w:spacing w:before="120" w:after="120"/>
      </w:pPr>
      <w:r>
        <w:rPr>
          <w:sz w:val="18"/>
        </w:rPr>
        <w:t>——————————————————————————————————————————————————————————————————————</w:t>
      </w:r>
    </w:p>
    <w:p>
      <w:pPr>
        <w:spacing w:before="160" w:after="40" w:line="240" w:lineRule="auto"/>
      </w:pPr>
      <w:r>
        <w:rPr>
          <w:b/>
        </w:rPr>
        <w:t xml:space="preserve">[58] </w:t>
      </w:r>
      <w:hyperlink r:id="rId400">
        <w:r>
          <w:rPr>
            <w:color w:val="1155CC"/>
            <w:u w:val="single"/>
          </w:rPr>
          <w:t>肥胖并不等于健康不佳：为什么“疾病”标签并不总是合适</w:t>
        </w:r>
      </w:hyperlink>
    </w:p>
    <w:p>
      <w:pPr>
        <w:spacing w:before="0" w:after="80"/>
      </w:pPr>
      <w:r>
        <w:rPr>
          <w:i/>
          <w:sz w:val="20"/>
        </w:rPr>
        <w:t>EN: Obesity doesn’t equate to ill health: why the ‘disease’ label doesn’t always fit</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401">
        <w:r>
          <w:rPr>
            <w:color w:val="1155CC"/>
            <w:u w:val="single"/>
          </w:rPr>
          <w:t>10.1038/d41586-026-01729-9</w:t>
        </w:r>
      </w:hyperlink>
    </w:p>
    <w:p>
      <w:pPr>
        <w:spacing w:before="0" w:after="120"/>
      </w:pPr>
      <w:r>
        <w:rPr>
          <w:b/>
        </w:rPr>
        <w:t xml:space="preserve">Notes: </w:t>
      </w:r>
      <w:r>
        <w:t>abstract_source=nature_html</w:t>
      </w:r>
    </w:p>
    <w:p>
      <w:pPr>
        <w:spacing w:before="0" w:after="80" w:lineRule="auto" w:line="276"/>
      </w:pPr>
      <w:r>
        <w:rPr>
          <w:b/>
        </w:rPr>
        <w:t xml:space="preserve">摘要（ZH）: </w:t>
      </w:r>
      <w:r>
        <w:t>体重过重对个人健康的影响不同。考虑到这种差异对于有效的医疗保健、政策和研究至关重要。体重过重对个人健康的影响不同。考虑到这种差异对于有效的医疗保健、政策和研究至关重要。</w:t>
      </w:r>
    </w:p>
    <w:p>
      <w:pPr>
        <w:spacing w:before="0" w:after="200" w:lineRule="auto" w:line="276"/>
      </w:pPr>
      <w:r>
        <w:rPr>
          <w:b/>
        </w:rPr>
        <w:t xml:space="preserve">Abstract (EN): </w:t>
      </w:r>
      <w:r>
        <w:t>Excess body weight affects individuals’ health differently. Taking this variation into account is crucial for effective health care, policy and research. Excess body weight affects individuals’ health differently. Taking this variation into account is crucial for effective health care, policy and research.</w:t>
      </w:r>
    </w:p>
    <w:p>
      <w:pPr>
        <w:spacing w:before="120" w:after="120"/>
      </w:pPr>
      <w:r>
        <w:rPr>
          <w:sz w:val="18"/>
        </w:rPr>
        <w:t>——————————————————————————————————————————————————————————————————————</w:t>
      </w:r>
    </w:p>
    <w:p>
      <w:pPr>
        <w:spacing w:before="160" w:after="40" w:line="240" w:lineRule="auto"/>
      </w:pPr>
      <w:r>
        <w:rPr>
          <w:b/>
        </w:rPr>
        <w:t xml:space="preserve">[59] </w:t>
      </w:r>
      <w:hyperlink r:id="rId402">
        <w:r>
          <w:rPr>
            <w:color w:val="1155CC"/>
            <w:u w:val="single"/>
          </w:rPr>
          <w:t>监管不力正在将年轻研究人员赶出学术界</w:t>
        </w:r>
      </w:hyperlink>
    </w:p>
    <w:p>
      <w:pPr>
        <w:spacing w:before="0" w:after="80"/>
      </w:pPr>
      <w:r>
        <w:rPr>
          <w:i/>
          <w:sz w:val="20"/>
        </w:rPr>
        <w:t>EN: Poor supervision is pushing young researchers out of academia</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403">
        <w:r>
          <w:rPr>
            <w:color w:val="1155CC"/>
            <w:u w:val="single"/>
          </w:rPr>
          <w:t>10.1038/d41586-026-01693-4</w:t>
        </w:r>
      </w:hyperlink>
    </w:p>
    <w:p>
      <w:pPr>
        <w:spacing w:before="0" w:after="120"/>
      </w:pPr>
      <w:r>
        <w:rPr>
          <w:b/>
        </w:rPr>
        <w:t xml:space="preserve">Notes: </w:t>
      </w:r>
      <w:r>
        <w:t>abstract_source=nature_html</w:t>
      </w:r>
    </w:p>
    <w:p>
      <w:pPr>
        <w:spacing w:before="0" w:after="80" w:lineRule="auto" w:line="276"/>
      </w:pPr>
      <w:r>
        <w:rPr>
          <w:b/>
        </w:rPr>
        <w:t xml:space="preserve">摘要（ZH）: </w:t>
      </w:r>
      <w:r>
        <w:t>一项调查发现，学术导师会对学生的心理健康产生巨大影响。一项调查发现，学术导师会对学生的心理健康产生巨大影响。</w:t>
      </w:r>
    </w:p>
    <w:p>
      <w:pPr>
        <w:spacing w:before="0" w:after="200" w:lineRule="auto" w:line="276"/>
      </w:pPr>
      <w:r>
        <w:rPr>
          <w:b/>
        </w:rPr>
        <w:t xml:space="preserve">Abstract (EN): </w:t>
      </w:r>
      <w:r>
        <w:t>A survey finds that academic supervisors can have a huge impact on their students’ mental health. A survey finds that academic supervisors can have a huge impact on their students’ mental health.</w:t>
      </w:r>
    </w:p>
    <w:p>
      <w:pPr>
        <w:spacing w:before="120" w:after="120"/>
      </w:pPr>
      <w:r>
        <w:rPr>
          <w:sz w:val="18"/>
        </w:rPr>
        <w:t>——————————————————————————————————————————————————————————————————————</w:t>
      </w:r>
    </w:p>
    <w:p>
      <w:pPr>
        <w:spacing w:before="160" w:after="40" w:line="240" w:lineRule="auto"/>
      </w:pPr>
      <w:r>
        <w:rPr>
          <w:b/>
        </w:rPr>
        <w:t xml:space="preserve">[60] </w:t>
      </w:r>
      <w:hyperlink r:id="rId404">
        <w:r>
          <w:rPr>
            <w:color w:val="1155CC"/>
            <w:u w:val="single"/>
          </w:rPr>
          <w:t>智能手机摄像头在设备使用过程中被动采集用户脉搏</w:t>
        </w:r>
      </w:hyperlink>
    </w:p>
    <w:p>
      <w:pPr>
        <w:spacing w:before="0" w:after="80"/>
      </w:pPr>
      <w:r>
        <w:rPr>
          <w:i/>
          <w:sz w:val="20"/>
        </w:rPr>
        <w:t>EN: Smartphone camera takes users’ pulse passively during device use</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405">
        <w:r>
          <w:rPr>
            <w:color w:val="1155CC"/>
            <w:u w:val="single"/>
          </w:rPr>
          <w:t>10.1038/d41586-026-01488-7</w:t>
        </w:r>
      </w:hyperlink>
    </w:p>
    <w:p>
      <w:pPr>
        <w:spacing w:before="0" w:after="120"/>
      </w:pPr>
      <w:r>
        <w:rPr>
          <w:b/>
        </w:rPr>
        <w:t xml:space="preserve">Notes: </w:t>
      </w:r>
      <w:r>
        <w:t>abstract_source=nature_html</w:t>
      </w:r>
    </w:p>
    <w:p>
      <w:pPr>
        <w:spacing w:before="0" w:after="80" w:lineRule="auto" w:line="276"/>
      </w:pPr>
      <w:r>
        <w:rPr>
          <w:b/>
        </w:rPr>
        <w:t xml:space="preserve">摘要（ZH）: </w:t>
      </w:r>
      <w:r>
        <w:t>已经开发出一种机器学习系统，可以使用面部视频片段来监测心率，这些视频片段是在日常智能手机使用过程中由面向用户的摄像头被动捕获的。该系统符合心率测量的行业精度标准，并且与测量每日静息心率的可穿戴技术一样准确。智能手机用户的心率和静息心率可以在整个肤色范围内进行估计。</w:t>
      </w:r>
    </w:p>
    <w:p>
      <w:pPr>
        <w:spacing w:before="0" w:after="200" w:lineRule="auto" w:line="276"/>
      </w:pPr>
      <w:r>
        <w:rPr>
          <w:b/>
        </w:rPr>
        <w:t xml:space="preserve">Abstract (EN): </w:t>
      </w:r>
      <w:r>
        <w:t>A machine-learning system has been developed that can monitor heart rate using facial video clips that are captured passively by the user-facing camera during everyday smartphone use. The system meets industry accuracy standards for heart-rate measurement and is as accurate as wearable technology for measuring daily resting heart rate. Smartphone users’ heart rate and resting heart rate can be estimated across the skin-tone spectrum.</w:t>
      </w:r>
    </w:p>
    <w:p>
      <w:pPr>
        <w:spacing w:before="120" w:after="120"/>
      </w:pPr>
      <w:r>
        <w:rPr>
          <w:sz w:val="18"/>
        </w:rPr>
        <w:t>——————————————————————————————————————————————————————————————————————</w:t>
      </w:r>
    </w:p>
    <w:p>
      <w:pPr>
        <w:spacing w:before="160" w:after="40" w:line="240" w:lineRule="auto"/>
      </w:pPr>
      <w:r>
        <w:rPr>
          <w:b/>
        </w:rPr>
        <w:t xml:space="preserve">[61] </w:t>
      </w:r>
      <w:hyperlink r:id="rId406">
        <w:r>
          <w:rPr>
            <w:color w:val="1155CC"/>
            <w:u w:val="single"/>
          </w:rPr>
          <w:t>对亚马逊雨林风险的稳健预测</w:t>
        </w:r>
      </w:hyperlink>
    </w:p>
    <w:p>
      <w:pPr>
        <w:spacing w:before="0" w:after="80"/>
      </w:pPr>
      <w:r>
        <w:rPr>
          <w:i/>
          <w:sz w:val="20"/>
        </w:rPr>
        <w:t>EN: Robust projections of risks to the Amazon rainforest</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407">
        <w:r>
          <w:rPr>
            <w:color w:val="1155CC"/>
            <w:u w:val="single"/>
          </w:rPr>
          <w:t>10.1038/d41586-026-01158-8</w:t>
        </w:r>
      </w:hyperlink>
    </w:p>
    <w:p>
      <w:pPr>
        <w:spacing w:before="0" w:after="120"/>
      </w:pPr>
      <w:r>
        <w:rPr>
          <w:b/>
        </w:rPr>
        <w:t xml:space="preserve">Notes: </w:t>
      </w:r>
      <w:r>
        <w:t>abstract_source=nature_html</w:t>
      </w:r>
    </w:p>
    <w:p>
      <w:pPr>
        <w:spacing w:before="0" w:after="80" w:lineRule="auto" w:line="276"/>
      </w:pPr>
      <w:r>
        <w:rPr>
          <w:b/>
        </w:rPr>
        <w:t xml:space="preserve">摘要（ZH）: </w:t>
      </w:r>
      <w:r>
        <w:t>亚马逊森林砍伐正在改变大气中的水分输送；因此，即使全球变暖程度较低，也可能导致大部分剩余森林枯死。亚马逊森林砍伐正在改变大气中的水分输送；因此，即使全球变暖程度较低，也可能导致大部分剩余森林枯死。</w:t>
      </w:r>
    </w:p>
    <w:p>
      <w:pPr>
        <w:spacing w:before="0" w:after="200" w:lineRule="auto" w:line="276"/>
      </w:pPr>
      <w:r>
        <w:rPr>
          <w:b/>
        </w:rPr>
        <w:t xml:space="preserve">Abstract (EN): </w:t>
      </w:r>
      <w:r>
        <w:t>Amazonian deforestation is altering atmospheric moisture transport; as a result, even low levels of global warming could trigger dieback of most of the remaining forest. Amazonian deforestation is altering atmospheric moisture transport; as a result, even low levels of global warming could trigger dieback of most of the remaining forest.</w:t>
      </w:r>
    </w:p>
    <w:p>
      <w:pPr>
        <w:spacing w:before="120" w:after="120"/>
      </w:pPr>
      <w:r>
        <w:rPr>
          <w:sz w:val="18"/>
        </w:rPr>
        <w:t>——————————————————————————————————————————————————————————————————————</w:t>
      </w:r>
    </w:p>
    <w:p>
      <w:pPr>
        <w:spacing w:before="160" w:after="40" w:line="240" w:lineRule="auto"/>
      </w:pPr>
      <w:r>
        <w:rPr>
          <w:b/>
        </w:rPr>
        <w:t xml:space="preserve">[62] </w:t>
      </w:r>
      <w:hyperlink r:id="rId408">
        <w:r>
          <w:rPr>
            <w:color w:val="1155CC"/>
            <w:u w:val="single"/>
          </w:rPr>
          <w:t>每日简报：如何阻止埃博拉疫情不断蔓延</w:t>
        </w:r>
      </w:hyperlink>
    </w:p>
    <w:p>
      <w:pPr>
        <w:spacing w:before="0" w:after="80"/>
      </w:pPr>
      <w:r>
        <w:rPr>
          <w:i/>
          <w:sz w:val="20"/>
        </w:rPr>
        <w:t>EN: Daily briefing: What it will take to stop the spiralling Ebola outbreak</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409">
        <w:r>
          <w:rPr>
            <w:color w:val="1155CC"/>
            <w:u w:val="single"/>
          </w:rPr>
          <w:t>10.1038/d41586-026-01782-4</w:t>
        </w:r>
      </w:hyperlink>
    </w:p>
    <w:p>
      <w:pPr>
        <w:spacing w:before="0" w:after="120"/>
      </w:pPr>
      <w:r>
        <w:rPr>
          <w:b/>
        </w:rPr>
        <w:t xml:space="preserve">Notes: </w:t>
      </w:r>
      <w:r>
        <w:t>abstract_source=nature_html</w:t>
      </w:r>
    </w:p>
    <w:p>
      <w:pPr>
        <w:spacing w:before="0" w:after="80" w:lineRule="auto" w:line="276"/>
      </w:pPr>
      <w:r>
        <w:rPr>
          <w:b/>
        </w:rPr>
        <w:t xml:space="preserve">摘要（ZH）: </w:t>
      </w:r>
      <w:r>
        <w:t>过去流行病的教训可能有助于遏制埃博拉病毒当前的传播。另外，火箭爆炸对美国宇航局的登月计划意味着什么，以及“肥胖”是否应该分为两种诊断。过去流行病的教训可能有助于遏制埃博拉病毒当前的传播。另外，火箭爆炸对美国宇航局的登月计划意味着什么，以及“肥胖”是否应该分为两种诊断。</w:t>
      </w:r>
    </w:p>
    <w:p>
      <w:pPr>
        <w:spacing w:before="0" w:after="200" w:lineRule="auto" w:line="276"/>
      </w:pPr>
      <w:r>
        <w:rPr>
          <w:b/>
        </w:rPr>
        <w:t xml:space="preserve">Abstract (EN): </w:t>
      </w:r>
      <w:r>
        <w:t>Lessons from past epidemics could help to contain the current spread of Ebola. Plus, what a rocket explosion means for NASA's Moon plans and whether ‘obesity’ should be split into two diagnoses. Lessons from past epidemics could help to contain the current spread of Ebola. Plus, what a rocket explosion means for NASA's Moon plans and whether ‘obesity’ should be split into two diagnoses.</w:t>
      </w:r>
    </w:p>
    <w:p>
      <w:pPr>
        <w:spacing w:before="120" w:after="120"/>
      </w:pPr>
      <w:r>
        <w:rPr>
          <w:sz w:val="18"/>
        </w:rPr>
        <w:t>——————————————————————————————————————————————————————————————————————</w:t>
      </w:r>
    </w:p>
    <w:p>
      <w:pPr>
        <w:spacing w:before="160" w:after="40" w:line="240" w:lineRule="auto"/>
      </w:pPr>
      <w:r>
        <w:rPr>
          <w:b/>
        </w:rPr>
        <w:t xml:space="preserve">[63] </w:t>
      </w:r>
      <w:hyperlink r:id="rId410">
        <w:r>
          <w:rPr>
            <w:color w:val="1155CC"/>
            <w:u w:val="single"/>
          </w:rPr>
          <w:t>科幻小说：九本适合假期阅读的实验室生活小说</w:t>
        </w:r>
      </w:hyperlink>
    </w:p>
    <w:p>
      <w:pPr>
        <w:spacing w:before="0" w:after="80"/>
      </w:pPr>
      <w:r>
        <w:rPr>
          <w:i/>
          <w:sz w:val="20"/>
        </w:rPr>
        <w:t>EN: Science fiction: nine lab-life novels for your holiday reading</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411">
        <w:r>
          <w:rPr>
            <w:color w:val="1155CC"/>
            <w:u w:val="single"/>
          </w:rPr>
          <w:t>10.1038/d41586-026-01730-2</w:t>
        </w:r>
      </w:hyperlink>
    </w:p>
    <w:p>
      <w:pPr>
        <w:spacing w:before="0" w:after="120"/>
      </w:pPr>
      <w:r>
        <w:rPr>
          <w:b/>
        </w:rPr>
        <w:t xml:space="preserve">Notes: </w:t>
      </w:r>
      <w:r>
        <w:t>abstract_source=nature_html</w:t>
      </w:r>
    </w:p>
    <w:p>
      <w:pPr>
        <w:spacing w:before="0" w:after="80" w:lineRule="auto" w:line="276"/>
      </w:pPr>
      <w:r>
        <w:rPr>
          <w:b/>
        </w:rPr>
        <w:t xml:space="preserve">摘要（ZH）: </w:t>
      </w:r>
      <w:r>
        <w:t>随着许多研究人员暑假的临近，《自然》杂志的职业团队建议以科学为主题的引人入胜的文章。随着许多研究人员暑假的临近，《自然》杂志的职业团队建议以科学为主题的引人入胜的文章。</w:t>
      </w:r>
    </w:p>
    <w:p>
      <w:pPr>
        <w:spacing w:before="0" w:after="200" w:lineRule="auto" w:line="276"/>
      </w:pPr>
      <w:r>
        <w:rPr>
          <w:b/>
        </w:rPr>
        <w:t xml:space="preserve">Abstract (EN): </w:t>
      </w:r>
      <w:r>
        <w:t>With a summer break looming for many researchers, Nature’s careers team suggests science-themed page-turners. With a summer break looming for many researchers, Nature’s careers team suggests science-themed page-turners.</w:t>
      </w:r>
    </w:p>
    <w:p>
      <w:pPr>
        <w:spacing w:before="120" w:after="120"/>
      </w:pPr>
      <w:r>
        <w:rPr>
          <w:sz w:val="18"/>
        </w:rPr>
        <w:t>——————————————————————————————————————————————————————————————————————</w:t>
      </w:r>
    </w:p>
    <w:p>
      <w:pPr>
        <w:spacing w:before="160" w:after="40" w:line="240" w:lineRule="auto"/>
      </w:pPr>
      <w:r>
        <w:rPr>
          <w:b/>
        </w:rPr>
        <w:t xml:space="preserve">[64] </w:t>
      </w:r>
      <w:hyperlink r:id="rId412">
        <w:r>
          <w:rPr>
            <w:color w:val="1155CC"/>
            <w:u w:val="single"/>
          </w:rPr>
          <w:t>通过三重态氮宾介导的扩环模块化非对映选择性合成受阻环丁烷氨基腈</w:t>
        </w:r>
      </w:hyperlink>
    </w:p>
    <w:p>
      <w:pPr>
        <w:spacing w:before="0" w:after="80"/>
      </w:pPr>
      <w:r>
        <w:rPr>
          <w:i/>
          <w:sz w:val="20"/>
        </w:rPr>
        <w:t>EN: Modular diastereoselective synthesis of hindered cyclobutane amino nitriles through triplet nitrene-mediated ring expansion</w:t>
      </w:r>
    </w:p>
    <w:p>
      <w:pPr>
        <w:spacing w:before="0" w:after="120"/>
      </w:pPr>
      <w:r>
        <w:rPr>
          <w:b/>
        </w:rPr>
        <w:t xml:space="preserve">Source: </w:t>
      </w:r>
      <w:r>
        <w:t>Nature Chemistry</w:t>
      </w:r>
      <w:r>
        <w:t xml:space="preserve">    </w:t>
      </w:r>
      <w:r>
        <w:rPr>
          <w:b/>
        </w:rPr>
        <w:t xml:space="preserve">Pub date: </w:t>
      </w:r>
      <w:r>
        <w:t>2026-06-01 00:00:00+00:00</w:t>
      </w:r>
      <w:r>
        <w:t xml:space="preserve">    </w:t>
      </w:r>
      <w:r>
        <w:rPr>
          <w:b/>
        </w:rPr>
        <w:t xml:space="preserve">DOI: </w:t>
      </w:r>
      <w:hyperlink r:id="rId413">
        <w:r>
          <w:rPr>
            <w:color w:val="1155CC"/>
            <w:u w:val="single"/>
          </w:rPr>
          <w:t>10.1038/s41557-026-02156-z</w:t>
        </w:r>
      </w:hyperlink>
    </w:p>
    <w:p>
      <w:pPr>
        <w:spacing w:before="0" w:after="120"/>
      </w:pPr>
      <w:r>
        <w:rPr>
          <w:b/>
        </w:rPr>
        <w:t xml:space="preserve">Notes: </w:t>
      </w:r>
      <w:r>
        <w:t>abstract_source=nature_html</w:t>
      </w:r>
    </w:p>
    <w:p>
      <w:pPr>
        <w:spacing w:before="0" w:after="80" w:lineRule="auto" w:line="276"/>
      </w:pPr>
      <w:r>
        <w:rPr>
          <w:b/>
        </w:rPr>
        <w:t xml:space="preserve">摘要（ZH）: </w:t>
      </w:r>
      <w:r>
        <w:t>环丁烷氨基腈（CBAN）作为一类空间位阻的α,α-二取代非天然氨基酸衍生物，由于其增强分子效力、代谢稳定性和选择性的能力而引起了药物研究的极大兴趣。然而，CBAN化学空间的进步和探索受到一般合成策略的阻碍，特别是对于空间位阻更大的邻位四取代衍生物。在这里，我们报告了使用市售酮或醛通过模块化和精确的过程非对映选择性合成拥挤的 CBAN。这种转变的关键在于利用三线态氮烯的独特反应性。这使得亚烷基环丙烷能够进行双自由基介导的扩环，并与钛（IV）催化的氰基化步骤相结合。该反应得到了实验和计算机制研究的支持，很容易产生受阻邻位单取代和双取代 CBAN，以及螺融合结构，展现出巨大的结构多样性。还观察到了高官能团兼容性，包括与传统多步骤过程不兼容且具有医学相关性的基团。该图像的替代文本可能是使用人工智能生成的。</w:t>
      </w:r>
    </w:p>
    <w:p>
      <w:pPr>
        <w:spacing w:before="0" w:after="200" w:lineRule="auto" w:line="276"/>
      </w:pPr>
      <w:r>
        <w:rPr>
          <w:b/>
        </w:rPr>
        <w:t xml:space="preserve">Abstract (EN): </w:t>
      </w:r>
      <w:r>
        <w:t>Cyclobutane amino nitriles (CBANs), as a class of sterically hindered α,α-disubstituted unnatural amino acid derivatives, have garnered notable interest in pharmaceutical research due to their capacity to enhance molecule potency, metabolic stability and selectivity. However, the advancement and exploration of the chemical space of CBANs are impeded by general synthetic strategies, particularly for sterically more hindered vicinal tetrasubstituted derivatives. Here we report the diastereoselective synthesis of congested CBANs using commercially available ketones or aldehydes through a modular and precise process. The key to this transformation involves harnessing the unique reactivity of triplet nitrene. This enables a diradical-mediated ring expansion of alkylidenecyclopropanes and is combined with a titanium(IV)-catalysed cyanylation step. The reaction, which is supported by experimental and computational mechanistic studies, readily delivers hindered vicinal mono- and di-substituted CBANs, along with spiro-fused architectures, showcasing substantial structural diversity. High functional-group compatibility, including with groups that are incompatible with traditional multi-step processes and are medicinally relevant, is also observed.The alternative text for this image may have been generated using AI.</w:t>
      </w:r>
    </w:p>
    <w:p>
      <w:pPr>
        <w:spacing w:before="120" w:after="120"/>
      </w:pPr>
      <w:r>
        <w:rPr>
          <w:sz w:val="18"/>
        </w:rPr>
        <w:t>——————————————————————————————————————————————————————————————————————</w:t>
      </w:r>
    </w:p>
    <w:p>
      <w:pPr>
        <w:spacing w:before="160" w:after="40" w:line="240" w:lineRule="auto"/>
      </w:pPr>
      <w:r>
        <w:rPr>
          <w:b/>
        </w:rPr>
        <w:t xml:space="preserve">[65] </w:t>
      </w:r>
      <w:hyperlink r:id="rId414">
        <w:r>
          <w:rPr>
            <w:color w:val="1155CC"/>
            <w:u w:val="single"/>
          </w:rPr>
          <w:t>人类能活多久？我们根本不知道</w:t>
        </w:r>
      </w:hyperlink>
    </w:p>
    <w:p>
      <w:pPr>
        <w:spacing w:before="0" w:after="80"/>
      </w:pPr>
      <w:r>
        <w:rPr>
          <w:i/>
          <w:sz w:val="20"/>
        </w:rPr>
        <w:t>EN: How long can humans live? We simply don’t know</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415">
        <w:r>
          <w:rPr>
            <w:color w:val="1155CC"/>
            <w:u w:val="single"/>
          </w:rPr>
          <w:t>10.1038/d41586-026-01728-w</w:t>
        </w:r>
      </w:hyperlink>
    </w:p>
    <w:p>
      <w:pPr>
        <w:spacing w:before="0" w:after="120"/>
      </w:pPr>
      <w:r>
        <w:rPr>
          <w:b/>
        </w:rPr>
        <w:t xml:space="preserve">Notes: </w:t>
      </w:r>
      <w:r>
        <w:t>abstract_source=nature_html</w:t>
      </w:r>
    </w:p>
    <w:p>
      <w:pPr>
        <w:spacing w:before="0" w:after="80" w:lineRule="auto" w:line="276"/>
      </w:pPr>
      <w:r>
        <w:rPr>
          <w:b/>
        </w:rPr>
        <w:t xml:space="preserve">摘要（ZH）: </w:t>
      </w:r>
      <w:r>
        <w:t>长寿研究员索尔·纽曼表示，有关人类寿命上限的说法具有炒作、数据不足和伪劣科学的特点。长寿研究员索尔·纽曼表示，有关人类寿命上限的说法具有炒作、数据不足和伪劣科学的特点。</w:t>
      </w:r>
    </w:p>
    <w:p>
      <w:pPr>
        <w:spacing w:before="0" w:after="200" w:lineRule="auto" w:line="276"/>
      </w:pPr>
      <w:r>
        <w:rPr>
          <w:b/>
        </w:rPr>
        <w:t xml:space="preserve">Abstract (EN): </w:t>
      </w:r>
      <w:r>
        <w:t>Claims about the upper limits to human lifespan are characterized by hype, deficient data and shoddy science, says longevity researcher Saul Newman. Claims about the upper limits to human lifespan are characterized by hype, deficient data and shoddy science, says longevity researcher Saul Newman.</w:t>
      </w:r>
    </w:p>
    <w:p>
      <w:pPr>
        <w:spacing w:before="120" w:after="120"/>
      </w:pPr>
      <w:r>
        <w:rPr>
          <w:sz w:val="18"/>
        </w:rPr>
        <w:t>——————————————————————————————————————————————————————————————————————</w:t>
      </w:r>
    </w:p>
    <w:p>
      <w:pPr>
        <w:spacing w:before="160" w:after="40" w:line="240" w:lineRule="auto"/>
      </w:pPr>
      <w:r>
        <w:rPr>
          <w:b/>
        </w:rPr>
        <w:t xml:space="preserve">[66] </w:t>
      </w:r>
      <w:hyperlink r:id="rId416">
        <w:r>
          <w:rPr>
            <w:color w:val="1155CC"/>
            <w:u w:val="single"/>
          </w:rPr>
          <w:t>日常生活中使用智能手机时的被动心率监测</w:t>
        </w:r>
      </w:hyperlink>
    </w:p>
    <w:p>
      <w:pPr>
        <w:spacing w:before="0" w:after="80"/>
      </w:pPr>
      <w:r>
        <w:rPr>
          <w:i/>
          <w:sz w:val="20"/>
        </w:rPr>
        <w:t>EN: Passive heart-rate monitoring during smartphone use in everyday life</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417">
        <w:r>
          <w:rPr>
            <w:color w:val="1155CC"/>
            <w:u w:val="single"/>
          </w:rPr>
          <w:t>10.1038/s41586-026-10507-6</w:t>
        </w:r>
      </w:hyperlink>
    </w:p>
    <w:p>
      <w:pPr>
        <w:spacing w:before="0" w:after="120"/>
      </w:pPr>
      <w:r>
        <w:rPr>
          <w:b/>
        </w:rPr>
        <w:t xml:space="preserve">Notes: </w:t>
      </w:r>
      <w:r>
        <w:t>abstract_source=nature_html</w:t>
      </w:r>
    </w:p>
    <w:p>
      <w:pPr>
        <w:spacing w:before="0" w:after="80" w:lineRule="auto" w:line="276"/>
      </w:pPr>
      <w:r>
        <w:rPr>
          <w:b/>
        </w:rPr>
        <w:t xml:space="preserve">摘要（ZH）: </w:t>
      </w:r>
      <w:r>
        <w:t>静息心率 (RHR) 是心血管健康和死亡率的关键生物标志物1,2,3，但被动纵向跟踪通常需要可穿戴设备，限制了其可用性。在这里，我们介绍被动心率监测 (PHRM)，这是一种深度学习系统，它使用基于面部视频的光电体积描记法在日常智能手机交互过程中被动测量心率 (HR) 和 RHR。我们的系统是使用 485 名参与者的 192,353 个视频开发的，并在实验室和自由生活条件下对 211 名参与者的 162,546 个视频进行了验证，据我们所知，这是同类中最大规模的验证研究。在我们的基准测试中，PHRM 的表现优于最先进的方法。与参考心电图相比，PHRM 在浅色、中色和深色色素沉着三个肤色组的 HR 测量中实现了低于 10% 的平均绝对百分比误差 (MAPE)，符合行业精度标准；每个肤色组的 MAPE 均不劣于其他组。与可穿戴心率追踪器相比，PHRM 测量的每日 RHR 的平均绝对误差小于每分钟 5 次心跳，并且与已知的心血管疾病危险因素相关。这些结果凸显了智能手机在实现被动且公平的心脏健康监测方面的潜力。为了促进进一步的研究，我们公开发布了一个大型的带注释的智能手机视频数据集以及一个预先训练的 HR 模型。</w:t>
      </w:r>
    </w:p>
    <w:p>
      <w:pPr>
        <w:spacing w:before="0" w:after="200" w:lineRule="auto" w:line="276"/>
      </w:pPr>
      <w:r>
        <w:rPr>
          <w:b/>
        </w:rPr>
        <w:t xml:space="preserve">Abstract (EN): </w:t>
      </w:r>
      <w:r>
        <w:t>Resting heart rate (RHR) is a key biomarker of cardiovascular health and mortality1,2,3, but passively tracking it longitudinally generally requires a wearable device, limiting its availability. Here we present passive heart-rate monitoring (PHRM), a deep-learning system that uses facial video-based photoplethysmography for passive measurements of heart rate (HR) and RHR during everyday smartphone interactions. Our system was developed using 192,353 videos from 485 participants and validated on 162,546 videos from 211 participants in laboratory and free-living conditions, representing, to our knowledge, the largest validation study of its kind. PHRM outperformed state-of-the-art methods on our benchmarks. Compared with reference electrocardiograms, PHRM achieved a mean absolute percentage error (MAPE) lower than 10% for HR measurements across three skin-tone groups of light, medium and dark pigmentation, meeting industry accuracy standards; MAPE for each skin-tone group was non-inferior versus the others. Daily RHR measured by PHRM had a mean absolute error of less than five beats per minute, compared with a wearable HR tracker, and was associated with known risk factors for cardiovascular disease. These results highlight the potential of smartphones for enabling passive and equitable monitoring of heart health. To facilitate further research, we publicly release a large, annotated smartphone video dataset along with a pre-trained HR model.</w:t>
      </w:r>
    </w:p>
    <w:p>
      <w:pPr>
        <w:spacing w:before="120" w:after="120"/>
      </w:pPr>
      <w:r>
        <w:rPr>
          <w:sz w:val="18"/>
        </w:rPr>
        <w:t>——————————————————————————————————————————————————————————————————————</w:t>
      </w:r>
    </w:p>
    <w:p>
      <w:pPr>
        <w:spacing w:before="160" w:after="40" w:line="240" w:lineRule="auto"/>
      </w:pPr>
      <w:r>
        <w:rPr>
          <w:b/>
        </w:rPr>
        <w:t xml:space="preserve">[67] </w:t>
      </w:r>
      <w:hyperlink r:id="rId418">
        <w:r>
          <w:rPr>
            <w:color w:val="1155CC"/>
            <w:u w:val="single"/>
          </w:rPr>
          <w:t>通过非共价催化剂组装的对映选择性氢原子中继</w:t>
        </w:r>
      </w:hyperlink>
    </w:p>
    <w:p>
      <w:pPr>
        <w:spacing w:before="0" w:after="80"/>
      </w:pPr>
      <w:r>
        <w:rPr>
          <w:i/>
          <w:sz w:val="20"/>
        </w:rPr>
        <w:t>EN: Enantioselective hydrogen atom relay via non-covalent catalyst assembly</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419">
        <w:r>
          <w:rPr>
            <w:color w:val="1155CC"/>
            <w:u w:val="single"/>
          </w:rPr>
          <w:t>10.1038/s41586-026-10692-4</w:t>
        </w:r>
      </w:hyperlink>
    </w:p>
    <w:p>
      <w:pPr>
        <w:spacing w:before="0" w:after="120"/>
      </w:pPr>
      <w:r>
        <w:rPr>
          <w:b/>
        </w:rPr>
        <w:t xml:space="preserve">Notes: </w:t>
      </w:r>
      <w:r>
        <w:t>abstract_source=nature_html</w:t>
      </w:r>
    </w:p>
    <w:p>
      <w:pPr>
        <w:spacing w:before="0" w:after="80" w:lineRule="auto" w:line="276"/>
      </w:pPr>
      <w:r>
        <w:rPr>
          <w:b/>
        </w:rPr>
        <w:t xml:space="preserve">摘要（ZH）: </w:t>
      </w:r>
      <w:r>
        <w:t>大多数生物功能由手性分子调节，这些分子至少含有一个叔立体碳，即具有一个 C(sp3)-H 键的碳。氢原子转移 (HAT)2 是一种直接的策略，可以在多种合成有用的转化中编辑 3 或引入三级立构中心，4 尤其是与光氧化还原催化结合时。5,6 然而，传统的手性 HAT 催化剂的从头设计可对短寿命的开壳中间体提供足够的对映体控制，7 已成为对映选择性 HAT 反应发展的主要障碍。在这里，我们描述了一种独特的方法，其中通过特殊手性磷酸和商业 2-巯基吡啶的非共价自组装原位获得手性 HAT 催化剂。磷酸作为模块化可互换手性元素，使非手性硫醇有效地手性，从而允许手性 HAT 催化剂以前无法达到的组合空间。该平台能够实现 2-芳基吡咯烷（活性药物成分中常见的支架）的光化学去消旋作用。光学富集通过对映选择性氢原子中继发生，其中单个手性组装协调氢原子的提取和传递。这种通过非共价组装传递手性信息的概念方法为发现众多不对称自由基转变铺平了道路。</w:t>
      </w:r>
    </w:p>
    <w:p>
      <w:pPr>
        <w:spacing w:before="0" w:after="200" w:lineRule="auto" w:line="276"/>
      </w:pPr>
      <w:r>
        <w:rPr>
          <w:b/>
        </w:rPr>
        <w:t xml:space="preserve">Abstract (EN): </w:t>
      </w:r>
      <w:r>
        <w:t>Most biological functions are regulated by chiral molecules1 that contain at least one tertiary stereogenic carbon, i.e., a carbon with one C(sp3)–H bond. Hydrogen Atom Transfer (HAT)2 is a straightforward strategy to either edit3 or introduce tertiary stereocenters in multiple synthetically useful transformations,4 especially when coupled with photoredox catalysis.5,6 However, traditional de novo designs of chiral HAT catalysts that provide sufficient enantiocontrol over short-lived open-shell intermediates,7 have represented a major hurdle for the development of enantioselective HAT reactions. Here, we describe a distinct approach in which chiral HAT catalysts are obtained in situ by non-covalent self-assembly of privileged chiral phosphoric acids and commercial 2-mercaptopyridines. The phosphoric acid serves as a modular interchangeable chiral element that renders the achiral thiol effectively chiral, thereby allowing for a previously inaccessible combinatorial space of chiral HAT catalysts. This platform enabled the photochemical deracemization of 2-aryl pyrrolidines, a prevalent scaffold in active pharmaceutical ingredients. Optical enrichment occurs via enantioselective hydrogen atom relay, in which a single chiral assembly orchestrates hydrogen atom abstraction and delivery. This conceptual approach of relaying chiral information via non-covalent assembly paves the way for the discovery of numerous asymmetric radical transformations.</w:t>
      </w:r>
    </w:p>
    <w:p>
      <w:pPr>
        <w:spacing w:before="120" w:after="120"/>
      </w:pPr>
      <w:r>
        <w:rPr>
          <w:sz w:val="18"/>
        </w:rPr>
        <w:t>——————————————————————————————————————————————————————————————————————</w:t>
      </w:r>
    </w:p>
    <w:p>
      <w:pPr>
        <w:spacing w:before="160" w:after="40" w:line="240" w:lineRule="auto"/>
      </w:pPr>
      <w:r>
        <w:rPr>
          <w:b/>
        </w:rPr>
        <w:t xml:space="preserve">[68] </w:t>
      </w:r>
      <w:hyperlink r:id="rId420">
        <w:r>
          <w:rPr>
            <w:color w:val="1155CC"/>
            <w:u w:val="single"/>
          </w:rPr>
          <w:t>用于倒置钙钛矿太阳能电池的具有增强组装密度的紫外和热稳定空穴选择性接触</w:t>
        </w:r>
      </w:hyperlink>
    </w:p>
    <w:p>
      <w:pPr>
        <w:spacing w:before="0" w:after="80"/>
      </w:pPr>
      <w:r>
        <w:rPr>
          <w:i/>
          <w:sz w:val="20"/>
        </w:rPr>
        <w:t>EN: UV and thermally stable hole-selective contacts with enhanced assembly density for inverted perovskite solar cells</w:t>
      </w:r>
    </w:p>
    <w:p>
      <w:pPr>
        <w:spacing w:before="0" w:after="120"/>
      </w:pPr>
      <w:r>
        <w:rPr>
          <w:b/>
        </w:rPr>
        <w:t xml:space="preserve">Source: </w:t>
      </w:r>
      <w:r>
        <w:t>Nature Materials</w:t>
      </w:r>
      <w:r>
        <w:t xml:space="preserve">    </w:t>
      </w:r>
      <w:r>
        <w:rPr>
          <w:b/>
        </w:rPr>
        <w:t xml:space="preserve">Pub date: </w:t>
      </w:r>
      <w:r>
        <w:t>2026-06-01 00:00:00+00:00</w:t>
      </w:r>
      <w:r>
        <w:t xml:space="preserve">    </w:t>
      </w:r>
      <w:r>
        <w:rPr>
          <w:b/>
        </w:rPr>
        <w:t xml:space="preserve">DOI: </w:t>
      </w:r>
      <w:hyperlink r:id="rId421">
        <w:r>
          <w:rPr>
            <w:color w:val="1155CC"/>
            <w:u w:val="single"/>
          </w:rPr>
          <w:t>10.1038/s41563-026-02619-1</w:t>
        </w:r>
      </w:hyperlink>
    </w:p>
    <w:p>
      <w:pPr>
        <w:spacing w:before="0" w:after="120"/>
      </w:pPr>
      <w:r>
        <w:rPr>
          <w:b/>
        </w:rPr>
        <w:t xml:space="preserve">Notes: </w:t>
      </w:r>
      <w:r>
        <w:t>abstract_source=nature_html</w:t>
      </w:r>
    </w:p>
    <w:p>
      <w:pPr>
        <w:spacing w:before="0" w:after="80" w:lineRule="auto" w:line="276"/>
      </w:pPr>
      <w:r>
        <w:rPr>
          <w:b/>
        </w:rPr>
        <w:t xml:space="preserve">摘要（ZH）: </w:t>
      </w:r>
      <w:r>
        <w:t>采用自组装单层作为空穴选择性接触，推动了高效倒置钙钛矿太阳能电池的发展。然而，此类装置的耐用性仍然受到传统咔唑分子易受紫外线（UV）损伤和膦酸锚的热不稳定性的影响。通过基准分子 MeO-2PACz 中的间隔基工程，我们阐明了两种不同的降解途径，其中光降解发生在非共轭键中，热降解发生在共轭结构中。这些见解使得我们能够合理设计一种新型分子 MP3，该分子将共轭和非共轭间隔基序与吸电子取代基结合在一起。这种重新设计的结构抑制了紫外线诱导的 N-脱烷基化和热驱动的酸酐形成，同时通过调节酸解离增强底物结合。基于 MP3 的钙钛矿太阳能电池的认证效率为 27.1%，并表现出卓越的稳定性：在紫外线照射 1,000 小时后，其初始效率保持在 93.2%；在 100 °C 热老化（1,000 小时）后，保持初始效率 91.1%；在 65 °C 最大功率点跟踪 2,200 小时后，保持 94.8%。</w:t>
      </w:r>
    </w:p>
    <w:p>
      <w:pPr>
        <w:spacing w:before="0" w:after="200" w:lineRule="auto" w:line="276"/>
      </w:pPr>
      <w:r>
        <w:rPr>
          <w:b/>
        </w:rPr>
        <w:t xml:space="preserve">Abstract (EN): </w:t>
      </w:r>
      <w:r>
        <w:t>The development of efficient inverted perovskite solar cells has been propelled by the adoption of self-assembled monolayers as hole-selective contacts. Nevertheless, the durability of such devices is still hampered by the vulnerability of conventional carbazole molecules to ultraviolet (UV) damage and thermal instability of phosphonic acid anchors. Through spacer-group engineering in the benchmark molecule MeO-2PACz, we elucidated two distinct degradation pathways, with photodegradation occurring in non-conjugated linkages and thermal degradation in conjugated structures. These insights enabled rational design of a novel molecule MP3, which integrates both conjugated and non-conjugated spacer motifs with an electron-withdrawing substituent. This redesigned structure suppressed UV-induced N-dealkylation and thermally driven anhydride formation while enhancing substrate binding via modulated acid dissociation. MP3-based perovskite solar cells achieved a certified efficiency of 27.1% and showed exceptional stability: retaining 93.2% of their initial efficiency after 1,000 h of UV exposure, 91.1% after 100 °C thermal ageing (1,000 h) and 94.8% after 2,200 h of maximum power point tracking at 65 °C.</w:t>
      </w:r>
    </w:p>
    <w:p>
      <w:pPr>
        <w:spacing w:before="120" w:after="120"/>
      </w:pPr>
      <w:r>
        <w:rPr>
          <w:sz w:val="18"/>
        </w:rPr>
        <w:t>——————————————————————————————————————————————————————————————————————</w:t>
      </w:r>
    </w:p>
    <w:p>
      <w:pPr>
        <w:spacing w:before="160" w:after="40" w:line="240" w:lineRule="auto"/>
      </w:pPr>
      <w:r>
        <w:rPr>
          <w:b/>
        </w:rPr>
        <w:t xml:space="preserve">[69] </w:t>
      </w:r>
      <w:hyperlink r:id="rId422">
        <w:r>
          <w:rPr>
            <w:color w:val="1155CC"/>
            <w:u w:val="single"/>
          </w:rPr>
          <w:t>纤连蛋白基质重塑调节癌症相关成纤维细胞的活跃向列动力学</w:t>
        </w:r>
      </w:hyperlink>
    </w:p>
    <w:p>
      <w:pPr>
        <w:spacing w:before="0" w:after="80"/>
      </w:pPr>
      <w:r>
        <w:rPr>
          <w:i/>
          <w:sz w:val="20"/>
        </w:rPr>
        <w:t>EN: Fibronectin matrix remodelling modulates the active nematic dynamics of cancer-associated fibroblasts</w:t>
      </w:r>
    </w:p>
    <w:p>
      <w:pPr>
        <w:spacing w:before="0" w:after="120"/>
      </w:pPr>
      <w:r>
        <w:rPr>
          <w:b/>
        </w:rPr>
        <w:t xml:space="preserve">Source: </w:t>
      </w:r>
      <w:r>
        <w:t>Nature Materials</w:t>
      </w:r>
      <w:r>
        <w:t xml:space="preserve">    </w:t>
      </w:r>
      <w:r>
        <w:rPr>
          <w:b/>
        </w:rPr>
        <w:t xml:space="preserve">Pub date: </w:t>
      </w:r>
      <w:r>
        <w:t>2026-06-01 00:00:00+00:00</w:t>
      </w:r>
      <w:r>
        <w:t xml:space="preserve">    </w:t>
      </w:r>
      <w:r>
        <w:rPr>
          <w:b/>
        </w:rPr>
        <w:t xml:space="preserve">DOI: </w:t>
      </w:r>
      <w:hyperlink r:id="rId423">
        <w:r>
          <w:rPr>
            <w:color w:val="1155CC"/>
            <w:u w:val="single"/>
          </w:rPr>
          <w:t>10.1038/s41563-026-02615-5</w:t>
        </w:r>
      </w:hyperlink>
    </w:p>
    <w:p>
      <w:pPr>
        <w:spacing w:before="0" w:after="120"/>
      </w:pPr>
      <w:r>
        <w:rPr>
          <w:b/>
        </w:rPr>
        <w:t xml:space="preserve">Notes: </w:t>
      </w:r>
      <w:r>
        <w:t>abstract_source=nature_html</w:t>
      </w:r>
    </w:p>
    <w:p>
      <w:pPr>
        <w:spacing w:before="0" w:after="80" w:lineRule="auto" w:line="276"/>
      </w:pPr>
      <w:r>
        <w:rPr>
          <w:b/>
        </w:rPr>
        <w:t xml:space="preserve">摘要（ZH）: </w:t>
      </w:r>
      <w:r>
        <w:t>癌症相关成纤维细胞是肿瘤基质的主要构建者，它们排列整齐、拉长的形态形成一个胶囊，机械地抑制肿瘤扩张。然而，目前尚不清楚这种超细胞组织是如何出现和持续的。在这里，我们表明成纤维细胞产生纤连蛋白基质，该基质逐渐获得与细胞层相同的向列顺序，并且该基质反过来反馈以固定细胞和拓扑缺陷。利用长期实时成像、牵引力显微镜、基质微加工和流体动力学模型，我们发现这种相互耦合会导致细胞流动和缺陷运动急剧减慢并最终冻结的老化过程。尽管发生这种停滞，单层仍然活跃，其缺陷集中了可能代表机械弱点的收缩力。破坏纤连蛋白的产生会使胶囊流化，重新激活缺陷动态并损害其屏障样功能。这些发现揭示了一种自组织机制，成纤维细胞及其基质共同进化，形成机械稳定但活跃的基质结构，对肿瘤传播有直接影响。</w:t>
      </w:r>
    </w:p>
    <w:p>
      <w:pPr>
        <w:spacing w:before="0" w:after="200" w:lineRule="auto" w:line="276"/>
      </w:pPr>
      <w:r>
        <w:rPr>
          <w:b/>
        </w:rPr>
        <w:t xml:space="preserve">Abstract (EN): </w:t>
      </w:r>
      <w:r>
        <w:t>Cancer-associated fibroblasts are major architects of the tumour stroma, where their aligned, elongated morphology forms a capsule that mechanically restrains tumour expansion. However, it is unclear how this supracellular organization emerges and persists. Here we show that fibroblasts generate a fibronectin matrix that progressively acquires the same nematic order as the cell layer, and that this matrix in turn feeds back to immobilize both cells and topological defects. Using long-term live imaging, traction force microscopy, matrix microfabrication and hydrodynamic modelling, we find that this reciprocal coupling induces an ageing process in which cellular flows and defect motion slow dramatically and ultimately freeze. Despite this arrest, the monolayer remains active, with defects concentrating contractile forces that may represent mechanical weak points. Disrupting fibronectin production fluidizes the capsule, reactivates defect dynamics and compromises its barrier-like function. These findings reveal a self-organizing mechanism by which fibroblasts and their matrix co-evolve to create a mechanically stable, yet active, stromal architecture with direct implications for tumour dissemination.</w:t>
      </w:r>
    </w:p>
    <w:p>
      <w:pPr>
        <w:spacing w:before="120" w:after="120"/>
      </w:pPr>
      <w:r>
        <w:rPr>
          <w:sz w:val="18"/>
        </w:rPr>
        <w:t>——————————————————————————————————————————————————————————————————————</w:t>
      </w:r>
    </w:p>
    <w:p>
      <w:pPr>
        <w:spacing w:before="160" w:after="40" w:line="240" w:lineRule="auto"/>
      </w:pPr>
      <w:r>
        <w:rPr>
          <w:b/>
        </w:rPr>
        <w:t xml:space="preserve">[70] </w:t>
      </w:r>
      <w:hyperlink r:id="rId424">
        <w:r>
          <w:rPr>
            <w:color w:val="1155CC"/>
            <w:u w:val="single"/>
          </w:rPr>
          <w:t>农业劳动力是未来农田供应的潜在瓶颈</w:t>
        </w:r>
      </w:hyperlink>
    </w:p>
    <w:p>
      <w:pPr>
        <w:spacing w:before="0" w:after="80"/>
      </w:pPr>
      <w:r>
        <w:rPr>
          <w:i/>
          <w:sz w:val="20"/>
        </w:rPr>
        <w:t>EN: Agricultural workforce as a potential bottleneck of future cropland availability</w:t>
      </w:r>
    </w:p>
    <w:p>
      <w:pPr>
        <w:spacing w:before="0" w:after="120"/>
      </w:pPr>
      <w:r>
        <w:rPr>
          <w:b/>
        </w:rPr>
        <w:t xml:space="preserve">Source: </w:t>
      </w:r>
      <w:r>
        <w:t>Nature Sustainability</w:t>
      </w:r>
      <w:r>
        <w:t xml:space="preserve">    </w:t>
      </w:r>
      <w:r>
        <w:rPr>
          <w:b/>
        </w:rPr>
        <w:t xml:space="preserve">Pub date: </w:t>
      </w:r>
      <w:r>
        <w:t>2026-06-01 00:00:00+00:00</w:t>
      </w:r>
      <w:r>
        <w:t xml:space="preserve">    </w:t>
      </w:r>
      <w:r>
        <w:rPr>
          <w:b/>
        </w:rPr>
        <w:t xml:space="preserve">DOI: </w:t>
      </w:r>
      <w:hyperlink r:id="rId425">
        <w:r>
          <w:rPr>
            <w:color w:val="1155CC"/>
            <w:u w:val="single"/>
          </w:rPr>
          <w:t>10.1038/s41893-026-01824-9</w:t>
        </w:r>
      </w:hyperlink>
    </w:p>
    <w:p>
      <w:pPr>
        <w:spacing w:before="0" w:after="120"/>
      </w:pPr>
      <w:r>
        <w:rPr>
          <w:b/>
        </w:rPr>
        <w:t xml:space="preserve">Notes: </w:t>
      </w:r>
      <w:r>
        <w:t>abstract_source=nature_html</w:t>
      </w:r>
    </w:p>
    <w:p>
      <w:pPr>
        <w:spacing w:before="0" w:after="80" w:lineRule="auto" w:line="276"/>
      </w:pPr>
      <w:r>
        <w:rPr>
          <w:b/>
        </w:rPr>
        <w:t xml:space="preserve">摘要（ZH）: </w:t>
      </w:r>
      <w:r>
        <w:t>全球农田面积历史上一直在扩大，随着全球粮食需求预计增长，这一趋势预计将持续下去。然而，农田废弃现象也在不断发生，劳动力短缺被认为是主要因素之一。在这里，我们证明农业劳动力将成为耕地可用性及其未来变化的主要限制因素，补充目前考虑的环境限制。根据历史轨迹，本研究预测由于引入劳动力限制而导致未来耕地可用性的额外抵消。尽管无需进一步扩展到自然区域即可满足全球农田需求，但在广泛建立的共享社会经济路径和代表性集中路径（SSP-RCP）情景及其假设下，劳动力受限的农田可用性和预测的农田利用之间仍然存在区域差异。这些差距表明需要制定有针对性的政策来支持额外的劳动力发展、农业部门的技术创新和移民流入，以维持预计的农田使用水平。</w:t>
      </w:r>
    </w:p>
    <w:p>
      <w:pPr>
        <w:spacing w:before="0" w:after="200" w:lineRule="auto" w:line="276"/>
      </w:pPr>
      <w:r>
        <w:rPr>
          <w:b/>
        </w:rPr>
        <w:t xml:space="preserve">Abstract (EN): </w:t>
      </w:r>
      <w:r>
        <w:t>Global cropland has historically expanded and this trend is expected to continue as global food demand is projected to grow. However, cropland abandonment is also steadily occurring, with workforce shortages recognized as one of major contributing factors. Here we demonstrate that the agricultural workforce will be a dominant constraint on cropland availability and its future changes, complementing the currently considered environmental constraints. On the basis of the historical trajectory, this study projects additional offsets in future cropland availability resulting from the introduction of workforce constraints. Although global cropland demand can be met without further expansion into natural areas, regional disparities persist between the workforce-constrained cropland availability and cropland use projected under widely established shared socioeconomic pathway and representative concentration pathway (SSP–RCP) scenarios and their assumptions. These gaps suggest the need for targeted policies supporting additional workforce development, technological innovations in the agricultural sector and migration inflows to sustain projected levels of cropland usage.</w:t>
      </w:r>
    </w:p>
    <w:p>
      <w:pPr>
        <w:spacing w:before="120" w:after="120"/>
      </w:pPr>
      <w:r>
        <w:rPr>
          <w:sz w:val="18"/>
        </w:rPr>
        <w:t>——————————————————————————————————————————————————————————————————————</w:t>
      </w:r>
    </w:p>
    <w:p>
      <w:pPr>
        <w:spacing w:before="160" w:after="40" w:line="240" w:lineRule="auto"/>
      </w:pPr>
      <w:r>
        <w:rPr>
          <w:b/>
        </w:rPr>
        <w:t xml:space="preserve">[71] </w:t>
      </w:r>
      <w:hyperlink r:id="rId426">
        <w:r>
          <w:rPr>
            <w:color w:val="1155CC"/>
            <w:u w:val="single"/>
          </w:rPr>
          <w:t>金属有机骨架催化中的稳定性-活性张力</w:t>
        </w:r>
      </w:hyperlink>
    </w:p>
    <w:p>
      <w:pPr>
        <w:spacing w:before="0" w:after="80"/>
      </w:pPr>
      <w:r>
        <w:rPr>
          <w:i/>
          <w:sz w:val="20"/>
        </w:rPr>
        <w:t>EN: The stability–activity tension in metal–organic framework catalysis</w:t>
      </w:r>
    </w:p>
    <w:p>
      <w:pPr>
        <w:spacing w:before="0" w:after="120"/>
      </w:pPr>
      <w:r>
        <w:rPr>
          <w:b/>
        </w:rPr>
        <w:t xml:space="preserve">Source: </w:t>
      </w:r>
      <w:r>
        <w:t>Nature Sustainability</w:t>
      </w:r>
      <w:r>
        <w:t xml:space="preserve">    </w:t>
      </w:r>
      <w:r>
        <w:rPr>
          <w:b/>
        </w:rPr>
        <w:t xml:space="preserve">Pub date: </w:t>
      </w:r>
      <w:r>
        <w:t>2026-06-01 00:00:00+00:00</w:t>
      </w:r>
      <w:r>
        <w:t xml:space="preserve">    </w:t>
      </w:r>
      <w:r>
        <w:rPr>
          <w:b/>
        </w:rPr>
        <w:t xml:space="preserve">DOI: </w:t>
      </w:r>
      <w:hyperlink r:id="rId427">
        <w:r>
          <w:rPr>
            <w:color w:val="1155CC"/>
            <w:u w:val="single"/>
          </w:rPr>
          <w:t>10.1038/s41893-026-01840-9</w:t>
        </w:r>
      </w:hyperlink>
    </w:p>
    <w:p>
      <w:pPr>
        <w:spacing w:before="0" w:after="120"/>
      </w:pPr>
      <w:r>
        <w:rPr>
          <w:b/>
        </w:rPr>
        <w:t xml:space="preserve">Notes: </w:t>
      </w:r>
      <w:r>
        <w:t>abstract_source=nature_html</w:t>
      </w:r>
    </w:p>
    <w:p>
      <w:pPr>
        <w:spacing w:before="0" w:after="80" w:lineRule="auto" w:line="276"/>
      </w:pPr>
      <w:r>
        <w:rPr>
          <w:b/>
        </w:rPr>
        <w:t xml:space="preserve">摘要（ZH）: </w:t>
      </w:r>
      <w:r>
        <w:t>作为具有高度通用性和可调结构和功能的材料，金属有机框架可以对催化剂结构进行精确控制。我们讨论它们的可持续和经济上可行的使用如何取决于通过改进的指标和明智的材料设计来平衡活动、稳定性和规模。</w:t>
      </w:r>
    </w:p>
    <w:p>
      <w:pPr>
        <w:spacing w:before="0" w:after="200" w:lineRule="auto" w:line="276"/>
      </w:pPr>
      <w:r>
        <w:rPr>
          <w:b/>
        </w:rPr>
        <w:t xml:space="preserve">Abstract (EN): </w:t>
      </w:r>
      <w:r>
        <w:t>As materials with highly versatile and tunable architectures and functionalities, metal–organic frameworks offer precise control over catalyst structures. We discuss how their sustainable and economically viable use depends on balancing activity, stability and scale through improved metrics and informed material design.</w:t>
      </w:r>
    </w:p>
    <w:p>
      <w:pPr>
        <w:spacing w:before="120" w:after="120"/>
      </w:pPr>
      <w:r>
        <w:rPr>
          <w:sz w:val="18"/>
        </w:rPr>
        <w:t>——————————————————————————————————————————————————————————————————————</w:t>
      </w:r>
    </w:p>
    <w:p>
      <w:pPr>
        <w:spacing w:before="160" w:after="40" w:line="240" w:lineRule="auto"/>
      </w:pPr>
      <w:r>
        <w:rPr>
          <w:b/>
        </w:rPr>
        <w:t xml:space="preserve">[72] </w:t>
      </w:r>
      <w:hyperlink r:id="rId428">
        <w:r>
          <w:rPr>
            <w:color w:val="1155CC"/>
            <w:u w:val="single"/>
          </w:rPr>
          <w:t>农业需要更多的人手</w:t>
        </w:r>
      </w:hyperlink>
    </w:p>
    <w:p>
      <w:pPr>
        <w:spacing w:before="0" w:after="80"/>
      </w:pPr>
      <w:r>
        <w:rPr>
          <w:i/>
          <w:sz w:val="20"/>
        </w:rPr>
        <w:t>EN: Farming needs more hands</w:t>
      </w:r>
    </w:p>
    <w:p>
      <w:pPr>
        <w:spacing w:before="0" w:after="120"/>
      </w:pPr>
      <w:r>
        <w:rPr>
          <w:b/>
        </w:rPr>
        <w:t xml:space="preserve">Source: </w:t>
      </w:r>
      <w:r>
        <w:t>Nature Sustainability</w:t>
      </w:r>
      <w:r>
        <w:t xml:space="preserve">    </w:t>
      </w:r>
      <w:r>
        <w:rPr>
          <w:b/>
        </w:rPr>
        <w:t xml:space="preserve">Pub date: </w:t>
      </w:r>
      <w:r>
        <w:t>2026-06-01 00:00:00+00:00</w:t>
      </w:r>
      <w:r>
        <w:t xml:space="preserve">    </w:t>
      </w:r>
      <w:r>
        <w:rPr>
          <w:b/>
        </w:rPr>
        <w:t xml:space="preserve">DOI: </w:t>
      </w:r>
      <w:hyperlink r:id="rId429">
        <w:r>
          <w:rPr>
            <w:color w:val="1155CC"/>
            <w:u w:val="single"/>
          </w:rPr>
          <w:t>10.1038/s41893-026-01841-8</w:t>
        </w:r>
      </w:hyperlink>
    </w:p>
    <w:p>
      <w:pPr>
        <w:spacing w:before="0" w:after="120"/>
      </w:pPr>
      <w:r>
        <w:rPr>
          <w:b/>
        </w:rPr>
        <w:t xml:space="preserve">Notes: </w:t>
      </w:r>
      <w:r>
        <w:t>abstract_source=nature_html</w:t>
      </w:r>
    </w:p>
    <w:p>
      <w:pPr>
        <w:spacing w:before="0" w:after="80" w:lineRule="auto" w:line="276"/>
      </w:pPr>
      <w:r>
        <w:rPr>
          <w:b/>
        </w:rPr>
        <w:t xml:space="preserve">摘要（ZH）: </w:t>
      </w:r>
      <w:r>
        <w:t>气候变化可能会改变农作物的生长地点，但不会决定谁耕种土地。一项模型研究表明，农业劳动力的减少可能导致气候适宜的大片地区实际上无法用于耕种。</w:t>
      </w:r>
    </w:p>
    <w:p>
      <w:pPr>
        <w:spacing w:before="0" w:after="200" w:lineRule="auto" w:line="276"/>
      </w:pPr>
      <w:r>
        <w:rPr>
          <w:b/>
        </w:rPr>
        <w:t xml:space="preserve">Abstract (EN): </w:t>
      </w:r>
      <w:r>
        <w:t>Climate change may shift where crops can grow, but it will not determine who farms the land. A modelling study suggests that shrinking agricultural workforces could leave climatically suitable large areas practically unavailable for cultivation.</w:t>
      </w:r>
    </w:p>
    <w:p>
      <w:pPr>
        <w:spacing w:before="120" w:after="120"/>
      </w:pPr>
      <w:r>
        <w:rPr>
          <w:sz w:val="18"/>
        </w:rPr>
        <w:t>——————————————————————————————————————————————————————————————————————</w:t>
      </w:r>
    </w:p>
    <w:p>
      <w:pPr>
        <w:spacing w:before="160" w:after="40" w:line="240" w:lineRule="auto"/>
      </w:pPr>
      <w:r>
        <w:rPr>
          <w:b/>
        </w:rPr>
        <w:t xml:space="preserve">[73] </w:t>
      </w:r>
      <w:hyperlink r:id="rId430">
        <w:r>
          <w:rPr>
            <w:color w:val="1155CC"/>
            <w:u w:val="single"/>
          </w:rPr>
          <w:t>多元市场与科学：为什么研究人员对预测市场的炒作持怀疑态度</w:t>
        </w:r>
      </w:hyperlink>
    </w:p>
    <w:p>
      <w:pPr>
        <w:spacing w:before="0" w:after="80"/>
      </w:pPr>
      <w:r>
        <w:rPr>
          <w:i/>
          <w:sz w:val="20"/>
        </w:rPr>
        <w:t>EN: Polymarket vs science: why researchers are sceptical of the prediction-market hype</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431">
        <w:r>
          <w:rPr>
            <w:color w:val="1155CC"/>
            <w:u w:val="single"/>
          </w:rPr>
          <w:t>10.1038/d41586-026-01688-1</w:t>
        </w:r>
      </w:hyperlink>
    </w:p>
    <w:p>
      <w:pPr>
        <w:spacing w:before="0" w:after="120"/>
      </w:pPr>
      <w:r>
        <w:rPr>
          <w:b/>
        </w:rPr>
        <w:t xml:space="preserve">Notes: </w:t>
      </w:r>
      <w:r>
        <w:t>abstract_source=nature_html</w:t>
      </w:r>
    </w:p>
    <w:p>
      <w:pPr>
        <w:spacing w:before="0" w:after="80" w:lineRule="auto" w:line="276"/>
      </w:pPr>
      <w:r>
        <w:rPr>
          <w:b/>
        </w:rPr>
        <w:t xml:space="preserve">摘要（ZH）: </w:t>
      </w:r>
      <w:r>
        <w:t>在线预测市场正在对从气候变化到量子计算等各个领域进行押注。但研究人员质疑其准确性。在线预测市场正在对从气候变化到量子计算等各个领域进行押注。但研究人员质疑其准确性。</w:t>
      </w:r>
    </w:p>
    <w:p>
      <w:pPr>
        <w:spacing w:before="0" w:after="200" w:lineRule="auto" w:line="276"/>
      </w:pPr>
      <w:r>
        <w:rPr>
          <w:b/>
        </w:rPr>
        <w:t xml:space="preserve">Abstract (EN): </w:t>
      </w:r>
      <w:r>
        <w:t>Online prediction markets are taking bets on everything from climate change to quantum computing. But researchers question their accuracy. Online prediction markets are taking bets on everything from climate change to quantum computing. But researchers question their accuracy.</w:t>
      </w:r>
    </w:p>
    <w:p>
      <w:pPr>
        <w:spacing w:before="120" w:after="120"/>
      </w:pPr>
      <w:r>
        <w:rPr>
          <w:sz w:val="18"/>
        </w:rPr>
        <w:t>——————————————————————————————————————————————————————————————————————</w:t>
      </w:r>
    </w:p>
    <w:p>
      <w:pPr>
        <w:spacing w:before="160" w:after="40" w:line="240" w:lineRule="auto"/>
      </w:pPr>
      <w:r>
        <w:rPr>
          <w:b/>
        </w:rPr>
        <w:t xml:space="preserve">[74] </w:t>
      </w:r>
      <w:hyperlink r:id="rId432">
        <w:r>
          <w:rPr>
            <w:color w:val="1155CC"/>
            <w:u w:val="single"/>
          </w:rPr>
          <w:t>为什么是时候将推荐信放入科学工作申请中</w:t>
        </w:r>
      </w:hyperlink>
    </w:p>
    <w:p>
      <w:pPr>
        <w:spacing w:before="0" w:after="80"/>
      </w:pPr>
      <w:r>
        <w:rPr>
          <w:i/>
          <w:sz w:val="20"/>
        </w:rPr>
        <w:t>EN: Why it’s time to bin recommendation letters in science job applications</w:t>
      </w:r>
    </w:p>
    <w:p>
      <w:pPr>
        <w:spacing w:before="0" w:after="120"/>
      </w:pPr>
      <w:r>
        <w:rPr>
          <w:b/>
        </w:rPr>
        <w:t xml:space="preserve">Source: </w:t>
      </w:r>
      <w:r>
        <w:t>Nature</w:t>
      </w:r>
      <w:r>
        <w:t xml:space="preserve">    </w:t>
      </w:r>
      <w:r>
        <w:rPr>
          <w:b/>
        </w:rPr>
        <w:t xml:space="preserve">Pub date: </w:t>
      </w:r>
      <w:r>
        <w:t>2026-06-01 00:00:00+00:00</w:t>
      </w:r>
      <w:r>
        <w:t xml:space="preserve">    </w:t>
      </w:r>
      <w:r>
        <w:rPr>
          <w:b/>
        </w:rPr>
        <w:t xml:space="preserve">DOI: </w:t>
      </w:r>
      <w:hyperlink r:id="rId433">
        <w:r>
          <w:rPr>
            <w:color w:val="1155CC"/>
            <w:u w:val="single"/>
          </w:rPr>
          <w:t>10.1038/d41586-026-00507-x</w:t>
        </w:r>
      </w:hyperlink>
    </w:p>
    <w:p>
      <w:pPr>
        <w:spacing w:before="0" w:after="120"/>
      </w:pPr>
      <w:r>
        <w:rPr>
          <w:b/>
        </w:rPr>
        <w:t xml:space="preserve">Notes: </w:t>
      </w:r>
      <w:r>
        <w:t>abstract_source=nature_html</w:t>
      </w:r>
    </w:p>
    <w:p>
      <w:pPr>
        <w:spacing w:before="0" w:after="80" w:lineRule="auto" w:line="276"/>
      </w:pPr>
      <w:r>
        <w:rPr>
          <w:b/>
        </w:rPr>
        <w:t xml:space="preserve">摘要（ZH）: </w:t>
      </w:r>
      <w:r>
        <w:t>Bibek Aryal 认为，如果招聘组织必须要求提供推荐信，他们应该在接近流程结束时这样做。 Bibek Aryal 认为，如果招聘组织必须要求提供推荐信，他们应该在接近流程结束时这样做。</w:t>
      </w:r>
    </w:p>
    <w:p>
      <w:pPr>
        <w:spacing w:before="0" w:after="200" w:lineRule="auto" w:line="276"/>
      </w:pPr>
      <w:r>
        <w:rPr>
          <w:b/>
        </w:rPr>
        <w:t xml:space="preserve">Abstract (EN): </w:t>
      </w:r>
      <w:r>
        <w:t>If hiring organizations must ask for references, they should do so closer to the end of the process, argues Bibek Aryal. If hiring organizations must ask for references, they should do so closer to the end of the process, argues Bibek Aryal.</w:t>
      </w:r>
    </w:p>
    <w:p>
      <w:pPr>
        <w:spacing w:before="120" w:after="120"/>
      </w:pPr>
      <w:r>
        <w:rPr>
          <w:sz w:val="18"/>
        </w:rPr>
        <w:t>——————————————————————————————————————————————————————————————————————</w:t>
      </w:r>
    </w:p>
    <w:p>
      <w:pPr>
        <w:spacing w:before="160" w:after="40" w:line="240" w:lineRule="auto"/>
      </w:pPr>
      <w:r>
        <w:rPr>
          <w:b/>
        </w:rPr>
        <w:t xml:space="preserve">[75] </w:t>
      </w:r>
      <w:hyperlink r:id="rId434">
        <w:r>
          <w:rPr>
            <w:color w:val="1155CC"/>
            <w:u w:val="single"/>
          </w:rPr>
          <w:t>延迟阳离子动力学使双掺杂有机电化学晶体管具有高电流灵敏度</w:t>
        </w:r>
      </w:hyperlink>
    </w:p>
    <w:p>
      <w:pPr>
        <w:spacing w:before="0" w:after="80"/>
      </w:pPr>
      <w:r>
        <w:rPr>
          <w:i/>
          <w:sz w:val="20"/>
        </w:rPr>
        <w:t>EN: Delayed cation dynamics enables dual-doped organic electrochemical transistors with high current sensitivity</w:t>
      </w:r>
    </w:p>
    <w:p>
      <w:pPr>
        <w:spacing w:before="0" w:after="120"/>
      </w:pPr>
      <w:r>
        <w:rPr>
          <w:b/>
        </w:rPr>
        <w:t xml:space="preserve">Source: </w:t>
      </w:r>
      <w:r>
        <w:t>Physical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离子和电子物质之间的耦合及其动态相互作用为有机电化学晶体管（OECT）通过离子调制电导率转换和放大生物（化学）信号奠定了基础。然而，大多数报道的 OECT 的操作通常由单个离子主导，例如p型积累装置中的阴离子，主要是由于调节离子动力学以使两种类型的离子在电化学掺杂过程中发挥作用的挑战。在本研究中，我们提出 OECT 通道的电化学掺杂可以通过阴离子-阳离子双掺杂机制进行，其中阳离子排出和阴离子注入同时发生。通过设计具有强侧链-阳离子相互作用的p型有机混合离子电子导体Pu2gT，我们成功地减缓了阳离子传输动力学，从而实现了双掺杂过程。因此，与阴离子为主的对应物相比，Pu2gT OECT 表现出更高的电流灵敏度，显示出高质量心电图信号采集和离子浓度辨别的潜力。此外，在 Pu2gT 中加入冠醚添加剂可进一步延迟阳离子动力学，从而增强双掺杂效应，从而实现更高的器件性能。这种双掺杂机制加深了对 OECT 工作原理的理解，并为实现最先进的生物电子设备开辟了途径。</w:t>
      </w:r>
    </w:p>
    <w:p>
      <w:pPr>
        <w:spacing w:before="0" w:after="200" w:lineRule="auto" w:line="276"/>
      </w:pPr>
      <w:r>
        <w:rPr>
          <w:b/>
        </w:rPr>
        <w:t xml:space="preserve">Abstract (EN): </w:t>
      </w:r>
      <w:r>
        <w:t>The coupling between ionic and electronic species and their dynamic interplay lay the foundation for organic electrochemical transistors (OECTs) to transduce and amplify bio(chemical) signals through ion-modulated conductivity. However, the operation of most reported OECTs is typically dominated by single ions, e.g. anions for p-type accumulation devices, mainly due to the challenge of regulating ion dynamics to enable both types of ions to play a role during the electrochemical doping process. In this study, we propose that electrochemical doping of an OECT channel can occur via an anion-cation dual-doping mechanism, where cation expulsion and anion injection occur simultaneously. By designing a p-type organic mixed ionic-electronic conductor, Pu2gT, with strong side chain-cation interactions, we successfully decelerate the cation transport dynamics, allowing the dual-doping process to occur. As a result, Pu2gT OECT exhibits improved current sensitivity compared with the anion-dominated counterpart, showing potential in high-quality electrocardiogram signal acquisition and ion concentration discrimination. Furthermore, incorporating crown ether additives into Pu2gT enhances the dual-doping effect by further delaying cation dynamics, leading to even higher device performance. This dual-doping mechanism deepens the understanding of OECT working principles and opens avenues for achieving state-of-the-art bioelectronic devices.</w:t>
      </w:r>
    </w:p>
    <w:p>
      <w:pPr>
        <w:spacing w:before="120" w:after="120"/>
      </w:pPr>
      <w:r>
        <w:rPr>
          <w:sz w:val="18"/>
        </w:rPr>
        <w:t>——————————————————————————————————————————————————————————————————————</w:t>
      </w:r>
    </w:p>
    <w:p>
      <w:pPr>
        <w:spacing w:before="160" w:after="40" w:line="240" w:lineRule="auto"/>
      </w:pPr>
      <w:r>
        <w:rPr>
          <w:b/>
        </w:rPr>
        <w:t xml:space="preserve">[76] </w:t>
      </w:r>
      <w:hyperlink r:id="rId435">
        <w:r>
          <w:rPr>
            <w:color w:val="1155CC"/>
            <w:u w:val="single"/>
          </w:rPr>
          <w:t>生命第一周广泛保守的血液转录程序的个体发育存在群体特异性异质性</w:t>
        </w:r>
      </w:hyperlink>
    </w:p>
    <w:p>
      <w:pPr>
        <w:spacing w:before="0" w:after="80"/>
      </w:pPr>
      <w:r>
        <w:rPr>
          <w:i/>
          <w:sz w:val="20"/>
        </w:rPr>
        <w:t>EN: Population-specific heterogeneity in ontogeny of the broadly-conserved blood transcriptional program during the first week of life</w:t>
      </w:r>
    </w:p>
    <w:p>
      <w:pPr>
        <w:spacing w:before="0" w:after="120"/>
      </w:pPr>
      <w:r>
        <w:rPr>
          <w:b/>
        </w:rPr>
        <w:t xml:space="preserve">Source: </w:t>
      </w:r>
      <w:r>
        <w:t>Biological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先前的研究表明，生命第一周（即个体发育）的免疫发育是渐进的、一致的和稳健的，涉及每个采样时间点的大量差异表达基因。为了获得有关保守和群体特异性个体发育的更详细信息，在来自冈比亚和巴布亚新几内亚的两个不同的新生儿群体中检查了生命的一天对血液基因表达和细胞类型组成的影响，并采用区块随机化策略来最小化批次效应。这使得关于两个群体之间的个体发育差异的更详细的结论成为可能。群体特异性个体发育揭示了可能有助于新生儿免疫反应效率中基于群体的固有异质性的机制见解，包括巴布亚新几内亚的细胞周期、驱动蛋白和 DAP12 信号传导，以及冈比亚的抗原呈递、网格蛋白介导的内吞作用和 α 防御素。群体之间的差异使用群体特异性基因的蛋白质：蛋白质相互作用网络和基于pathinkR的通路网络和热图相互连接，从而符合通路/网络重塑的概念。除了群体特异性的变化之外，还有一个深刻的核心个体基因表达程序，涉及约 18% 的表达基因，在生命的每一天都有 88-96% 的显着保守性，揭示了这一共享的早期生命个体基因程序的新贡献者。</w:t>
      </w:r>
    </w:p>
    <w:p>
      <w:pPr>
        <w:spacing w:before="0" w:after="200" w:lineRule="auto" w:line="276"/>
      </w:pPr>
      <w:r>
        <w:rPr>
          <w:b/>
        </w:rPr>
        <w:t xml:space="preserve">Abstract (EN): </w:t>
      </w:r>
      <w:r>
        <w:t>Previous research has shown that immune development during the first week of life, i.e. ontogeny, is progressive, consistent and robust, involving large numbers of differentially expressed genes at each sampled time point. To obtain more granular detail about conserved and population-specific ontogeny, the influence of day of life on blood gene expression and cell type composition was examined in two distinct neonatal populations, from The Gambia and Papua New Guinea, employing block randomization strategies to minimize batch effects. This enabled more detailed conclusions about ontogenic program differences between the two cohorts. Population-specific ontogeny revealed mechanistic insights likely to contribute to inherent population-based heterogeneity in the efficiency of neonatal immune responses, including cell cycle, kinesins, and DAP12 signaling in Papua New Guinea, and antigen presentation, clathrin-mediated endocytosis and alpha-defensins in The Gambia. Differences between populations interconnect using protein:protein interaction networks of population-specific genes and pathinkR-based pathway networks and heat maps, thus fitting the concept of pathway/network remodeling. In addition to the population-specific changes, there is a profound core ontogenic gene-expression program involving ~18% of all expressed genes with remarkable 88-96% conservation at each day of life, revealing new contributors to this shared early-life ontogenic program.</w:t>
      </w:r>
    </w:p>
    <w:p>
      <w:pPr>
        <w:spacing w:before="120" w:after="120"/>
      </w:pPr>
      <w:r>
        <w:rPr>
          <w:sz w:val="18"/>
        </w:rPr>
        <w:t>——————————————————————————————————————————————————————————————————————</w:t>
      </w:r>
    </w:p>
    <w:p>
      <w:pPr>
        <w:spacing w:before="160" w:after="40" w:line="240" w:lineRule="auto"/>
      </w:pPr>
      <w:r>
        <w:rPr>
          <w:b/>
        </w:rPr>
        <w:t xml:space="preserve">[77] </w:t>
      </w:r>
      <w:hyperlink r:id="rId436">
        <w:r>
          <w:rPr>
            <w:color w:val="1155CC"/>
            <w:u w:val="single"/>
          </w:rPr>
          <w:t>对妊娠糖尿病和妊娠期间血糖特征的多祖先、跨代 GWAS 荟萃分析揭示了妊娠特异性遗传效应的有限证据</w:t>
        </w:r>
      </w:hyperlink>
    </w:p>
    <w:p>
      <w:pPr>
        <w:spacing w:before="0" w:after="80"/>
      </w:pPr>
      <w:r>
        <w:rPr>
          <w:i/>
          <w:sz w:val="20"/>
        </w:rPr>
        <w:t>EN: Multi-ancestry, trans-generational GWAS meta-analysis of gestational diabetes and glycaemic traits during pregnancy reveals limited evidence of pregnancy-specific genetic effects</w:t>
      </w:r>
    </w:p>
    <w:p>
      <w:pPr>
        <w:spacing w:before="0" w:after="120"/>
      </w:pPr>
      <w:r>
        <w:rPr>
          <w:b/>
        </w:rPr>
        <w:t xml:space="preserve">Source: </w:t>
      </w:r>
      <w:r>
        <w:t>Biological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妊娠期糖尿病 (GDM) 影响约 14% 的妊娠，并增加母亲患 2 型糖尿病 (T2DM) 的风险。 GenDiP 联盟对多达 38,305 名 GDM 病例和 776,145 名对照者的 GDM 和妊娠血糖特征进行了跨代、多祖先全基因组关联研究荟萃分析。我们确定了 37 个 GDM 相关基因座（7 个新基因座）和 5 个妊娠血糖特征的新基因座，所有这些基因座都通过母体基因组运作。我们将 12 种对 GDM 影响强于 T2DM 的 GDM 变异分为 5 个生物学类别，揭示了多效性模式、妊娠依赖性效应修正和诊断异质性。虽然所有这些基因座与 T2DM 和/或非妊娠血糖特征重叠，但其中四个（G6PC2、CAST-PCSK1、HKDC1、FOXA2）缺乏全基因组显着的 T2DM 关联； GCK 显示出与 GDM 不同的因果变异，MTNR1B 显示出妊娠放大效应。我们的研究结果为 GDM 提供了新的遗传学见解，并强调需要对 GDM 和妊娠期间的血糖特征进行更大规模、多样化的研究，以了解潜在的妊娠特异性影响。</w:t>
      </w:r>
    </w:p>
    <w:p>
      <w:pPr>
        <w:spacing w:before="0" w:after="200" w:lineRule="auto" w:line="276"/>
      </w:pPr>
      <w:r>
        <w:rPr>
          <w:b/>
        </w:rPr>
        <w:t xml:space="preserve">Abstract (EN): </w:t>
      </w:r>
      <w:r>
        <w:t>Gestational diabetes mellitus (GDM) affects ~14% of pregnancies and increases maternal type 2 diabetes mellitus (T2DM) risk. The GenDiP Consortium presents trans-generational, multi-ancestry genome-wide association study meta-analyses of GDM and pregnancy glycemic traits in up to 38,305 GDM cases and 776,145 controls. We identify 37 GDM-associated loci (7 novel) and five novel loci for pregnancy glycemic traits, all operating through the maternal genome. We classify 12 GDM variants with stronger effects in GDM than T2DM into five biologically informed categories, revealing pleiotropy patterns, pregnancy-dependent effect modification, and diagnostic heterogeneity. While all these loci overlap with T2DM and/or non-pregnant glycaemic traits, four (G6PC2, CAST-PCSK1, HKDC1, FOXA2) lack genome-wide-significant T2DM associations; GCK shows distinct causal variants for GDM, and MTNR1B exhibits pregnancy-amplified effects. Our findings provide new genetic insights into GDM and highlight the need for larger, ancestrally diverse studies of GDM and glycaemic traits during pregnancy to understand potential pregnancy-specific effects.</w:t>
      </w:r>
    </w:p>
    <w:p>
      <w:pPr>
        <w:spacing w:before="120" w:after="120"/>
      </w:pPr>
      <w:r>
        <w:rPr>
          <w:sz w:val="18"/>
        </w:rPr>
        <w:t>——————————————————————————————————————————————————————————————————————</w:t>
      </w:r>
    </w:p>
    <w:p>
      <w:pPr>
        <w:spacing w:before="160" w:after="40" w:line="240" w:lineRule="auto"/>
      </w:pPr>
      <w:r>
        <w:rPr>
          <w:b/>
        </w:rPr>
        <w:t xml:space="preserve">[78] </w:t>
      </w:r>
      <w:hyperlink r:id="rId437">
        <w:r>
          <w:rPr>
            <w:color w:val="1155CC"/>
            <w:u w:val="single"/>
          </w:rPr>
          <w:t>用于混合电动飞机健康感知能源管理的课程引导深度强化学习框架</w:t>
        </w:r>
      </w:hyperlink>
    </w:p>
    <w:p>
      <w:pPr>
        <w:spacing w:before="0" w:after="80"/>
      </w:pPr>
      <w:r>
        <w:rPr>
          <w:i/>
          <w:sz w:val="20"/>
        </w:rPr>
        <w:t>EN: A curriculum-guided deep reinforcement learning framework for health-aware energy management of hybrid electric aircraft</w:t>
      </w:r>
    </w:p>
    <w:p>
      <w:pPr>
        <w:spacing w:before="0" w:after="120"/>
      </w:pPr>
      <w:r>
        <w:rPr>
          <w:b/>
        </w:rPr>
        <w:t xml:space="preserve">Source: </w:t>
      </w:r>
      <w:r>
        <w:t>ScienceDirect Publication: Applied Energy</w:t>
      </w:r>
      <w:r>
        <w:t xml:space="preserve">    </w:t>
      </w:r>
      <w:r>
        <w:rPr>
          <w:b/>
        </w:rPr>
        <w:t xml:space="preserve">Pub date: </w:t>
      </w:r>
      <w:r>
        <w:t>2026-06-01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[79] </w:t>
      </w:r>
      <w:hyperlink r:id="rId438">
        <w:r>
          <w:rPr>
            <w:color w:val="1155CC"/>
            <w:u w:val="single"/>
          </w:rPr>
          <w:t>用于极端风速预测的物理信息多门卷积循环网络</w:t>
        </w:r>
      </w:hyperlink>
    </w:p>
    <w:p>
      <w:pPr>
        <w:spacing w:before="0" w:after="80"/>
      </w:pPr>
      <w:r>
        <w:rPr>
          <w:i/>
          <w:sz w:val="20"/>
        </w:rPr>
        <w:t>EN: Physics-informed multi-gated convolutional recurrent network for extreme wind speed prediction</w:t>
      </w:r>
    </w:p>
    <w:p>
      <w:pPr>
        <w:spacing w:before="0" w:after="120"/>
      </w:pPr>
      <w:r>
        <w:rPr>
          <w:b/>
        </w:rPr>
        <w:t xml:space="preserve">Source: </w:t>
      </w:r>
      <w:r>
        <w:t>ScienceDirect Publication: Applied Energy</w:t>
      </w:r>
      <w:r>
        <w:t xml:space="preserve">    </w:t>
      </w:r>
      <w:r>
        <w:rPr>
          <w:b/>
        </w:rPr>
        <w:t xml:space="preserve">Pub date: </w:t>
      </w:r>
      <w:r>
        <w:t>2026-06-01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[80] </w:t>
      </w:r>
      <w:hyperlink r:id="rId439">
        <w:r>
          <w:rPr>
            <w:color w:val="1155CC"/>
            <w:u w:val="single"/>
          </w:rPr>
          <w:t>具有本地差分隐私和网格数据保真度的 P2P 能源交易的隐私保护动态定价框架</w:t>
        </w:r>
      </w:hyperlink>
    </w:p>
    <w:p>
      <w:pPr>
        <w:spacing w:before="0" w:after="80"/>
      </w:pPr>
      <w:r>
        <w:rPr>
          <w:i/>
          <w:sz w:val="20"/>
        </w:rPr>
        <w:t>EN: A privacy-preserving dynamic pricing framework for P2P energy trading with local differential privacy and grid data fidelity</w:t>
      </w:r>
    </w:p>
    <w:p>
      <w:pPr>
        <w:spacing w:before="0" w:after="120"/>
      </w:pPr>
      <w:r>
        <w:rPr>
          <w:b/>
        </w:rPr>
        <w:t xml:space="preserve">Source: </w:t>
      </w:r>
      <w:r>
        <w:t>ScienceDirect Publication: Applied Energy</w:t>
      </w:r>
      <w:r>
        <w:t xml:space="preserve">    </w:t>
      </w:r>
      <w:r>
        <w:rPr>
          <w:b/>
        </w:rPr>
        <w:t xml:space="preserve">Pub date: </w:t>
      </w:r>
      <w:r>
        <w:t>2026-06-01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[81] </w:t>
      </w:r>
      <w:hyperlink r:id="rId440">
        <w:r>
          <w:rPr>
            <w:color w:val="1155CC"/>
            <w:u w:val="single"/>
          </w:rPr>
          <w:t>新兴的正交二维范德华磁体</w:t>
        </w:r>
      </w:hyperlink>
    </w:p>
    <w:p>
      <w:pPr>
        <w:spacing w:before="0" w:after="80"/>
      </w:pPr>
      <w:r>
        <w:rPr>
          <w:i/>
          <w:sz w:val="20"/>
        </w:rPr>
        <w:t>EN: Emerging orthorhombic two-dimensional van der Waals magnets</w:t>
      </w:r>
    </w:p>
    <w:p>
      <w:pPr>
        <w:spacing w:before="0" w:after="120"/>
      </w:pPr>
      <w:r>
        <w:rPr>
          <w:b/>
        </w:rPr>
        <w:t xml:space="preserve">Source: </w:t>
      </w:r>
      <w:r>
        <w:t>Matter</w:t>
      </w:r>
      <w:r>
        <w:t xml:space="preserve">    </w:t>
      </w:r>
      <w:r>
        <w:rPr>
          <w:b/>
        </w:rPr>
        <w:t xml:space="preserve">Pub date: </w:t>
      </w:r>
      <w:r>
        <w:t>2026-06-01 00:00:00+00:00</w:t>
      </w:r>
      <w:r>
        <w:t xml:space="preserve">    </w:t>
      </w:r>
      <w:r>
        <w:rPr>
          <w:b/>
        </w:rPr>
        <w:t xml:space="preserve">DOI: </w:t>
      </w:r>
      <w:hyperlink r:id="rId441">
        <w:r>
          <w:rPr>
            <w:color w:val="1155CC"/>
            <w:u w:val="single"/>
          </w:rPr>
          <w:t>10.1016/j.matt.2026.102826</w:t>
        </w:r>
      </w:hyperlink>
    </w:p>
    <w:p>
      <w:pPr>
        <w:spacing w:before="0" w:after="120"/>
      </w:pPr>
      <w:r>
        <w:rPr>
          <w:b/>
        </w:rPr>
        <w:t xml:space="preserve">Notes: </w:t>
      </w:r>
      <w:r>
        <w:t>abstract_source=rss_cell</w:t>
      </w:r>
    </w:p>
    <w:p>
      <w:pPr>
        <w:spacing w:before="0" w:after="80" w:lineRule="auto" w:line="276"/>
      </w:pPr>
      <w:r>
        <w:rPr>
          <w:b/>
        </w:rPr>
        <w:t xml:space="preserve">摘要（ZH）: </w:t>
      </w:r>
      <w:r>
        <w:t>正交范德华磁体具有低对称性晶场和各向异性晶格，可驱动独特的电子、磁性和激子行为。与蜂窝状和六角形系统相比，它们提供了实现不同二维磁性、增强的自旋电荷晶格耦合和更强的光物质相互作用的新途径，从而使未来的自旋电子、光磁、磁光和光子技术具有可调节的功能。</w:t>
      </w:r>
    </w:p>
    <w:p>
      <w:pPr>
        <w:spacing w:before="0" w:after="200" w:lineRule="auto" w:line="276"/>
      </w:pPr>
      <w:r>
        <w:rPr>
          <w:b/>
        </w:rPr>
        <w:t xml:space="preserve">Abstract (EN): </w:t>
      </w:r>
      <w:r>
        <w:t>Orthorhombic van der Waals magnets offer low-symmetry crystal fields and anisotropic lattices that drive distinctive electronic, magnetic, and excitonic behaviors. Compared with honeycomb and hexagonal systems, they provide novel pathways to diverse two-dimensional magnetism, enhanced spin-charge-lattice coupling, and stronger light-matter interactions, enabling future spintronic, opto-magnetic, magneto-optical, and photonic technologies with tunable functionalities.</w:t>
      </w:r>
    </w:p>
    <w:p>
      <w:pPr>
        <w:spacing w:before="120" w:after="120"/>
      </w:pPr>
      <w:r>
        <w:rPr>
          <w:sz w:val="18"/>
        </w:rPr>
        <w:t>——————————————————————————————————————————————————————————————————————</w:t>
      </w:r>
    </w:p>
    <w:p>
      <w:pPr>
        <w:spacing w:before="160" w:after="40" w:line="240" w:lineRule="auto"/>
      </w:pPr>
      <w:r>
        <w:rPr>
          <w:b/>
        </w:rPr>
        <w:t xml:space="preserve">[82] </w:t>
      </w:r>
      <w:hyperlink r:id="rId442">
        <w:r>
          <w:rPr>
            <w:color w:val="1155CC"/>
            <w:u w:val="single"/>
          </w:rPr>
          <w:t>血液中的甲基化范围关联研究表明 DNA 甲基化与终生焦虑之间存在细胞类型特异性关系</w:t>
        </w:r>
      </w:hyperlink>
    </w:p>
    <w:p>
      <w:pPr>
        <w:spacing w:before="0" w:after="80"/>
      </w:pPr>
      <w:r>
        <w:rPr>
          <w:i/>
          <w:sz w:val="20"/>
        </w:rPr>
        <w:t>EN: Methylome-wide association study in blood suggests cell type-specific relationships between DNA methylation and lifetime anxiety</w:t>
      </w:r>
    </w:p>
    <w:p>
      <w:pPr>
        <w:spacing w:before="0" w:after="120"/>
      </w:pPr>
      <w:r>
        <w:rPr>
          <w:b/>
        </w:rPr>
        <w:t xml:space="preserve">Source: </w:t>
      </w:r>
      <w:r>
        <w:t>Biological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焦虑症很普遍，会极大地影响健康。焦虑背后的生物学机制尚不完全清楚，但越来越多的证据表明 DNA 甲基化的作用。在这里，我们对 14,443 名参与者（1817 例病例和 12,626 名对照）的终生焦虑进行了大规模全甲基化关联研究，研究对象为全血，并通过表观基因组解卷积，研究了 12 种不同的血细胞类型。我们在全血中检测到 4 个具有全甲基化意义的 CpG 关联，以及细胞类型之间 15 到 124 个关联。主要细胞类型特异性发现包括可能参与应激反应的基因，例如 FAM171A2 和 VIPAS39，以及先前与焦虑相关的基因，例如 NCOR1。全血和所有细胞类型特异性的研究结果与之前两项关于终生焦虑和焦虑 GWAS 的甲基化范围关联研究的结果显着重叠，表明结果是稳健的。通路分析广泛暗示焦虑相关对细胞应激反应的影响。对五个表观遗传时钟的分析表明，基于 DNA 甲基化的表型衰老和衰老速度可能会在焦虑中加速。我们的结果支持 DNA 甲基化和焦虑之间的细胞类型特异性关系，并强调了在 DNA 甲基化全血研究中纳入细胞类型特异性分析的实用性。</w:t>
      </w:r>
    </w:p>
    <w:p>
      <w:pPr>
        <w:spacing w:before="0" w:after="200" w:lineRule="auto" w:line="276"/>
      </w:pPr>
      <w:r>
        <w:rPr>
          <w:b/>
        </w:rPr>
        <w:t xml:space="preserve">Abstract (EN): </w:t>
      </w:r>
      <w:r>
        <w:t>Anxiety disorders are prevalent and can greatly impact well-being. The biological mechanisms behind anxiety are not fully understood, but growing evidence suggests a role for DNA methylation. Here, we conduct a large-scale methylome-wide association study of lifetime anxiety in 14,443 participants (1817 cases and 12,626 controls) in whole blood, and, through epigenomic deconvolution, 12 different blood cell types. We detect four CpG associations at methylome-wide significance in whole blood, and a range between 15 and 124 associations among the cell types. Top cell type-specific findings include genes potentially involved in stress response such as FAM171A2 and VIPAS39 and genes that have been previously linked to anxiety, such as NCOR1. Whole blood and all cell type-specific findings significantly overlap with findings from two previous methylome-wide association studies of lifetime anxiety and an anxiety GWAS, suggesting results are robust. Pathway analyses broadly implicate anxiety-related impacts on cellular stress response. Analyses of five epigenetic clocks suggest DNA methylation-based phenotypic aging and pace of aging may be accelerated in anxiety. Our results support a cell type-specific relationship between DNA methylation and anxiety and highlight the utility of including cell type-specific analyses in whole blood studies of DNA methylation.</w:t>
      </w:r>
    </w:p>
    <w:p>
      <w:pPr>
        <w:spacing w:before="120" w:after="120"/>
      </w:pPr>
      <w:r>
        <w:rPr>
          <w:sz w:val="18"/>
        </w:rPr>
        <w:t>——————————————————————————————————————————————————————————————————————</w:t>
      </w:r>
    </w:p>
    <w:p>
      <w:pPr>
        <w:spacing w:before="160" w:after="40" w:line="240" w:lineRule="auto"/>
      </w:pPr>
      <w:r>
        <w:rPr>
          <w:b/>
        </w:rPr>
        <w:t xml:space="preserve">[83] </w:t>
      </w:r>
      <w:hyperlink r:id="rId443">
        <w:r>
          <w:rPr>
            <w:color w:val="1155CC"/>
            <w:u w:val="single"/>
          </w:rPr>
          <w:t>冷冻电镜揭示多西环素抑制核糖体的多种机制</w:t>
        </w:r>
      </w:hyperlink>
    </w:p>
    <w:p>
      <w:pPr>
        <w:spacing w:before="0" w:after="80"/>
      </w:pPr>
      <w:r>
        <w:rPr>
          <w:i/>
          <w:sz w:val="20"/>
        </w:rPr>
        <w:t>EN: Cryo-EM reveals multiple mechanisms of ribosome inhibition by doxycycline</w:t>
      </w:r>
    </w:p>
    <w:p>
      <w:pPr>
        <w:spacing w:before="0" w:after="120"/>
      </w:pPr>
      <w:r>
        <w:rPr>
          <w:b/>
        </w:rPr>
        <w:t xml:space="preserve">Source: </w:t>
      </w:r>
      <w:r>
        <w:t>Biological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抗生素耐药性正在推动新抗生素的寻找以及对其作用机制的更深入了解。多西环素是最常用的抗菌药物之一。它对人畜共患病原体伯氏柯克斯体具有特别低的最低抑制浓度。多西环素通过阻断小亚基解码中心（A 位点）处的 tRNA 结合来典型地靶向细菌核糖体。使用冷冻电子显微镜，我们分析了多西环素与伯氏梭菌和大肠杆菌核糖体的结合。两种结构都揭示了多西环素在大亚基的出口隧道处的结合。在伯氏梭菌中，三个多西环素分子堆积起来堵塞了隧道。在大肠杆菌中，一个多西环素分子会引发核糖体构象的重大变化。肽基转移酶中心的这种重排会阻断 tRNA 结合和新生链调节，从而消除核糖体功能基础的相互作用。我们在 C.burnetii 大亚基中鉴定出一种独特的核糖体蛋白，并表征了原核核糖体冬眠促进因子家族的另一个成员。这些对核糖体功能和抗生素作用的见解可能有助于新型核糖体抑制剂抗生素的开发。</w:t>
      </w:r>
    </w:p>
    <w:p>
      <w:pPr>
        <w:spacing w:before="0" w:after="200" w:lineRule="auto" w:line="276"/>
      </w:pPr>
      <w:r>
        <w:rPr>
          <w:b/>
        </w:rPr>
        <w:t xml:space="preserve">Abstract (EN): </w:t>
      </w:r>
      <w:r>
        <w:t>Antimicrobial resistance is driving the search for new antibiotics and a greater understanding of their mechanism of action. Doxycycline is amongst the most-prescribed antimicrobials. It demonstrates a particularly low minimum inhibitory concentration against the zoonotic pathogen Coxiella burnetii. Doxycycline canonically targets the bacterial ribosome by blocking tRNA binding at the decoding centre (A site) of the small subunit. Using cryo-electron microscopy, we analysed doxycycline binding to C. burnetii and Escherichia coli ribosomes. Both structures reveal doxycycline binding at the exit tunnel in the large subunit. In C. burnetii three doxycycline molecules stack to block the tunnel. In E. coli one doxycycline molecule triggers a major change in the conformation of the ribosome. This rearrangement of the peptidyl transferase centre blocks tRNA binding and nascent chain accommodation, abolishing interactions that are fundamental to ribosome function. We identify a distinct ribosomal protein in the C. burnetii large subunit and characterise an additional member of the prokaryotic ribosome hibernation-promoting factor family. These insights into ribosome function and antibiotic action may aid the development of new ribosome inhibitor antibiotics.</w:t>
      </w:r>
    </w:p>
    <w:p>
      <w:pPr>
        <w:spacing w:before="120" w:after="120"/>
      </w:pPr>
      <w:r>
        <w:rPr>
          <w:sz w:val="18"/>
        </w:rPr>
        <w:t>——————————————————————————————————————————————————————————————————————</w:t>
      </w:r>
    </w:p>
    <w:p>
      <w:pPr>
        <w:spacing w:before="160" w:after="40" w:line="240" w:lineRule="auto"/>
      </w:pPr>
      <w:r>
        <w:rPr>
          <w:b/>
        </w:rPr>
        <w:t xml:space="preserve">[84] </w:t>
      </w:r>
      <w:hyperlink r:id="rId444">
        <w:r>
          <w:rPr>
            <w:color w:val="1155CC"/>
            <w:u w:val="single"/>
          </w:rPr>
          <w:t>气候和区域植物丰富度推动蝴蝶毛毛虫的饮食专业化</w:t>
        </w:r>
      </w:hyperlink>
    </w:p>
    <w:p>
      <w:pPr>
        <w:spacing w:before="0" w:after="80"/>
      </w:pPr>
      <w:r>
        <w:rPr>
          <w:i/>
          <w:sz w:val="20"/>
        </w:rPr>
        <w:t>EN: Climate and regional plant richness drive diet specialization in butterfly caterpillars</w:t>
      </w:r>
    </w:p>
    <w:p>
      <w:pPr>
        <w:spacing w:before="0" w:after="120"/>
      </w:pPr>
      <w:r>
        <w:rPr>
          <w:b/>
        </w:rPr>
        <w:t xml:space="preserve">Source: </w:t>
      </w:r>
      <w:r>
        <w:t>Biological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通过了解资源专业化的变化，可以改进对协同进化、生态系统过程和纬度多样性梯度的研究。昆虫食草是最普遍的陆地生态关联之一，对于理解植物和昆虫的进化非常重要，但饮食广度全球变化背后的过程仍然知之甚少。在这里，我们使用蝴蝶和植物分布的全球数据集来研究蝴蝶幼虫饮食宽度的模式和驱动因素。饮食宽度与植物科丰富度呈负相关，但这被相反方向的温度的直接影响所抵消。岛屿通常栖息着食性较广的物种，但地方性较高的岛屿的食性比平均水平要窄。我们的研究为了解面对全球环境变化时植物和食草动物的相互作用如何构建生态群落提供了全球基线。</w:t>
      </w:r>
    </w:p>
    <w:p>
      <w:pPr>
        <w:spacing w:before="0" w:after="200" w:lineRule="auto" w:line="276"/>
      </w:pPr>
      <w:r>
        <w:rPr>
          <w:b/>
        </w:rPr>
        <w:t xml:space="preserve">Abstract (EN): </w:t>
      </w:r>
      <w:r>
        <w:t>Studies of coevolution, ecosystem processes, and latitudinal diversity gradients are improved by understanding variation in resource specialization. Insect herbivory is one of the most ubiquitous terrestrial ecological associations, and is important for understanding the evolution of both plants and insects, yet the processes underlying global variation in diet breadth remain poorly understood. Here, we use global datasets of butterfly and plant distributions to investigate the patterns and drivers of butterfly larval diet breadth. Diet breadth showed a negative relationship with plant family richness, but this was offset by a direct effect of temperature acting in the opposite direction. Islands generally harbor species with broader diets, but islands with higher endemism had narrower diets than average. Our study provides a global baseline for understanding how plant and herbivore interactions structure ecological communities in the face of global environmental changes.</w:t>
      </w:r>
    </w:p>
    <w:p>
      <w:pPr>
        <w:spacing w:before="120" w:after="120"/>
      </w:pPr>
      <w:r>
        <w:rPr>
          <w:sz w:val="18"/>
        </w:rPr>
        <w:t>——————————————————————————————————————————————————————————————————————</w:t>
      </w:r>
    </w:p>
    <w:p>
      <w:pPr>
        <w:spacing w:before="160" w:after="40" w:line="240" w:lineRule="auto"/>
      </w:pPr>
      <w:r>
        <w:rPr>
          <w:b/>
        </w:rPr>
        <w:t xml:space="preserve">[85] </w:t>
      </w:r>
      <w:hyperlink r:id="rId445">
        <w:r>
          <w:rPr>
            <w:color w:val="1155CC"/>
            <w:u w:val="single"/>
          </w:rPr>
          <w:t>DNA 切片上的细胞内神经元记录</w:t>
        </w:r>
      </w:hyperlink>
    </w:p>
    <w:p>
      <w:pPr>
        <w:spacing w:before="0" w:after="80"/>
      </w:pPr>
      <w:r>
        <w:rPr>
          <w:i/>
          <w:sz w:val="20"/>
        </w:rPr>
        <w:t>EN: Intracellular neuronal recordings across DNA tiles</w:t>
      </w:r>
    </w:p>
    <w:p>
      <w:pPr>
        <w:spacing w:before="0" w:after="120"/>
      </w:pPr>
      <w:r>
        <w:rPr>
          <w:b/>
        </w:rPr>
        <w:t xml:space="preserve">Source: </w:t>
      </w:r>
      <w:r>
        <w:t>Nature Nanotechnology</w:t>
      </w:r>
      <w:r>
        <w:t xml:space="preserve">    </w:t>
      </w:r>
      <w:r>
        <w:rPr>
          <w:b/>
        </w:rPr>
        <w:t xml:space="preserve">Pub date: </w:t>
      </w:r>
      <w:r>
        <w:t>2026-06-01 00:00:00+00:00</w:t>
      </w:r>
      <w:r>
        <w:t xml:space="preserve">    </w:t>
      </w:r>
      <w:r>
        <w:rPr>
          <w:b/>
        </w:rPr>
        <w:t xml:space="preserve">DOI: </w:t>
      </w:r>
      <w:hyperlink r:id="rId446">
        <w:r>
          <w:rPr>
            <w:color w:val="1155CC"/>
            <w:u w:val="single"/>
          </w:rPr>
          <w:t>10.1038/s41565-026-02180-7</w:t>
        </w:r>
      </w:hyperlink>
    </w:p>
    <w:p>
      <w:pPr>
        <w:spacing w:before="0" w:after="120"/>
      </w:pPr>
      <w:r>
        <w:rPr>
          <w:b/>
        </w:rPr>
        <w:t xml:space="preserve">Notes: </w:t>
      </w:r>
      <w:r>
        <w:t>abstract_source=nature_html</w:t>
      </w:r>
    </w:p>
    <w:p>
      <w:pPr>
        <w:spacing w:before="0" w:after="80" w:lineRule="auto" w:line="276"/>
      </w:pPr>
      <w:r>
        <w:rPr>
          <w:b/>
        </w:rPr>
        <w:t xml:space="preserve">摘要（ZH）: </w:t>
      </w:r>
      <w:r>
        <w:t>通过人工离子通道的跨膜离子流是生物混合电子学（例如神经接口技术）发展不可或缺的一部分。然而，通过这些合成类似物实现准确和稳定的细胞内通路仍然是一个挑战。在这里，我们使用 DNA 折纸瓦片（直径 0.8 nm），锚定到活神经元膜上，有或没有胆固醇标签，以证明高度稳定的离子传输（净约 2 nS）、通道样随机性和细胞内药物输送，而不破坏神经元生理学。这些结果得到了分子动力学模拟的支持。使用一套膜片钳技术，包括双光子靶向变体，我们获得了跨 DNA 片的可重复的细胞内和准细胞内电压测量，甚至无需从标准电极无法触及的薄树突结构 (~1 µm) 进行膜插入。这一进展建立了一种“从外向内”的方法，利用基于 DNA 纳米结构的跨膜通路来探测细胞内电压动态。</w:t>
      </w:r>
    </w:p>
    <w:p>
      <w:pPr>
        <w:spacing w:before="0" w:after="200" w:lineRule="auto" w:line="276"/>
      </w:pPr>
      <w:r>
        <w:rPr>
          <w:b/>
        </w:rPr>
        <w:t xml:space="preserve">Abstract (EN): </w:t>
      </w:r>
      <w:r>
        <w:t>Transmembrane ionic flow through artificial ion channels is integral to the development of biohybrid electronics, such as neural interface technologies. However, achieving accurate and stable intracellular access through these synthetic analogues has remained a challenge. Here we use DNA origami tiles (0.8 nm diameter), anchored into live neuronal membranes, both with and without cholesterol tags, to demonstrate highly stable ion transport (net ~2 nS), channel-like stochasticity and intracellular drug delivery without disrupting neuronal physiology. These results are supported by molecular dynamics simulations. Using a suite of patch-clamp techniques, including two-photon-targeted variants, we obtain repeatable intracellular and quasi-intracellular voltage measurements across DNA tiles, eliminating the need for membrane break-in even from thin dendritic structures (~1 µm), which are inaccessible with standard electrodes. This advancement establishes an ‘outside looking in’ method to probe intracellular voltage dynamics using DNA nanostructure-based transmembrane access.</w:t>
      </w:r>
    </w:p>
    <w:p>
      <w:pPr>
        <w:spacing w:before="120" w:after="120"/>
      </w:pPr>
      <w:r>
        <w:rPr>
          <w:sz w:val="18"/>
        </w:rPr>
        <w:t>——————————————————————————————————————————————————————————————————————</w:t>
      </w:r>
    </w:p>
    <w:p>
      <w:pPr>
        <w:spacing w:before="160" w:after="40" w:line="240" w:lineRule="auto"/>
      </w:pPr>
      <w:r>
        <w:rPr>
          <w:b/>
        </w:rPr>
        <w:t xml:space="preserve">[86] </w:t>
      </w:r>
      <w:hyperlink r:id="rId447">
        <w:r>
          <w:rPr>
            <w:color w:val="1155CC"/>
            <w:u w:val="single"/>
          </w:rPr>
          <w:t>射血分数保留的心力衰竭软机器人房室模型的顺应性调节</w:t>
        </w:r>
      </w:hyperlink>
    </w:p>
    <w:p>
      <w:pPr>
        <w:spacing w:before="0" w:after="80"/>
      </w:pPr>
      <w:r>
        <w:rPr>
          <w:i/>
          <w:sz w:val="20"/>
        </w:rPr>
        <w:t>EN: Compliance modulation of a soft robotic atrioventricular model of heart failure with preserved ejection fraction</w:t>
      </w:r>
    </w:p>
    <w:p>
      <w:pPr>
        <w:spacing w:before="0" w:after="120"/>
      </w:pPr>
      <w:r>
        <w:rPr>
          <w:b/>
        </w:rPr>
        <w:t xml:space="preserve">Source: </w:t>
      </w:r>
      <w:r>
        <w:t>Physical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射血分数保留的心力衰竭（HFpEF）是一种常见但高度复杂的心力衰竭（HF）形式。针对 HFpEF 治疗的医疗器械获得市场批准的一个主要挑战是缺乏高度可控的测试模型。这项工作介绍了一种体外仿生左心房室模拟器，其闭环控制系统旨在模拟 HFpEF 疾病进展。在概念验证阶段，其独特的功能显示出比现有模型更高维建模的前景。该模拟器采用人工肌肉纤维，其放松行程高度可控。其目标导向的控制系统能够在舒张期调节人造心肌的顺应性。通过设定血流动力学目标，心肌会动态响应，复制 HFpEF 进展的生物力学。该模型有效地再现了 HFpEF 表型的关键特征，包括松弛受损、心包约束和心室僵硬度增加，捕捉了该疾病的血流动力学和生物力学方面。其功能得到进一步验证，模拟 HFpEF 治疗的机械循环支持。虽然还需要开展更多工作来通过控制系统开发、驱动速度改进和进一步临床验证来证明临床应用，但这项工作显示出作为设备开发和病理生理学研究的强大工具的前景，促进我们对心脏病的理解和治疗。</w:t>
      </w:r>
    </w:p>
    <w:p>
      <w:pPr>
        <w:spacing w:before="0" w:after="200" w:lineRule="auto" w:line="276"/>
      </w:pPr>
      <w:r>
        <w:rPr>
          <w:b/>
        </w:rPr>
        <w:t xml:space="preserve">Abstract (EN): </w:t>
      </w:r>
      <w:r>
        <w:t>Heart failure with preserved ejection fraction (HFpEF) is a common yet highly complex form of heart failure (HF). A major challenge in obtaining market approval for medical devices targeting HFpEF treatment is the absence of highly controllable testing models. This work introduces an in-vitro, biomimetic, left-heart, atrioventricular simulator, with a closed-loop control system designed to model HFpEF disease progression. While at proof-of-concept stage, its unique capabilities show promise for higher-dimensional modeling than existing models. The simulator employs artificial muscle fibers which are highly controllable on their relaxation stroke. Its goal-oriented control system enables compliance modulation of the artificial myocardium during diastole. By setting hemodynamic targets, the myocardium dynamically responds, replicating the biomechanics of HFpEF progression. The model effectively recreates key hallmarks of HFpEF phenotypes, including impaired relaxation, pericardial restraint, and increased ventricular stiffness, capturing both hemodynamic and biomechanic aspects of the disease. Its capability is further validated, simulating mechanical circulatory support for HFpEF treatment. While more work is needed to demonstrate clinical application through control system development, actuation speed improvements, and further clinical validation, this work shows promise as a powerful tool for device development and pathophysiological studies, advancing our understanding and treatment of heart diseases.</w:t>
      </w:r>
    </w:p>
    <w:p>
      <w:pPr>
        <w:spacing w:before="120" w:after="120"/>
      </w:pPr>
      <w:r>
        <w:rPr>
          <w:sz w:val="18"/>
        </w:rPr>
        <w:t>——————————————————————————————————————————————————————————————————————</w:t>
      </w:r>
    </w:p>
    <w:p>
      <w:pPr>
        <w:spacing w:before="160" w:after="40" w:line="240" w:lineRule="auto"/>
      </w:pPr>
      <w:r>
        <w:rPr>
          <w:b/>
        </w:rPr>
        <w:t xml:space="preserve">[87] </w:t>
      </w:r>
      <w:hyperlink r:id="rId448">
        <w:r>
          <w:rPr>
            <w:color w:val="1155CC"/>
            <w:u w:val="single"/>
          </w:rPr>
          <w:t>丝沿丝腺的阶段性大分子组装和结构演化</w:t>
        </w:r>
      </w:hyperlink>
    </w:p>
    <w:p>
      <w:pPr>
        <w:spacing w:before="0" w:after="80"/>
      </w:pPr>
      <w:r>
        <w:rPr>
          <w:i/>
          <w:sz w:val="20"/>
        </w:rPr>
        <w:t>EN: The stage-wise macromolecular assembly and structure evolution of silk along the silk gland</w:t>
      </w:r>
    </w:p>
    <w:p>
      <w:pPr>
        <w:spacing w:before="0" w:after="120"/>
      </w:pPr>
      <w:r>
        <w:rPr>
          <w:b/>
        </w:rPr>
        <w:t xml:space="preserve">Source: </w:t>
      </w:r>
      <w:r>
        <w:t>Biological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丝纺生物以最少的能量输入自然地产生具有非凡性能的纤维。丝蛋白（丝心蛋白）原料的不稳定性限制了对丝纤维形成机制的探索，仅限于某些腺体部分的体外研究，从而为这一过程提供了支离破碎的、非天然的视角。在这里，我们揭示了丝心蛋白分阶段大分子组装和结构转变的关键事件，这对于液体原料储存和转化为分层结构的固体纤维至关重要。通过结合冷冻电子显微镜技术，我们沿着家蚕丝腺在纳米到微米尺度上原位监测丝原料加工，并揭示纳米级组织。在储存过程中，丝心蛋白形成微米大小的球形“隔室”，确保蛋白质稳定性并避免过早纤维化。隔间拆卸后，旋转本身开始。它通过一系列结构转变开始，从蛋白质排列到形成几个原纤化纳米结构，最后形成物理交联的纳米束网络，从而确定最终的丝纤维结构和性能。</w:t>
      </w:r>
    </w:p>
    <w:p>
      <w:pPr>
        <w:spacing w:before="0" w:after="200" w:lineRule="auto" w:line="276"/>
      </w:pPr>
      <w:r>
        <w:rPr>
          <w:b/>
        </w:rPr>
        <w:t xml:space="preserve">Abstract (EN): </w:t>
      </w:r>
      <w:r>
        <w:t>Silk-spinning organisms naturally produce fibers with extraordinary properties at minimal energy input. Silk protein (fibroin) feedstock’s instability limits the mechanistic exploration of silk fiber formation to in-vitro studies of certain gland sections, offering a fragmented, non-native view of this process. Here, we unveil key events of fibroin stage-wise macromolecular assembly and structural transitions, essential for liquid feedstock storage and conversion into hierarchically structured solid fibers. By combining cryo-electron microscopy techniques, we monitor silk feedstock processing in-situ, at the nano-to-micron scales, along Bombyx mori silk gland and reveal nano-scale organizations. During storage, fibroin forms micron-sized spherical “compartments”, ensuring protein stability and avoiding premature fibrillation. The spinning itself starts after the compartments’ disassembly. It commences via a series of structural transitions, from protein alignment to forming several fibrillated nano-structures and, finally, a network of physically cross-linked nano-bundles, determining the final silk fiber structure and properties.</w:t>
      </w:r>
    </w:p>
    <w:p>
      <w:pPr>
        <w:spacing w:before="120" w:after="120"/>
      </w:pPr>
      <w:r>
        <w:rPr>
          <w:sz w:val="18"/>
        </w:rPr>
        <w:t>——————————————————————————————————————————————————————————————————————</w:t>
      </w:r>
    </w:p>
    <w:p>
      <w:pPr>
        <w:spacing w:before="160" w:after="40" w:line="240" w:lineRule="auto"/>
      </w:pPr>
      <w:r>
        <w:rPr>
          <w:b/>
        </w:rPr>
        <w:t xml:space="preserve">[88] </w:t>
      </w:r>
      <w:hyperlink r:id="rId449">
        <w:r>
          <w:rPr>
            <w:color w:val="1155CC"/>
            <w:u w:val="single"/>
          </w:rPr>
          <w:t>通过不同的离子-电子电荷传输实现湿机械刺激的解耦而无交叉干扰</w:t>
        </w:r>
      </w:hyperlink>
    </w:p>
    <w:p>
      <w:pPr>
        <w:spacing w:before="0" w:after="80"/>
      </w:pPr>
      <w:r>
        <w:rPr>
          <w:i/>
          <w:sz w:val="20"/>
        </w:rPr>
        <w:t>EN: Decoupling of hygromechanical stimuli without cross-interference enabled by distinct ion-electron charge transport</w:t>
      </w:r>
    </w:p>
    <w:p>
      <w:pPr>
        <w:spacing w:before="0" w:after="120"/>
      </w:pPr>
      <w:r>
        <w:rPr>
          <w:b/>
        </w:rPr>
        <w:t xml:space="preserve">Source: </w:t>
      </w:r>
      <w:r>
        <w:t>Physical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准确解耦机械刺激和湿度等环境因素仍然是触觉传感器开发中的主要挑战，因为传感信号中这些刺激的交叉干扰会导致测量精度和可靠性降低。为了解决这个问题，我们提出了一种独特的离子电子电荷传输驱动的传感机制，可以在同时的湿力学条件下解耦压力和湿度。为了利用离子和电子独特的电荷传输动力学，我们设计了一种双相双导电弹性体（BiDCE）。通过离子导电域和电子导电域之间的相分离，BiDCE 实现了多模态传感能力，且传感信号之间没有交叉干扰。此外，基于 BiDCE 电荷传输动力学开发的基于阻抗谱的解耦方法可以实现湿度机械刺激的实时量化。所制造的湿力学传感器被集成到自适应机器人手中，能够同时检测人手和手指的接触（压力）和非接触（接近）状态。该系统可确保精确的抓握控制，同时保持安全的人机交互，代表了机器人皮肤界面多模式触觉传感器的重大进步。</w:t>
      </w:r>
    </w:p>
    <w:p>
      <w:pPr>
        <w:spacing w:before="0" w:after="200" w:lineRule="auto" w:line="276"/>
      </w:pPr>
      <w:r>
        <w:rPr>
          <w:b/>
        </w:rPr>
        <w:t xml:space="preserve">Abstract (EN): </w:t>
      </w:r>
      <w:r>
        <w:t>Accurately decoupling mechanical stimuli and environmental factors such as humidity remains a major challenge in the development of tactile sensors, as cross-interference of these stimuli in sensing signals leads to reduced measurement accuracy and reliability. To address this, we present a distinct ion-electron charge transport-driven sensing mechanism that decouples pressure and humidity under simultaneous hygromechanical conditions. To exploit the distinct charge transport kinetics of ions and electrons, we designed a biphasic dual-conductive elastomer (BiDCE). Through phase separation between ionically and electronically conductive domains, BiDCE achieves multimodal sensing ability without cross-interference between sensing signals. In addition, an impedance spectroscopy-based decoupling method, developed based on the charge transport kinetics of BiDCE, enables real-time quantification of hygromechanical stimuli. The fabricated hygromechanical sensor was integrated into a self-adaptive robotic hand, enabling the simultaneous detection of both contact (pressure) and non-contact (proximity) states of human hands and fingers. This system ensures precise grip control while maintaining safe human-machine interaction and represents a significant advancement in multimodal tactile sensors for robotic skin interfaces.</w:t>
      </w:r>
    </w:p>
    <w:p>
      <w:pPr>
        <w:spacing w:before="120" w:after="120"/>
      </w:pPr>
      <w:r>
        <w:rPr>
          <w:sz w:val="18"/>
        </w:rPr>
        <w:t>——————————————————————————————————————————————————————————————————————</w:t>
      </w:r>
    </w:p>
    <w:p>
      <w:pPr>
        <w:spacing w:before="160" w:after="40" w:line="240" w:lineRule="auto"/>
      </w:pPr>
      <w:r>
        <w:rPr>
          <w:b/>
        </w:rPr>
        <w:t xml:space="preserve">[89] </w:t>
      </w:r>
      <w:hyperlink r:id="rId450">
        <w:r>
          <w:rPr>
            <w:color w:val="1155CC"/>
            <w:u w:val="single"/>
          </w:rPr>
          <w:t>使用超导量子位演示实时和低延迟量子纠错</w:t>
        </w:r>
      </w:hyperlink>
    </w:p>
    <w:p>
      <w:pPr>
        <w:spacing w:before="0" w:after="80"/>
      </w:pPr>
      <w:r>
        <w:rPr>
          <w:i/>
          <w:sz w:val="20"/>
        </w:rPr>
        <w:t>EN: Demonstrating real-time and low-latency quantum error correction with superconducting qubits</w:t>
      </w:r>
    </w:p>
    <w:p>
      <w:pPr>
        <w:spacing w:before="0" w:after="120"/>
      </w:pPr>
      <w:r>
        <w:rPr>
          <w:b/>
        </w:rPr>
        <w:t xml:space="preserve">Source: </w:t>
      </w:r>
      <w:r>
        <w:t>Physical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量子纠错对于量子计算机充分发挥其潜力至关重要。随着量子计算机朝着展示通用容错逻辑门集的方向发展，实现可扩展和低延迟的实时解码对于避免指数级减速和保持快速逻辑时钟速率至关重要。在这里，我们展示了将可扩展 FPGA 解码器集成到超导量子处理器控制系统中的低延迟反馈。我们进行了多达 25 轮解码的 8 量子位稳定性实验，每轮平均解码时间为亚微秒，提供了强有力的证据，证明当解码器在具有最严格速度要求的超导硬件上作为流解码器运行时，可以避免积压问题。随着解码轮数的增加，我们观察到逻辑错误抑制。我们还实施并计时了快速反馈实验，展示了总共 9 轮测量的解码响应时间为 9.6 μs。</w:t>
      </w:r>
    </w:p>
    <w:p>
      <w:pPr>
        <w:spacing w:before="0" w:after="200" w:lineRule="auto" w:line="276"/>
      </w:pPr>
      <w:r>
        <w:rPr>
          <w:b/>
        </w:rPr>
        <w:t xml:space="preserve">Abstract (EN): </w:t>
      </w:r>
      <w:r>
        <w:t>Quantum error correction will be essential for quantum computers to realise their full potential. As quantum computers advance towards demonstrating a universal fault-tolerant logical gate set, implementing scalable and low-latency real-time decoding will be crucial to avoid an exponential slowdown and maintain a fast logical clock rate. Here, we demonstrate low-latency feedback with a scalable FPGA decoder integrated into the control system of a superconducting quantum processor. We perform an 8-qubit stability experiment with up to 25 decoding rounds and a sub-microsecond mean decoding time per round, providing strong evidence that the backlog problem will be avoided when the decoder is operated as a streaming decoder on a superconducting hardware with the strictest speed requirements. We observe logical error suppression as the number of decoding rounds is increased. We also implement and time a fast-feedback experiment demonstrating a decoding response time of 9.6 μs for a total of 9 measurement rounds.</w:t>
      </w:r>
    </w:p>
    <w:p>
      <w:pPr>
        <w:spacing w:before="120" w:after="120"/>
      </w:pPr>
      <w:r>
        <w:rPr>
          <w:sz w:val="18"/>
        </w:rPr>
        <w:t>——————————————————————————————————————————————————————————————————————</w:t>
      </w:r>
    </w:p>
    <w:p>
      <w:pPr>
        <w:spacing w:before="160" w:after="40" w:line="240" w:lineRule="auto"/>
      </w:pPr>
      <w:r>
        <w:rPr>
          <w:b/>
        </w:rPr>
        <w:t xml:space="preserve">[90] </w:t>
      </w:r>
      <w:hyperlink r:id="rId451">
        <w:r>
          <w:rPr>
            <w:color w:val="1155CC"/>
            <w:u w:val="single"/>
          </w:rPr>
          <w:t>非弹性 X 射线散射观察铜酸盐超导体的量子临界行为</w:t>
        </w:r>
      </w:hyperlink>
    </w:p>
    <w:p>
      <w:pPr>
        <w:spacing w:before="0" w:after="80"/>
      </w:pPr>
      <w:r>
        <w:rPr>
          <w:i/>
          <w:sz w:val="20"/>
        </w:rPr>
        <w:t>EN: Quantum critical behavior of cuprate superconductors observed by inelastic X-ray scattering</w:t>
      </w:r>
    </w:p>
    <w:p>
      <w:pPr>
        <w:spacing w:before="0" w:after="120"/>
      </w:pPr>
      <w:r>
        <w:rPr>
          <w:b/>
        </w:rPr>
        <w:t xml:space="preserve">Source: </w:t>
      </w:r>
      <w:r>
        <w:t>Physical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铜酸盐超导体复杂的相图可能与量子临界点（QCP）相关，阻碍了对铜酸盐超导体的全面理解。然而，QCP 缺乏确凿的证据，因为假定的 QCP 被埋在超导穹顶下，掩盖了它的存在。在这里，我们使用高分辨率共振非弹性 X 射线散射来检查 La2−xSrxCuO4 中的动态电荷-电荷相关性，并揭示量子临界尺度，这是 QCP 所需的关键特征。具体来说，我们观察到各种掺杂和温度的逆相关长度崩溃到通用标度曲线上，产生 0.74 ± 0.08 的临界指数 ν。该指数的非负性证实了 QCP 的存在。值得注意的是，ν 的值表明，虽然 QCP 通过电荷密度波表现出来，但其他阶也参与其中，因此 QCP 似乎属于以 O(4) 对称性为特征的普适性类别，让人想起哈伯德模型中半填充时的微观 SO(4) 对称性。进一步分析表明，QCP耗散性高，准粒子寿命短，反映了由于其埋藏在超导态中而产生的相互交织的量子涨落。</w:t>
      </w:r>
    </w:p>
    <w:p>
      <w:pPr>
        <w:spacing w:before="0" w:after="200" w:lineRule="auto" w:line="276"/>
      </w:pPr>
      <w:r>
        <w:rPr>
          <w:b/>
        </w:rPr>
        <w:t xml:space="preserve">Abstract (EN): </w:t>
      </w:r>
      <w:r>
        <w:t>Progress toward a complete understanding of cuprate superconductors has been hindered by their intricate phase diagram, potentially linked to a quantum critical point (QCP). However, conclusive evidence for the QCP is lacking, as the presumed QCP is buried under the superconducting dome, disguising its presence. Here, we use high-resolution resonant inelastic X-ray scattering to examine the dynamical charge-charge correlation in La2−xSrxCuO4 and uncover the quantum critical scaling, a key feature required for a QCP. Specifically, we observed that the inverse correlation lengths for various dopings and temperatures collapsed onto a universal scaling curve, yielding a critical exponent ν of 0.74 ± 0.08. The non-negativity of this exponent confirms the presence of a QCP. Remarkably, the value of ν suggests that while the QCP is manifested through the charge-density wave, other orders also participate, such that the QCP appears to belong to the universality class characterized by the O(4) symmetry, reminiscent of the microscopic SO(4) symmetry in the Hubbard model at half-filling. Further analysis indicates that the QCP is highly dissipative with a short quasi-particle lifetime, reflecting the intertwined quantum fluctuations due to its being buried inside the superconducting state.</w:t>
      </w:r>
    </w:p>
    <w:p>
      <w:pPr>
        <w:spacing w:before="120" w:after="120"/>
      </w:pPr>
      <w:r>
        <w:rPr>
          <w:sz w:val="18"/>
        </w:rPr>
        <w:t>——————————————————————————————————————————————————————————————————————</w:t>
      </w:r>
    </w:p>
    <w:p>
      <w:pPr>
        <w:spacing w:before="160" w:after="40" w:line="240" w:lineRule="auto"/>
      </w:pPr>
      <w:r>
        <w:rPr>
          <w:b/>
        </w:rPr>
        <w:t xml:space="preserve">[91] </w:t>
      </w:r>
      <w:hyperlink r:id="rId452">
        <w:r>
          <w:rPr>
            <w:color w:val="1155CC"/>
            <w:u w:val="single"/>
          </w:rPr>
          <w:t>通过不对称聚合物自组装层实现掩埋界面均质化，为高效、耐用的柔性钙钛矿光伏发电提供动力</w:t>
        </w:r>
      </w:hyperlink>
    </w:p>
    <w:p>
      <w:pPr>
        <w:spacing w:before="0" w:after="80"/>
      </w:pPr>
      <w:r>
        <w:rPr>
          <w:i/>
          <w:sz w:val="20"/>
        </w:rPr>
        <w:t>EN: Buried-interface homogenization by asymmetric polymeric self-assembled layers powers efficient, durable flexible perovskite photovoltaics</w:t>
      </w:r>
    </w:p>
    <w:p>
      <w:pPr>
        <w:spacing w:before="0" w:after="120"/>
      </w:pPr>
      <w:r>
        <w:rPr>
          <w:b/>
        </w:rPr>
        <w:t xml:space="preserve">Source: </w:t>
      </w:r>
      <w:r>
        <w:t>Physical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柔性钙钛矿太阳能电池和模块受到掩埋界面不均匀性以及传统小分子自组装单层的厚度敏感、易于聚集的性质的限制，这些性质在大面积涂覆和弯曲过程中会产生局部复合热点和裂纹引发的降解。在这里，我们介绍了基于聚（4-（3-苯基-9H-咔唑-9-基）丁基磷酸酯）（Poly-3Ph-4PACz）的不对称聚合物自组装层，聚咔唑膦酸具有刚性苯基咔唑单元和多个锚定位点。该聚合物结构产生致密、高度润湿和电均匀的空穴选择性接触，具有增强的界面偶极子和强钙钛矿结合，从而实现均匀结晶、减少非辐射损耗和有效的应力缓冲。柔性器件的冠军功率转换效率达到 26.13%，而 57.6 cm2 的柔性模块则达到 22.22%。封装模块在 3000 次弯曲循环后保留率达 97.23%，并在 85 °C/85% RH 下表现出 T95 &gt; 1000 小时的湿热弹性。除了灵活性之外，Poly-3Ph-4PACz 还可实现 27.18% 的刚性倒置钙钛矿太阳能电池（经认证平均稳态 27.12%）和经认证的 32.95% 钙钛矿/硅串联效率。这些结果确立了聚合物自组装作为高效、耐用的柔性光伏发电的可扩展途径。</w:t>
      </w:r>
    </w:p>
    <w:p>
      <w:pPr>
        <w:spacing w:before="0" w:after="200" w:lineRule="auto" w:line="276"/>
      </w:pPr>
      <w:r>
        <w:rPr>
          <w:b/>
        </w:rPr>
        <w:t xml:space="preserve">Abstract (EN): </w:t>
      </w:r>
      <w:r>
        <w:t>Flexible perovskite solar cells and modules are limited by buried-interface nonuniformity and the thickness-sensitive, aggregation-prone nature of conventional small-molecule self-assembled monolayers, which create local recombination hot spots and crack-initiated degradation during large-area coating and bending. Here we introduce asymmetric polymeric self-assembled layers based on poly(4-(3-phenyl-9H-carbazol-9-yl)butyl phosphate) (Poly-3Ph-4PACz), a polycarbazole phosphonic acid featuring rigid phenyl-carbazole units and multiple anchoring sites. The polymeric architecture yields a dense, highly wetting and electrically homogeneous hole-selective contact with enhanced interfacial dipole and strong perovskite binding, enabling uniform crystallization, reduced non-radiative losses and effective stress buffering. Flexible devices reach 26.13% champion power conversion efficiency, while 57.6 cm2 flexible modules deliver 22.22%. Encapsulated modules retain 97.23% after 3000 bending cycles and show damp-heat resilience with T95 &gt; 1000 h at 85 °C/85% RH. Beyond flexibility, Poly-3Ph-4PACz enables 27.18% rigid inverted perovskite solar cells (certified mean steady-state 27.12%) and a certified 32.95% perovskite/Si tandem efficiency. These results establish polymeric self-assembly as a scalable route to high-efficiency, durable flexible photovoltaics.</w:t>
      </w:r>
    </w:p>
    <w:p>
      <w:pPr>
        <w:spacing w:before="120" w:after="120"/>
      </w:pPr>
      <w:r>
        <w:rPr>
          <w:sz w:val="18"/>
        </w:rPr>
        <w:t>——————————————————————————————————————————————————————————————————————</w:t>
      </w:r>
    </w:p>
    <w:p>
      <w:pPr>
        <w:spacing w:before="160" w:after="40" w:line="240" w:lineRule="auto"/>
      </w:pPr>
      <w:r>
        <w:rPr>
          <w:b/>
        </w:rPr>
        <w:t xml:space="preserve">[92] </w:t>
      </w:r>
      <w:hyperlink r:id="rId453">
        <w:r>
          <w:rPr>
            <w:color w:val="1155CC"/>
            <w:u w:val="single"/>
          </w:rPr>
          <w:t>控制 Kagome 磁铁 CsCr3Sb5 中的交变磁自旋密度波</w:t>
        </w:r>
      </w:hyperlink>
    </w:p>
    <w:p>
      <w:pPr>
        <w:spacing w:before="0" w:after="80"/>
      </w:pPr>
      <w:r>
        <w:rPr>
          <w:i/>
          <w:sz w:val="20"/>
        </w:rPr>
        <w:t>EN: Controlling an altermagnetic spin density wave in the kagome magnet CsCr3Sb5</w:t>
      </w:r>
    </w:p>
    <w:p>
      <w:pPr>
        <w:spacing w:before="0" w:after="120"/>
      </w:pPr>
      <w:r>
        <w:rPr>
          <w:b/>
        </w:rPr>
        <w:t xml:space="preserve">Source: </w:t>
      </w:r>
      <w:r>
        <w:t>Physical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电荷和自旋序的相互作用是相关电子物理的核心，并且在非常规量子相的出现中发挥着关键作用。由于其几何挫败晶格结构，Kagome 磁体为研究这些现象提供了一个特别有前景的平台。然而，从微观上解决自旋和电荷顺序并建立控制它们的方法仍然是基本挑战。在这里，我们演示了 Kagome 磁体 CsCr3Sb5 中与电荷密度波序交织的交变自旋密度波序的磁场控制。扫描隧道显微镜低至 50 mK 的深低温，揭示了两个先前未报道的电荷密度波阶。密度泛函理论证实，其中一个 4a0×3a0" role="presentation"&gt;a0×3a0{a}_{0}\times \sqrt{3}{a}_{0} 电荷序与具有变磁基态的自旋密度波耦合。电荷密度波可以通过外部磁场在幅度和相位上进行调谐，反映在电荷密度波的域切换和条纹滑动中。我们的发现加深了对对称性破缺的理解kagome 系统，提供了一个可调平台来探索电子关联与新兴量子磁性的相互作用。</w:t>
      </w:r>
    </w:p>
    <w:p>
      <w:pPr>
        <w:spacing w:before="0" w:after="200" w:lineRule="auto" w:line="276"/>
      </w:pPr>
      <w:r>
        <w:rPr>
          <w:b/>
        </w:rPr>
        <w:t xml:space="preserve">Abstract (EN): </w:t>
      </w:r>
      <w:r>
        <w:t>The interplay of charge and spin orders lies at the heart of correlated electron physics and plays a critical role in the emergence of unconventional quantum phases. Kagome magnets provide a particularly promising platform to investigate these phenomena, owing to their geometrically frustrated lattice structure. However, resolving spin and charge orders microscopically and establishing ways to control them remain fundamental challenges. Here, we demonstrate magnetic-field control of an altermagnetic spin density wave order intertwined with charge density wave order in kagome magnet CsCr3Sb5. Scanning tunneling microscopy down to deep cryogenic temperature of 50 mK reveals two previously unreported charge density wave orders. Density functional theory confirms that one of them, a 4a0&amp;#x00D7;3a0" role="presentation"&gt;a0×3a0{a}_{0}\times \sqrt{3}{a}_{0} charge order, is coupled to a spin density wave with an altermagnetic ground state. The charge density waves can be tuned in both amplitude and phase by an external magnetic field, reflected in domain switching and stripe sliding of the charge density wave. Our findings deepen the understanding of symmetry-breaking in kagome systems, providing a tunable platform to explore the interplay of electronic correlation with emergent quantum magnetism.</w:t>
      </w:r>
    </w:p>
    <w:p>
      <w:pPr>
        <w:spacing w:before="120" w:after="120"/>
      </w:pPr>
      <w:r>
        <w:rPr>
          <w:sz w:val="18"/>
        </w:rPr>
        <w:t>——————————————————————————————————————————————————————————————————————</w:t>
      </w:r>
    </w:p>
    <w:p>
      <w:pPr>
        <w:spacing w:before="160" w:after="40" w:line="240" w:lineRule="auto"/>
      </w:pPr>
      <w:r>
        <w:rPr>
          <w:b/>
        </w:rPr>
        <w:t xml:space="preserve">[93] </w:t>
      </w:r>
      <w:hyperlink r:id="rId454">
        <w:r>
          <w:rPr>
            <w:color w:val="1155CC"/>
            <w:u w:val="single"/>
          </w:rPr>
          <w:t>用于具有 3D 消色差超透镜的全彩有机发光二极管近眼显示器的可打印灰度纳米模板</w:t>
        </w:r>
      </w:hyperlink>
    </w:p>
    <w:p>
      <w:pPr>
        <w:spacing w:before="0" w:after="80"/>
      </w:pPr>
      <w:r>
        <w:rPr>
          <w:i/>
          <w:sz w:val="20"/>
        </w:rPr>
        <w:t>EN: Printable grayscale nano-template for full-colour organic light-emitting diode near-eye displays with 3D achromatic metalenses</w:t>
      </w:r>
    </w:p>
    <w:p>
      <w:pPr>
        <w:spacing w:before="0" w:after="120"/>
      </w:pPr>
      <w:r>
        <w:rPr>
          <w:b/>
        </w:rPr>
        <w:t xml:space="preserve">Source: </w:t>
      </w:r>
      <w:r>
        <w:t>Physical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消色差超透镜对于在增强现实和虚拟现实显示器中实现紧凑的全彩成像系统至关重要。在这里，我们展示了使用灰度电子束光刻 (EBL) 和基于干法蚀刻的高度编码纳米模板的可打印 3D 消色差超透镜。通过在没有软模具的情况下从纳米模板集成纳米压印光刻 (NIL)，我们实现了 3D 消色差超透镜的高保真度和吞吐量。压印的 3D 元原子提供了可控的高度多样性，即使在低折射率树脂平台上也为相工程引入了额外的自由度。我们使用基于库的相位匹配来设计超透镜，其中预先计算的电磁响应用于选择在 RGB 波长下同时最好地再现双曲相位的元原子。我们的数值孔径为 0.31 的 3D 消色差超透镜可在 RGB 波长的相同焦距下实现衍射极限聚焦。测量的聚焦效率在 450 nm、532 nm 和 635 nm 处分别为 14.8%、11.3% 和 12.3%。作为概念验证，我们将 3D 消色差超透镜应用于 VR 成像平台，实现全彩图像。这项工作强调灰度 EBL 和 NIL 作为实现无像差性能和可扩展生产的关键解决方案，为下一代紧凑型全色超光学器件铺平了道路。</w:t>
      </w:r>
    </w:p>
    <w:p>
      <w:pPr>
        <w:spacing w:before="0" w:after="200" w:lineRule="auto" w:line="276"/>
      </w:pPr>
      <w:r>
        <w:rPr>
          <w:b/>
        </w:rPr>
        <w:t xml:space="preserve">Abstract (EN): </w:t>
      </w:r>
      <w:r>
        <w:t>Achromatic metalenses are essential for enabling compact, full-color imaging systems in augmented and virtual reality displays. Here, we present printable 3D achromatic metalenses using grayscale electron beam lithography (EBL) and dry etching-based height-encoded nano-template. By integrating nanoimprint lithography (NIL) from a nano-template without a soft mold, we realize high fidelity and throughput of 3D achromatic metalenses. The imprinted 3D meta-atoms provide controllable height diversity, introducing an additional degree of freedom for phase engineering even on a low-index resin platform. We design the metalens using a library-based phase-matching, where precomputed electromagnetic responses are used to select meta-atoms that best reproduce the hyperbolic phase simultaneously at RGB wavelengths. Our 3D achromatic metalens with a numerical aperture of 0.31 achieves diffraction-limited focusing at the same focal length across RGB wavelengths. The measured focusing efficiencies are 14.8%, 11.3%, and 12.3% at 450, 532, and 635 nm, respectively. As a proof of concept, we apply our 3D achromatic metalenses to a VR imaging platform, achieving a full-colour image. This work highlights grayscale EBL and NIL as a critical solution for achieving both aberration-free performance and scalable production, paving the way for next-generation compact and full-colour meta-optics.</w:t>
      </w:r>
    </w:p>
    <w:p>
      <w:pPr>
        <w:spacing w:before="120" w:after="120"/>
      </w:pPr>
      <w:r>
        <w:rPr>
          <w:sz w:val="18"/>
        </w:rPr>
        <w:t>——————————————————————————————————————————————————————————————————————</w:t>
      </w:r>
    </w:p>
    <w:p>
      <w:pPr>
        <w:spacing w:before="160" w:after="40" w:line="240" w:lineRule="auto"/>
      </w:pPr>
      <w:r>
        <w:rPr>
          <w:b/>
        </w:rPr>
        <w:t xml:space="preserve">[94] </w:t>
      </w:r>
      <w:hyperlink r:id="rId455">
        <w:r>
          <w:rPr>
            <w:color w:val="1155CC"/>
            <w:u w:val="single"/>
          </w:rPr>
          <w:t>用于 EMI 屏蔽和各向异性热管理的多尺度结构 MXene/聚乙烯块体纳米复合材料</w:t>
        </w:r>
      </w:hyperlink>
    </w:p>
    <w:p>
      <w:pPr>
        <w:spacing w:before="0" w:after="80"/>
      </w:pPr>
      <w:r>
        <w:rPr>
          <w:i/>
          <w:sz w:val="20"/>
        </w:rPr>
        <w:t>EN: Multiscale structured MXene/polyethylene bulk nanocomposites for EMI shielding and anisotropic thermal management</w:t>
      </w:r>
    </w:p>
    <w:p>
      <w:pPr>
        <w:spacing w:before="0" w:after="120"/>
      </w:pPr>
      <w:r>
        <w:rPr>
          <w:b/>
        </w:rPr>
        <w:t xml:space="preserve">Source: </w:t>
      </w:r>
      <w:r>
        <w:t>Matter</w:t>
      </w:r>
      <w:r>
        <w:t xml:space="preserve">    </w:t>
      </w:r>
      <w:r>
        <w:rPr>
          <w:b/>
        </w:rPr>
        <w:t xml:space="preserve">Pub date: </w:t>
      </w:r>
      <w:r>
        <w:t>2026-06-01 00:00:00+00:00</w:t>
      </w:r>
      <w:r>
        <w:t xml:space="preserve">    </w:t>
      </w:r>
      <w:r>
        <w:rPr>
          <w:b/>
        </w:rPr>
        <w:t xml:space="preserve">DOI: </w:t>
      </w:r>
      <w:hyperlink r:id="rId456">
        <w:r>
          <w:rPr>
            <w:color w:val="1155CC"/>
            <w:u w:val="single"/>
          </w:rPr>
          <w:t>10.1016/j.matt.2026.102855</w:t>
        </w:r>
      </w:hyperlink>
    </w:p>
    <w:p>
      <w:pPr>
        <w:spacing w:before="0" w:after="120"/>
      </w:pPr>
      <w:r>
        <w:rPr>
          <w:b/>
        </w:rPr>
        <w:t xml:space="preserve">Notes: </w:t>
      </w:r>
      <w:r>
        <w:t>abstract_source=rss_cell</w:t>
      </w:r>
    </w:p>
    <w:p>
      <w:pPr>
        <w:spacing w:before="0" w:after="80" w:lineRule="auto" w:line="276"/>
      </w:pPr>
      <w:r>
        <w:rPr>
          <w:b/>
        </w:rPr>
        <w:t xml:space="preserve">摘要（ZH）: </w:t>
      </w:r>
      <w:r>
        <w:t>纳米约束和 Z 方向裂纹增韧的协同组合显着提高了机械性能。这种多尺度架构赋予了强大的电热各向异性，并在 2.25 vol% 的低 MXene 负载量下实现了高吸收主导的 EMI 屏蔽 (40.40 dB)，而 PE 基质在恶劣的酸性和碱性条件下提供了出色的化学稳定性。</w:t>
      </w:r>
    </w:p>
    <w:p>
      <w:pPr>
        <w:spacing w:before="0" w:after="200" w:lineRule="auto" w:line="276"/>
      </w:pPr>
      <w:r>
        <w:rPr>
          <w:b/>
        </w:rPr>
        <w:t xml:space="preserve">Abstract (EN): </w:t>
      </w:r>
      <w:r>
        <w:t>The synergistic combination of nanoconfinement and Z-direction crack toughening significantly boosts mechanical performance. This multiscale architecture imparts strong electrothermal anisotropy and achieves high absorption-dominated EMI shielding (40.40 dB) at a low MXene loading of 2.25 vol %, while the PE matrix provides outstanding chemical stability under harsh acidic and alkaline conditions.</w:t>
      </w:r>
    </w:p>
    <w:p>
      <w:pPr>
        <w:spacing w:before="120" w:after="120"/>
      </w:pPr>
      <w:r>
        <w:rPr>
          <w:sz w:val="18"/>
        </w:rPr>
        <w:t>——————————————————————————————————————————————————————————————————————</w:t>
      </w:r>
    </w:p>
    <w:p>
      <w:pPr>
        <w:spacing w:before="160" w:after="40" w:line="240" w:lineRule="auto"/>
      </w:pPr>
      <w:r>
        <w:rPr>
          <w:b/>
        </w:rPr>
        <w:t xml:space="preserve">[95] </w:t>
      </w:r>
      <w:hyperlink r:id="rId457">
        <w:r>
          <w:rPr>
            <w:color w:val="1155CC"/>
            <w:u w:val="single"/>
          </w:rPr>
          <w:t>经济和能源政策不确定性下的能源贫困与财富</w:t>
        </w:r>
      </w:hyperlink>
    </w:p>
    <w:p>
      <w:pPr>
        <w:spacing w:before="0" w:after="80"/>
      </w:pPr>
      <w:r>
        <w:rPr>
          <w:i/>
          <w:sz w:val="20"/>
        </w:rPr>
        <w:t>EN: Energy poverty and wealth under economic and energy policy uncertainty</w:t>
      </w:r>
    </w:p>
    <w:p>
      <w:pPr>
        <w:spacing w:before="0" w:after="120"/>
      </w:pPr>
      <w:r>
        <w:rPr>
          <w:b/>
        </w:rPr>
        <w:t xml:space="preserve">Source: </w:t>
      </w:r>
      <w:r>
        <w:t>ScienceDirect Publication: Energy Policy</w:t>
      </w:r>
      <w:r>
        <w:t xml:space="preserve">    </w:t>
      </w:r>
      <w:r>
        <w:rPr>
          <w:b/>
        </w:rPr>
        <w:t xml:space="preserve">Pub date: </w:t>
      </w:r>
      <w:r>
        <w:t>2026-06-01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[96] </w:t>
      </w:r>
      <w:hyperlink r:id="rId458">
        <w:r>
          <w:rPr>
            <w:color w:val="1155CC"/>
            <w:u w:val="single"/>
          </w:rPr>
          <w:t>矿物光催化介导的透光带中 Fe(II)/Fe(III) 的循环</w:t>
        </w:r>
      </w:hyperlink>
    </w:p>
    <w:p>
      <w:pPr>
        <w:spacing w:before="0" w:after="80"/>
      </w:pPr>
      <w:r>
        <w:rPr>
          <w:i/>
          <w:sz w:val="20"/>
        </w:rPr>
        <w:t>EN: Cycling of Fe(II)/Fe(III) in the euphotic zone mediated by mineral photocatalysis</w:t>
      </w:r>
    </w:p>
    <w:p>
      <w:pPr>
        <w:spacing w:before="0" w:after="120"/>
      </w:pPr>
      <w:r>
        <w:rPr>
          <w:b/>
        </w:rPr>
        <w:t xml:space="preserve">Source: </w:t>
      </w:r>
      <w:r>
        <w:t>Earth and environmental sciences : Nature Communications subject feeds</w:t>
      </w:r>
      <w:r>
        <w:t xml:space="preserve">    </w:t>
      </w:r>
      <w:r>
        <w:rPr>
          <w:b/>
        </w:rPr>
        <w:t xml:space="preserve">Pub date: </w:t>
      </w:r>
      <w:r>
        <w:t>2026-06-01 00:00:00+00:00</w:t>
      </w:r>
    </w:p>
    <w:p>
      <w:pPr>
        <w:spacing w:before="0" w:after="120"/>
      </w:pPr>
      <w:r>
        <w:rPr>
          <w:b/>
        </w:rPr>
        <w:t xml:space="preserve">Notes: </w:t>
      </w:r>
      <w:r>
        <w:t>abstract_source=nature_html</w:t>
      </w:r>
    </w:p>
    <w:p>
      <w:pPr>
        <w:spacing w:before="0" w:after="80" w:lineRule="auto" w:line="276"/>
      </w:pPr>
      <w:r>
        <w:rPr>
          <w:b/>
        </w:rPr>
        <w:t xml:space="preserve">摘要（ZH）: </w:t>
      </w:r>
      <w:r>
        <w:t>海洋铁循环现在被认为是快速且动态的，部分是由大量的颗粒铁输入推动的。然而，激活这一水库以维持生产力的机制仍未解决。在这里，我们展示了矿物光催化这一被忽视的非生物过程，为 Fe(II) 的生产提供了关键的激活途径。在人造海水中使用合成氧化铁和锐钛矿进行的实验室实验表明，锐钛矿 (TiO2) 能够以比当前模型假设高四倍的速率驱动快速 Fe(III) 到 Fe(II) 循环。我们提出这个过程解释了阳光照射水中持久性 Fe(II) 的悖论，即光化学产生与生物吸收的高通量稳态。我们的研究结果表明矿物光催化是海洋铁循环的关键驱动因素，这表明颗粒中的生物可利用铁通量被低估了。将光地球化学路径整合到海洋模型中将改善对铁循环和生态系统响应的预测。</w:t>
      </w:r>
    </w:p>
    <w:p>
      <w:pPr>
        <w:spacing w:before="0" w:after="200" w:lineRule="auto" w:line="276"/>
      </w:pPr>
      <w:r>
        <w:rPr>
          <w:b/>
        </w:rPr>
        <w:t xml:space="preserve">Abstract (EN): </w:t>
      </w:r>
      <w:r>
        <w:t>The marine iron cycle is now recognized as fast and dynamic, partly fueled by vast particulate iron inputs. Yet the mechanisms that activate this reservoir to sustain productivity remain unresolved. Here we show that mineral photocatalysis, an overlooked abiotic process, provides a key activation pathway for Fe(II) production. Laboratory experiments using synthetic iron oxides and anatase in artificial seawater demonstrate that anatase (TiO2) drives rapid Fe(III)-to-Fe(II) cycling at rates up to fourfold higher than current model assumptions. We propose this process explains the paradox of persistent Fe(II) in sunlit waters as a high-flux steady state of photochemical production coupled with biological uptake. Our findings establish mineral photocatalysis as a key driver in the ocean iron cycle, indicating that bioavailable iron fluxes from particles have been underestimated. Integrating photo-geochemical pathways into ocean models will improve predictions of iron recycling and ecosystem responses.</w:t>
      </w:r>
    </w:p>
    <w:p>
      <w:pPr>
        <w:spacing w:before="120" w:after="120"/>
      </w:pPr>
      <w:r>
        <w:rPr>
          <w:sz w:val="18"/>
        </w:rPr>
        <w:t>——————————————————————————————————————————————————————————————————————</w:t>
      </w:r>
    </w:p>
    <w:p>
      <w:pPr>
        <w:spacing w:before="160" w:after="40" w:line="240" w:lineRule="auto"/>
      </w:pPr>
      <w:r>
        <w:rPr>
          <w:b/>
        </w:rPr>
        <w:t xml:space="preserve">[97] </w:t>
      </w:r>
      <w:hyperlink r:id="rId459">
        <w:r>
          <w:rPr>
            <w:color w:val="1155CC"/>
            <w:u w:val="single"/>
          </w:rPr>
          <w:t>用于可编程级联光调制的σ-p超共轭共价有机框架</w:t>
        </w:r>
      </w:hyperlink>
    </w:p>
    <w:p>
      <w:pPr>
        <w:spacing w:before="0" w:after="80"/>
      </w:pPr>
      <w:r>
        <w:rPr>
          <w:i/>
          <w:sz w:val="20"/>
        </w:rPr>
        <w:t>EN: σ–p Hyperconjugation–Enabled Covalent Organic Frameworks for Programmable Cascaded Optical Modulation</w:t>
      </w:r>
    </w:p>
    <w:p>
      <w:pPr>
        <w:spacing w:before="0" w:after="120"/>
      </w:pPr>
      <w:r>
        <w:rPr>
          <w:b/>
        </w:rPr>
        <w:t xml:space="preserve">Source: </w:t>
      </w:r>
      <w:r>
        <w:t>Wiley: Advanced Materials: Table of Contents</w:t>
      </w:r>
      <w:r>
        <w:t xml:space="preserve">    </w:t>
      </w:r>
      <w:r>
        <w:rPr>
          <w:b/>
        </w:rPr>
        <w:t xml:space="preserve">Pub date: </w:t>
      </w:r>
      <w:r>
        <w:t>2026-06-01 06:32:31+00:00</w:t>
      </w:r>
      <w:r>
        <w:t xml:space="preserve">    </w:t>
      </w:r>
      <w:r>
        <w:rPr>
          <w:b/>
        </w:rPr>
        <w:t xml:space="preserve">DOI: </w:t>
      </w:r>
      <w:hyperlink r:id="rId460">
        <w:r>
          <w:rPr>
            <w:color w:val="1155CC"/>
            <w:u w:val="single"/>
          </w:rPr>
          <w:t>10.1002/adma.73558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σ-p超共轭被认为是调节共价有机框架（COF）的激发态行为和供体特征的有效分子杠杆。 σ-p超共轭的激活将COF的荧光量子产率放大高达167倍，并伴随着激发态电荷密度的明显重新分布。这种原子级电子调节可以对 COF-OMe/Eu@UiO-66-(COOH) 中界面电荷转移的方向和大小进行可编程控制</w:t>
      </w:r>
      <w:r>
        <w:rPr>
          <w:vertAlign w:val="subscript"/>
        </w:rPr>
        <w:t>2</w:t>
      </w:r>
      <w:r>
        <w:t>异质结，产生级联激发-发射耦合和激发相关的多色输出。激素结合对超共轭增强界面的扰动调节了界面电荷转移景观，从而产生反映微妙分子刺激的独特光学指纹。当合并到电纺聚丙烯腈膜中时，这些可编程光学响应以灵活、抗菌和机器学习可读的格式保存，从而实现快速视觉读出、定量浓度辨别和高效固相萃取。受变色龙皮肤多层光学调制的概念启发，这项工作将 σ-p 超共轭建立为构建电子自适应 COF-MOF 异质结构的一般设计原理，该异质结构能够将分子扰动转换为可调谐光信号。</w:t>
      </w:r>
    </w:p>
    <w:p>
      <w:pPr>
        <w:spacing w:before="0" w:after="200" w:lineRule="auto" w:line="276"/>
      </w:pPr>
      <w:r>
        <w:rPr>
          <w:b/>
        </w:rPr>
        <w:t xml:space="preserve">Abstract (EN): </w:t>
      </w:r>
      <w:r>
        <w:t>σ–p hyperconjugation is identified as an effective molecular lever for regulating the excited‐state behavior and donor characteristics of covalent organic frameworks (COFs). Activation of σ–p hyperconjugation amplifies the fluorescence quantum yield of COFs by up to 167‐fold, accompanied by a pronounced redistribution of excited‐state charge density. This atomic‐level electronic regulation enables programmable control over both the direction and magnitude of interfacial charge transfer in COF‐OMe/Eu@UiO‐66‐(COOH)</w:t>
      </w:r>
      <w:r>
        <w:rPr>
          <w:vertAlign w:val="subscript"/>
        </w:rPr>
        <w:t>2</w:t>
      </w:r>
      <w:r>
        <w:t>heterojunctions, giving rise to cascaded excitation–emission coupling and excitation‐dependent multicolor outputs. Perturbation of the hyperconjugation‐enhanced interface by hormone binding modulates the interfacial charge‐transfer landscape, resulting in distinct optical fingerprints that reflect subtle molecular stimuli. When incorporated into electrospun polyacrylonitrile membranes, these programmable optical responses are preserved in a flexible, antibacterial, and machine‐learning‐readable format, enabling rapid visual readout, quantitative concentration discrimination, and efficient solid‐phase extraction. Conceptually inspired by the multilayered optical modulation of chameleon skin, this work establishes σ–p hyperconjugation as a general design principle for constructing electronically adaptive COF–MOF heterostructures capable of transducing molecular perturbations into tunable optical signals.</w:t>
      </w:r>
    </w:p>
    <w:p>
      <w:pPr>
        <w:spacing w:before="120" w:after="120"/>
      </w:pPr>
      <w:r>
        <w:rPr>
          <w:sz w:val="18"/>
        </w:rPr>
        <w:t>——————————————————————————————————————————————————————————————————————</w:t>
      </w:r>
    </w:p>
    <w:p>
      <w:pPr>
        <w:spacing w:before="160" w:after="40" w:line="240" w:lineRule="auto"/>
      </w:pPr>
      <w:r>
        <w:rPr>
          <w:b/>
        </w:rPr>
        <w:t xml:space="preserve">[98] </w:t>
      </w:r>
      <w:hyperlink r:id="rId461">
        <w:r>
          <w:rPr>
            <w:color w:val="1155CC"/>
            <w:u w:val="single"/>
          </w:rPr>
          <w:t>生物离子液体诱导的快速自引发坚韧离子凝胶用于原位粘附</w:t>
        </w:r>
      </w:hyperlink>
    </w:p>
    <w:p>
      <w:pPr>
        <w:spacing w:before="0" w:after="80"/>
      </w:pPr>
      <w:r>
        <w:rPr>
          <w:i/>
          <w:sz w:val="20"/>
        </w:rPr>
        <w:t>EN: Bio‐Ionic Liquid‐Induced Rapid Self‐Initiating Tough Ionogels for In Situ Adhesion</w:t>
      </w:r>
    </w:p>
    <w:p>
      <w:pPr>
        <w:spacing w:before="0" w:after="120"/>
      </w:pPr>
      <w:r>
        <w:rPr>
          <w:b/>
        </w:rPr>
        <w:t xml:space="preserve">Source: </w:t>
      </w:r>
      <w:r>
        <w:t>Wiley: Advanced Materials: Table of Contents</w:t>
      </w:r>
      <w:r>
        <w:t xml:space="preserve">    </w:t>
      </w:r>
      <w:r>
        <w:rPr>
          <w:b/>
        </w:rPr>
        <w:t xml:space="preserve">Pub date: </w:t>
      </w:r>
      <w:r>
        <w:t>2026-06-01 06:33:43+00:00</w:t>
      </w:r>
      <w:r>
        <w:t xml:space="preserve">    </w:t>
      </w:r>
      <w:r>
        <w:rPr>
          <w:b/>
        </w:rPr>
        <w:t xml:space="preserve">DOI: </w:t>
      </w:r>
      <w:hyperlink r:id="rId462">
        <w:r>
          <w:rPr>
            <w:color w:val="1155CC"/>
            <w:u w:val="single"/>
          </w:rPr>
          <w:t>10.1002/adma.73565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引发和热引发合成离子凝胶的条件严格且生物相容性差。此外，对于离子凝胶来说，同时实现高机械强度和强粘合强度仍然很困难。在此，我们报告了一种生物离子液体诱导的由液态金属介导的快速原位聚合的自引发策略，该策略能够制造具有良好生物相容性和强大界面粘附力的坚韧离子凝胶。苹果酸/L-(-)-肉碱基离子液体破坏了液态金属的表面氧化层，加速了原位聚合，同时通过与聚合物的强可逆相互作用构建了动态拓扑网络。这赋予了离子凝胶高断裂强度 (7.2 MPa)、韧性 (41.7 MJ m</w:t>
      </w:r>
      <w:r>
        <w:t xml:space="preserve"> </w:t>
      </w:r>
      <w:r>
        <w:t>−3</w:t>
      </w:r>
      <w:r>
        <w:t xml:space="preserve"> </w:t>
      </w:r>
      <w:r>
        <w:t>）和强附着力（在玻璃上为 7.6 MPa）。离子凝胶表现出光热响应性，实现热可逆粘附和实时粘附状态监测。由于良好的组织粘附性，离子凝胶可以作为生物电极来稳定采集生理信号。这项工作为智能粘合剂和生物电子学应用中离子凝胶的合理设计提供了有意义的指导。</w:t>
      </w:r>
    </w:p>
    <w:p>
      <w:pPr>
        <w:spacing w:before="0" w:after="200" w:lineRule="auto" w:line="276"/>
      </w:pPr>
      <w:r>
        <w:rPr>
          <w:b/>
        </w:rPr>
        <w:t xml:space="preserve">Abstract (EN): </w:t>
      </w:r>
      <w:r>
        <w:t>Synthesis of ionogels by photoinitiation and thermal initiation suffers from strict conditions and poor biocompatibility. In addition, achieving high mechanical strength and strong adhesive strength simultaneously remains difficult for ionogels. Herein, we report a bio‐ionic liquid‐induced self‐initiated strategy for the rapid and in situ polymerization mediated by liquid metal, which enables the fabrication of tough ionogels with favorable biocompatibility and robust interfacial adhesion. The malic acid/L‐(−)‐carnitine‐based ionic liquid disrupted the surface oxide layer of the liquid metal to accelerate in situ polymerization while simultaneously constructing a dynamic topological network through strong, reversible interactions with the polymer. This endowed the ionogel with high fracture strength (7.2 MPa), toughness (41.7 MJ m</w:t>
      </w:r>
      <w:r>
        <w:t xml:space="preserve"> </w:t>
      </w:r>
      <w:r>
        <w:t>−3</w:t>
      </w:r>
      <w:r>
        <w:t xml:space="preserve"> </w:t>
      </w:r>
      <w:r>
        <w:t>), and strong adhesion (7.6 MPa on glass). Ionogels exhibited photothermal responsiveness, enabling thermally reversible adhesion and real‐time adhesion states monitoring. Owing to good tissue adhesion, ionogels served as bioelectrodes for stable acquisition of physiological signals. This work offers meaningful guidance for the rational design of ionogels for applications in intelligent adhesives and bioelectronics.</w:t>
      </w:r>
    </w:p>
    <w:p>
      <w:pPr>
        <w:spacing w:before="120" w:after="120"/>
      </w:pPr>
      <w:r>
        <w:rPr>
          <w:sz w:val="18"/>
        </w:rPr>
        <w:t>——————————————————————————————————————————————————————————————————————</w:t>
      </w:r>
    </w:p>
    <w:p>
      <w:pPr>
        <w:spacing w:before="160" w:after="40" w:line="240" w:lineRule="auto"/>
      </w:pPr>
      <w:r>
        <w:rPr>
          <w:b/>
        </w:rPr>
        <w:t xml:space="preserve">[99] </w:t>
      </w:r>
      <w:hyperlink r:id="rId463">
        <w:r>
          <w:rPr>
            <w:color w:val="1155CC"/>
            <w:u w:val="single"/>
          </w:rPr>
          <w:t>用于 3D 细胞系统的机械可编程 DNA 水凝胶微粒</w:t>
        </w:r>
      </w:hyperlink>
    </w:p>
    <w:p>
      <w:pPr>
        <w:spacing w:before="0" w:after="80"/>
      </w:pPr>
      <w:r>
        <w:rPr>
          <w:i/>
          <w:sz w:val="20"/>
        </w:rPr>
        <w:t>EN: Mechanically Programmable DNA Hydrogel Microparticles for 3D Cellular Systems</w:t>
      </w:r>
    </w:p>
    <w:p>
      <w:pPr>
        <w:spacing w:before="0" w:after="120"/>
      </w:pPr>
      <w:r>
        <w:rPr>
          <w:b/>
        </w:rPr>
        <w:t xml:space="preserve">Source: </w:t>
      </w:r>
      <w:r>
        <w:t>Wiley: Advanced Materials: Table of Contents</w:t>
      </w:r>
      <w:r>
        <w:t xml:space="preserve">    </w:t>
      </w:r>
      <w:r>
        <w:rPr>
          <w:b/>
        </w:rPr>
        <w:t xml:space="preserve">Pub date: </w:t>
      </w:r>
      <w:r>
        <w:t>2026-06-01 06:33:48+00:00</w:t>
      </w:r>
      <w:r>
        <w:t xml:space="preserve">    </w:t>
      </w:r>
      <w:r>
        <w:rPr>
          <w:b/>
        </w:rPr>
        <w:t xml:space="preserve">DOI: </w:t>
      </w:r>
      <w:hyperlink r:id="rId464">
        <w:r>
          <w:rPr>
            <w:color w:val="1155CC"/>
            <w:u w:val="single"/>
          </w:rPr>
          <w:t>10.1002/adma.202514218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水凝胶微粒 (HMP) 是研究和操纵 3D 细胞培养系统和动物模型中细胞行为的强大工具。在这里，提出了完全基于 DNA 的 HMP，其材料特性可以通过自组装 DNA 纳米结构的序列可编程设计来精确调节。这些 DNA-HMP 可控制尺寸、刚度、粘弹性和配体呈递。它们是通过微流体封装两种类型的正交 DNA 纳米星和油包水滴中的序列互补 DNA 连接体而形成的。通过改变 DNA 纳米星设计的化合价，可实现可调的机械性能——杨氏模量跨越三个数量级，具有独特的粘弹性行为。基于点击化学的小纤连蛋白衍生肽环-RGD (c[RGD]) 的功能化能够整合到成纤维细胞球体中。 DNA-HMP 在球体中稳定保留数天并进行重塑，表明细胞和 DNA-HMP 之间存在活跃的相互作用。这些 DNA-HMP 将可编程材料特性和 DNA 固有的生物相容性与简单的功能化和刺激响应性相结合，成为探测和操纵 3D 细胞培养物中组织行为的多功能工具。</w:t>
      </w:r>
    </w:p>
    <w:p>
      <w:pPr>
        <w:spacing w:before="0" w:after="200" w:lineRule="auto" w:line="276"/>
      </w:pPr>
      <w:r>
        <w:rPr>
          <w:b/>
        </w:rPr>
        <w:t xml:space="preserve">Abstract (EN): </w:t>
      </w:r>
      <w:r>
        <w:t>Hydrogel microparticles (HMPs) are powerful tools to study and manipulate cellular behavior in 3D cell culture systems and animal models. Here, fully DNA‐based HMPs are presented, whose material properties can be precisely tuned by sequence‐programmable design of self‐assembling DNA nanostructures. These DNA‐HMPs offer control over size, stiffness, viscoelasticity and ligand presentation. They are formed by microfluidic encapsulation of two types of orthogonal DNA nanostars and a sequence‐complementary DNA linker in water‐in‐oil droplets. By varying the valency of the DNA nanostar designs, tunable mechanical properties are achieved – spanning three orders of magnitude in Young's modulus from  to  with distinct viscoelastic behavior. Click‐chemistry based functionalization with the small fibronectin‐derived peptide cyclic‐RGD (c[RGD]) enables integration into fibroblast spheroids. DNA‐HMPs are stably retained within the spheroids for several days and undergo remodeling, indicating active interactions between the cells and the DNA‐HMPs. Combining programmable material properties and inherent biocompatibility of DNA with straightforward functionalization and stimuli‐responsiveness, these DNA‐HMPs represent a versatile tool to probe and manipulate tissue behaviors in 3D cell cultures.</w:t>
      </w:r>
    </w:p>
    <w:p>
      <w:pPr>
        <w:spacing w:before="120" w:after="120"/>
      </w:pPr>
      <w:r>
        <w:rPr>
          <w:sz w:val="18"/>
        </w:rPr>
        <w:t>——————————————————————————————————————————————————————————————————————</w:t>
      </w:r>
    </w:p>
    <w:p>
      <w:pPr>
        <w:spacing w:before="160" w:after="40" w:line="240" w:lineRule="auto"/>
      </w:pPr>
      <w:r>
        <w:rPr>
          <w:b/>
        </w:rPr>
        <w:t xml:space="preserve">[100] </w:t>
      </w:r>
      <w:hyperlink r:id="rId465">
        <w:r>
          <w:rPr>
            <w:color w:val="1155CC"/>
            <w:u w:val="single"/>
          </w:rPr>
          <w:t>用于可编程和精确蛋白质递送的纳米生物界面的分子工程</w:t>
        </w:r>
      </w:hyperlink>
    </w:p>
    <w:p>
      <w:pPr>
        <w:spacing w:before="0" w:after="80"/>
      </w:pPr>
      <w:r>
        <w:rPr>
          <w:i/>
          <w:sz w:val="20"/>
        </w:rPr>
        <w:t>EN: Molecular Engineering of the Nano‐Bio Interface for Programmable and Precision Protein Delivery</w:t>
      </w:r>
    </w:p>
    <w:p>
      <w:pPr>
        <w:spacing w:before="0" w:after="120"/>
      </w:pPr>
      <w:r>
        <w:rPr>
          <w:b/>
        </w:rPr>
        <w:t xml:space="preserve">Source: </w:t>
      </w:r>
      <w:r>
        <w:t>Wiley: Advanced Materials: Table of Contents</w:t>
      </w:r>
      <w:r>
        <w:t xml:space="preserve">    </w:t>
      </w:r>
      <w:r>
        <w:rPr>
          <w:b/>
        </w:rPr>
        <w:t xml:space="preserve">Pub date: </w:t>
      </w:r>
      <w:r>
        <w:t>2026-06-01 06:37:57+00:00</w:t>
      </w:r>
      <w:r>
        <w:t xml:space="preserve">    </w:t>
      </w:r>
      <w:r>
        <w:rPr>
          <w:b/>
        </w:rPr>
        <w:t xml:space="preserve">DOI: </w:t>
      </w:r>
      <w:hyperlink r:id="rId466">
        <w:r>
          <w:rPr>
            <w:color w:val="1155CC"/>
            <w:u w:val="single"/>
          </w:rPr>
          <w:t>10.1002/adma.73544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蛋白质疗法为解决复杂的病理学问题提供了无与伦比的特异性和直接的生物活性；然而，它们巨大的治疗潜力从根本上受到内在结构脆弱性和细胞膜不可渗透性的强大屏障的限制。这篇综述描述了纳米颗粒介导的蛋白质递送的革命性范式转变，其中先进的分子工程能够精确协调纳米生物界面和卓越的时空分辨率。我们系统地总结了各种尖端纳米平台，包括脂质纳米颗粒、聚合物组件、多孔纳米材料和超分子结构，强调了它们的化学成分和结构基序如何定制以克服多尺度的生理障碍。重点放在高效蛋白质封装、器官选择性靶向以及从内体隔离到胞质释放的关键转变方面的战略创新，所有这些对于最大化治疗效力都至关重要。此外，我们批判性地解决当前组织特异性递送的挑战，并展望未来的前沿，例如人工智能（AI）驱动的纳米载体发现、长期生物安全、制造和临床转化之路。通过将材料化学与蛋白质的复杂细胞生物学联系起来，这篇综述为下一代递送系统提供了一个富有远见的路线图，旨在重新定义蛋白质-b的前景</w:t>
      </w:r>
    </w:p>
    <w:p>
      <w:pPr>
        <w:spacing w:before="0" w:after="200" w:lineRule="auto" w:line="276"/>
      </w:pPr>
      <w:r>
        <w:rPr>
          <w:b/>
        </w:rPr>
        <w:t xml:space="preserve">Abstract (EN): </w:t>
      </w:r>
      <w:r>
        <w:t>Protein therapeutics offer unparalleled specificity and immediate bioactivity for addressing complex pathologies; however, their vast therapeutic potential is fundamentally constrained by intrinsic structural vulnerability and the formidable barrier of cellular membrane impermeability. This review delineates the transformative paradigm shift in nanoparticle‐mediated protein delivery, where advanced molecular engineering enables the precise orchestration of the nano‐bio interface and exceptional spatiotemporal resolution. We systematically summarize a diverse repertoire of cutting‐edge nanoplatforms—including lipid nanoparticles, polymeric assemblies, porous nanomaterials, and supramolecular architectures—highlighting how their chemical compositions and structural motifs are tailored to navigate multi‐scale physiological barriers. A central emphasis is placed on strategic innovations in high‐efficiency protein encapsulation, organ‐selective targeting, and the critical transition from endosomal sequestration to cytosolic liberation, all of which are pivotal for maximizing therapeutic potency. Furthermore, we critically address the current challenges in tissue‐specific delivery and envision future frontiers, such as artificial intelligence (AI)‐driven nanocarrier discovery, long‐term biosafety, the path toward manufacture and clinical translation. By bridging materials chemistry with the complex cell biology of proteins, this review provides a visionary roadmap for the next generation of delivery systems, aiming to redefine the landscape of protein‐based molecular medicine.</w:t>
      </w:r>
    </w:p>
    <w:p>
      <w:pPr>
        <w:spacing w:before="120" w:after="120"/>
      </w:pPr>
      <w:r>
        <w:rPr>
          <w:sz w:val="18"/>
        </w:rPr>
        <w:t>——————————————————————————————————————————————————————————————————————</w:t>
      </w:r>
    </w:p>
    <w:p>
      <w:pPr>
        <w:spacing w:before="160" w:after="40" w:line="240" w:lineRule="auto"/>
      </w:pPr>
      <w:r>
        <w:rPr>
          <w:b/>
        </w:rPr>
        <w:t xml:space="preserve">[101] </w:t>
      </w:r>
      <w:hyperlink r:id="rId467">
        <w:r>
          <w:rPr>
            <w:color w:val="1155CC"/>
            <w:u w:val="single"/>
          </w:rPr>
          <w:t>合成果胶-纤维素纳米纤维胶囊重现了再生植物细胞壁的机械特性</w:t>
        </w:r>
      </w:hyperlink>
    </w:p>
    <w:p>
      <w:pPr>
        <w:spacing w:before="0" w:after="80"/>
      </w:pPr>
      <w:r>
        <w:rPr>
          <w:i/>
          <w:sz w:val="20"/>
        </w:rPr>
        <w:t>EN: Synthetic pectin–cellulose nanofiber capsule recapitulates the mechanical properties of a regenerating plant cell wall</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68">
        <w:r>
          <w:rPr>
            <w:color w:val="1155CC"/>
            <w:u w:val="single"/>
          </w:rPr>
          <w:t>10.1073/pnas.2528515123</w:t>
        </w:r>
      </w:hyperlink>
    </w:p>
    <w:p>
      <w:pPr>
        <w:spacing w:before="0" w:after="120"/>
      </w:pPr>
      <w:r>
        <w:rPr>
          <w:b/>
        </w:rPr>
        <w:t xml:space="preserve">Notes: </w:t>
      </w:r>
      <w:r>
        <w:t>abstract_source=crossref</w:t>
      </w:r>
    </w:p>
    <w:p>
      <w:pPr>
        <w:spacing w:before="0" w:after="80" w:lineRule="auto" w:line="276"/>
      </w:pPr>
      <w:r>
        <w:rPr>
          <w:b/>
        </w:rPr>
        <w:t xml:space="preserve">摘要（ZH）: </w:t>
      </w:r>
      <w:r>
        <w:t>植物初生细胞壁是由层状纤维素、半纤维素和果胶组成的动态超分子组件，通过合成和分泌逐渐构建。然而，足以赋予墙体机械性能的具体建筑特征和结构组件仍不清楚。在这里，我们构建了一个最小的合成球壳，并将其结构和机械性能与植物单细胞系统的结构和机械性能进行了比较。为了消除细胞间连接和发育历史的复杂性，我们利用植物原生质体从头再生细胞壁的能力。平行板之间再生原生质体的压缩测试表明，随着时间的推移，壁的刚度随着壁的增厚而增加。尽管组装路径、结构和成分存在差异，但合成壳体表现出相似的厚度相关模量和相似的材料刚度。合成壳主要由果胶和纤维素纳米纤维组成，反映了再生初生细胞壁的机械行为，表明这些成分在小压缩变形限制下赋予关键机械性能方面发挥着重要作用。扩展这种比较方法应该可以识别控制壁行为的组件相互作用的相似性和差异。</w:t>
      </w:r>
    </w:p>
    <w:p>
      <w:pPr>
        <w:spacing w:before="0" w:after="200" w:lineRule="auto" w:line="276"/>
      </w:pPr>
      <w:r>
        <w:rPr>
          <w:b/>
        </w:rPr>
        <w:t xml:space="preserve">Abstract (EN): </w:t>
      </w:r>
      <w:r>
        <w:t>Plant primary cell walls are dynamic supramolecular assemblies composed of layered cellulose, hemicellulose, and pectin, progressively built through synthesis and secretion. However, the specific architectural features and structural components sufficient to endow the mechanical properties of the wall remain unclear. Here, we construct a minimal synthetic spherical shell and compare its structural and mechanical properties to those of a plant single-cell system. To eliminate complexities from intercellular connectivity and developmental history, we exploit the ability of plant protoplasts to regenerate cell walls de novo. Compression tests of regenerating protoplasts between parallel plates reveal that wall stiffness increases with wall thickening over time. Despite differences in assembly pathways, architecture, and composition, the synthetic shell exhibits a similar thickness-dependent modulus and similar material stiffness. The synthetic shell, mainly composed of pectin and cellulose nanofibers, mirrors the mechanical behavior of regenerating primary cell walls, suggesting that these components play a major role in conferring key mechanical properties in the limit of compressive small deformations. Extending this comparative approach should allow similarities and differences in component interactions in controlling wall behavior to be identified.</w:t>
      </w:r>
    </w:p>
    <w:p>
      <w:pPr>
        <w:spacing w:before="120" w:after="120"/>
      </w:pPr>
      <w:r>
        <w:rPr>
          <w:sz w:val="18"/>
        </w:rPr>
        <w:t>——————————————————————————————————————————————————————————————————————</w:t>
      </w:r>
    </w:p>
    <w:p>
      <w:pPr>
        <w:spacing w:before="160" w:after="40" w:line="240" w:lineRule="auto"/>
      </w:pPr>
      <w:r>
        <w:rPr>
          <w:b/>
        </w:rPr>
        <w:t xml:space="preserve">[102] </w:t>
      </w:r>
      <w:hyperlink r:id="rId469">
        <w:r>
          <w:rPr>
            <w:color w:val="1155CC"/>
            <w:u w:val="single"/>
          </w:rPr>
          <w:t>根据社区知识、海岸测绘和冰川均衡调整模型，未来海平面变化对格陵兰岛的影响</w:t>
        </w:r>
      </w:hyperlink>
    </w:p>
    <w:p>
      <w:pPr>
        <w:spacing w:before="0" w:after="80"/>
      </w:pPr>
      <w:r>
        <w:rPr>
          <w:i/>
          <w:sz w:val="20"/>
        </w:rPr>
        <w:t>EN: Impacts of future sea level change on Greenland from community knowledge, coastal mapping, and glacial isostatic adjustment models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70">
        <w:r>
          <w:rPr>
            <w:color w:val="1155CC"/>
            <w:u w:val="single"/>
          </w:rPr>
          <w:t>10.1073/pnas.2528615123</w:t>
        </w:r>
      </w:hyperlink>
    </w:p>
    <w:p>
      <w:pPr>
        <w:spacing w:before="0" w:after="120"/>
      </w:pPr>
      <w:r>
        <w:rPr>
          <w:b/>
        </w:rPr>
        <w:t xml:space="preserve">Notes: </w:t>
      </w:r>
      <w:r>
        <w:t>abstract_source=crossref</w:t>
      </w:r>
    </w:p>
    <w:p>
      <w:pPr>
        <w:spacing w:before="0" w:after="80" w:lineRule="auto" w:line="276"/>
      </w:pPr>
      <w:r>
        <w:rPr>
          <w:b/>
        </w:rPr>
        <w:t xml:space="preserve">摘要（ZH）: </w:t>
      </w:r>
      <w:r>
        <w:t>对与各个社区相关的全球变化进行预测是一项严峻的挑战，特别是在当地影响与全球预测存在差异的情况下。尽管全球海平面正在上升，但在格陵兰岛，由于陆地反弹和海面下降以及过去和未来冰损失造成的冰川均衡调整的后果，预计海平面将在下个世纪下降。在这里，我们展示了美国和格陵兰岛科学伙伴关系的成果，该伙伴关系与西格陵兰岛 Aasiaat 社区合作，以确定未来海平面变化的影响，预计到公元 2100 年，海平面将下降 0.41 至 0.93 m。通过协作设计、进行和解释多波束测深调查，并结合有针对性的冰川均衡调整模型，我们确定了受海平面下降影响最严重的区域。我们确定了两个浅水河道，当水位低于临界深度阈值时，航行和营养循环就会受到干扰。为了使这些预测发挥作用，我们建立了沟通途径，通过与社区成员、政府官员和学生的接触，在广泛的利益群体中有效地分享研究结果。这种协作设计的观测、当地有针对性的影响建模以及综合正式和非正式沟通的多管齐下的方法可以扩展到世界各地面临环境挑战的沿海社区。</w:t>
      </w:r>
    </w:p>
    <w:p>
      <w:pPr>
        <w:spacing w:before="0" w:after="200" w:lineRule="auto" w:line="276"/>
      </w:pPr>
      <w:r>
        <w:rPr>
          <w:b/>
        </w:rPr>
        <w:t xml:space="preserve">Abstract (EN): </w:t>
      </w:r>
      <w:r>
        <w:t>Making predictions of global change relevant to individual communities is a critical challenge, especially where local impacts diverge from global predictions. While sea level is rising globally, in Greenland, sea level is predicted to fall over the coming century due to land rebound and sea surface lowering, consequences of glacial isostatic adjustment from both past and future ice loss. Here we present results of a US and Greenland scientific partnership, working with the community of Aasiaat, West Greenland, to identify the impacts of future sea level change where sea level is projected to fall 0.41 to 0.93 m by 2100 CE. Through collaboratively designed, conducted, and interpreted multibeam bathymetry surveys combined with targeted glacial isostatic adjustment models, we identify areas that will be most impacted by sea level fall. We identify two shallow channels where disruption to navigation and nutrient cycles will occur when water level falls beneath critical depth thresholds. To make these predictions useful we established communication pathways to share findings effectively across a broad array of interest groups by engaging with community members, government officials, and students. This multipronged approach of collaboratively designed observations, locally targeted impact modeling and integrated formal and informal communication can be expanded to coastal communities facing environmental challenges around the world.</w:t>
      </w:r>
    </w:p>
    <w:p>
      <w:pPr>
        <w:spacing w:before="120" w:after="120"/>
      </w:pPr>
      <w:r>
        <w:rPr>
          <w:sz w:val="18"/>
        </w:rPr>
        <w:t>——————————————————————————————————————————————————————————————————————</w:t>
      </w:r>
    </w:p>
    <w:p>
      <w:pPr>
        <w:spacing w:before="160" w:after="40" w:line="240" w:lineRule="auto"/>
      </w:pPr>
      <w:r>
        <w:rPr>
          <w:b/>
        </w:rPr>
        <w:t xml:space="preserve">[103] </w:t>
      </w:r>
      <w:hyperlink r:id="rId471">
        <w:r>
          <w:rPr>
            <w:color w:val="1155CC"/>
            <w:u w:val="single"/>
          </w:rPr>
          <w:t>miR-146a 是运动神经元变性的多效性调节因子</w:t>
        </w:r>
      </w:hyperlink>
    </w:p>
    <w:p>
      <w:pPr>
        <w:spacing w:before="0" w:after="80"/>
      </w:pPr>
      <w:r>
        <w:rPr>
          <w:i/>
          <w:sz w:val="20"/>
        </w:rPr>
        <w:t>EN: miR-146a is a pleiotropic regulator of motor neuron degeneration</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72">
        <w:r>
          <w:rPr>
            <w:color w:val="1155CC"/>
            <w:u w:val="single"/>
          </w:rPr>
          <w:t>10.1073/pnas.2526314123</w:t>
        </w:r>
      </w:hyperlink>
    </w:p>
    <w:p>
      <w:pPr>
        <w:spacing w:before="0" w:after="120"/>
      </w:pPr>
      <w:r>
        <w:rPr>
          <w:b/>
        </w:rPr>
        <w:t xml:space="preserve">Notes: </w:t>
      </w:r>
      <w:r>
        <w:t>abstract_source=crossref</w:t>
      </w:r>
    </w:p>
    <w:p>
      <w:pPr>
        <w:spacing w:before="0" w:after="80" w:lineRule="auto" w:line="276"/>
      </w:pPr>
      <w:r>
        <w:rPr>
          <w:b/>
        </w:rPr>
        <w:t xml:space="preserve">摘要（ZH）: </w:t>
      </w:r>
      <w:r>
        <w:t>肌萎缩侧索硬化症（ALS）是一种影响运动神经元的进行性神经退行性疾病。在这里，我们对体内运动神经元变性过程中的运动神经元 microRNA (miRNA) 进行了分析，以更好地了解 ALS 病理生理学。我们证明，尽管在大块组织中上调，但一种 miRNA miR-146a 在患病运动神经元中下调。 miR-146a 的基因缺失显着延长了 SOD1 的存活时间</w:t>
      </w:r>
      <w:r>
        <w:t xml:space="preserve"> </w:t>
      </w:r>
      <w:r>
        <w:t>G93A</w:t>
      </w:r>
      <w:r>
        <w:t xml:space="preserve"> </w:t>
      </w:r>
      <w:r>
        <w:t>具有杂合动物的小鼠表现出最大的益处。观察到脊髓神经胶质增生相应减少，但运动神经元损失没有减少。最后，我们观察到一部分 miR-146a 敲除动物随着年龄的增长会出现自发性瘫痪、运动神经元丧失和慢性神经炎症。这些发现共同表明，单个 miRNA 影响运动神经元疾病的多个方面，并强调了神经炎症在 ALS 发病机制中的复杂作用。</w:t>
      </w:r>
    </w:p>
    <w:p>
      <w:pPr>
        <w:spacing w:before="0" w:after="200" w:lineRule="auto" w:line="276"/>
      </w:pPr>
      <w:r>
        <w:rPr>
          <w:b/>
        </w:rPr>
        <w:t xml:space="preserve">Abstract (EN): </w:t>
      </w:r>
      <w:r>
        <w:t>Amyotrophic lateral sclerosis (ALS) is a progressive neurodegenerative disease affecting motor neurons. Here, we have profiled motor neuron microRNAs (miRNAs) during motor neuron degeneration in vivo to gain a better understanding of ALS pathophysiology. We demonstrate that one miRNA, miR-146a, is downregulated in diseased motor neurons despite upregulation in bulk tissue. Genetic deletion of miR-146a significantly extended survival in SOD1</w:t>
      </w:r>
      <w:r>
        <w:t xml:space="preserve"> </w:t>
      </w:r>
      <w:r>
        <w:t>G93A</w:t>
      </w:r>
      <w:r>
        <w:t xml:space="preserve"> </w:t>
      </w:r>
      <w:r>
        <w:t>mice with heterozygous animals demonstrating the largest benefit. A corresponding reduction in spinal cord gliosis but not motor neuron loss was observed. Finally, we observed that a proportion of miR-146a knockout animals develop spontaneous paralysis, motor neuron loss and chronic neuroinflammation with advanced age. Together these findings demonstrate that a single miRNA influences multiple aspects of motor neuron disease and highlights the complex role for neuroinflammation in ALS pathogenesis.</w:t>
      </w:r>
    </w:p>
    <w:p>
      <w:pPr>
        <w:spacing w:before="120" w:after="120"/>
      </w:pPr>
      <w:r>
        <w:rPr>
          <w:sz w:val="18"/>
        </w:rPr>
        <w:t>——————————————————————————————————————————————————————————————————————</w:t>
      </w:r>
    </w:p>
    <w:p>
      <w:pPr>
        <w:spacing w:before="160" w:after="40" w:line="240" w:lineRule="auto"/>
      </w:pPr>
      <w:r>
        <w:rPr>
          <w:b/>
        </w:rPr>
        <w:t xml:space="preserve">[104] </w:t>
      </w:r>
      <w:hyperlink r:id="rId473">
        <w:r>
          <w:rPr>
            <w:color w:val="1155CC"/>
            <w:u w:val="single"/>
          </w:rPr>
          <w:t>非洲国家的气候变化、不平等和儿童发育迟缓</w:t>
        </w:r>
      </w:hyperlink>
    </w:p>
    <w:p>
      <w:pPr>
        <w:spacing w:before="0" w:after="80"/>
      </w:pPr>
      <w:r>
        <w:rPr>
          <w:i/>
          <w:sz w:val="20"/>
        </w:rPr>
        <w:t>EN: Climate change, inequality, and childhood stunting in African countries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74">
        <w:r>
          <w:rPr>
            <w:color w:val="1155CC"/>
            <w:u w:val="single"/>
          </w:rPr>
          <w:t>10.1073/pnas.2518179123</w:t>
        </w:r>
      </w:hyperlink>
    </w:p>
    <w:p>
      <w:pPr>
        <w:spacing w:before="0" w:after="120"/>
      </w:pPr>
      <w:r>
        <w:rPr>
          <w:b/>
        </w:rPr>
        <w:t xml:space="preserve">Notes: </w:t>
      </w:r>
      <w:r>
        <w:t>abstract_source=crossref</w:t>
      </w:r>
    </w:p>
    <w:p>
      <w:pPr>
        <w:spacing w:before="0" w:after="80" w:lineRule="auto" w:line="276"/>
      </w:pPr>
      <w:r>
        <w:rPr>
          <w:b/>
        </w:rPr>
        <w:t xml:space="preserve">摘要（ZH）: </w:t>
      </w:r>
      <w:r>
        <w:t>儿童发育迟缓与死亡率增加、慢性病风险增加、认知发展受损、受教育程度降低、经济机会减少以及发育迟缓的代际传播有关。随着气候变化加剧营养不良的主要驱动因素，这些风险可能会加剧，因此了解气温上升如何影响发育迟缓以及社会经济不平等在这种关系中的作用非常重要。我们利用人口与健康调查 (DHS) 分析了 34 个非洲国家 2004 年至 2020 年的数据，将 ERA5 再分析中观察到的温度变化与检测和归因模型比对项目 (DAMIP) 模拟中得出的人为温度异常相结合。使用中介框架，我们研究了温度异常、不平等和儿童发育迟缓之间的联系途径。基于观测到的温度异常的结果表明，气候对发育迟缓或不平等没有直接影响，但不平等与发育迟缓之间存在正相关且具有统计显着性的关联。相比之下，人为温度异常与不平等和发育迟缓呈正相关，温度升高 1 °C，儿童发育迟缓率增加 3.45%（SE = 1.52，</w:t>
      </w:r>
      <w:r>
        <w:t xml:space="preserve"> </w:t>
      </w:r>
      <w:r>
        <w:t>磷</w:t>
      </w:r>
      <w:r>
        <w:t xml:space="preserve"> </w:t>
      </w:r>
      <w:r>
        <w:t>= 0.023），没有证据表明通过不平等进行调解。值得注意的是，我们发现不同规格的不平等和发育迟缓之间存在一致的正相关关系。这些发现表明，减少不平等，再加上对教育、卫生和家庭复原力的投资，可以实质性地促进经济增长。</w:t>
      </w:r>
    </w:p>
    <w:p>
      <w:pPr>
        <w:spacing w:before="0" w:after="200" w:lineRule="auto" w:line="276"/>
      </w:pPr>
      <w:r>
        <w:rPr>
          <w:b/>
        </w:rPr>
        <w:t xml:space="preserve">Abstract (EN): </w:t>
      </w:r>
      <w:r>
        <w:t>Childhood stunting is associated with increased mortality, higher risk of chronic disease, impaired cognitive development, lower educational attainment, reduced economic opportunities, and intergenerational transmission of stunting. These risks are likely to intensify as climate change exacerbates key drivers of undernutrition, making it important to understand how rising temperatures affect stunting and the role of socioeconomic inequality in this relationship. We analyze data from 34 African countries from 2004 to 2020 using Demographic and Health Surveys (DHS), combining observed temperature variability from ERA5 reanalysis with anthropogenic temperature anomalies derived from Detection and Attribution Model Intercomparison Project (DAMIP) simulations. Using a mediation framework, we examine pathways linking temperature anomalies, inequality, and child stunting. Results based on observed temperature anomalies show no direct climate effect on stunting or inequality, but a positive and statistically significant association between inequality and stunting. In contrast, anthropogenic temperature anomalies are positively associated with inequality and stunting, with a 1 °C increase linked to a 3.45% rise in child stunting (SE = 1.52,</w:t>
      </w:r>
      <w:r>
        <w:t xml:space="preserve"> </w:t>
      </w:r>
      <w:r>
        <w:t>P</w:t>
      </w:r>
      <w:r>
        <w:t xml:space="preserve"> </w:t>
      </w:r>
      <w:r>
        <w:t>= 0.023), with no evidence of mediation through inequality. Notably, we find a consistent positive association between inequality and stunting across specifications. These findings suggest that reducing inequality, together with investments in education, sanitation, and household resilience, could substantially lower stunting rates and protect child health in a warming world.</w:t>
      </w:r>
    </w:p>
    <w:p>
      <w:pPr>
        <w:spacing w:before="120" w:after="120"/>
      </w:pPr>
      <w:r>
        <w:rPr>
          <w:sz w:val="18"/>
        </w:rPr>
        <w:t>——————————————————————————————————————————————————————————————————————</w:t>
      </w:r>
    </w:p>
    <w:p>
      <w:pPr>
        <w:spacing w:before="160" w:after="40" w:line="240" w:lineRule="auto"/>
      </w:pPr>
      <w:r>
        <w:rPr>
          <w:b/>
        </w:rPr>
        <w:t xml:space="preserve">[105] </w:t>
      </w:r>
      <w:hyperlink r:id="rId475">
        <w:r>
          <w:rPr>
            <w:color w:val="1155CC"/>
            <w:u w:val="single"/>
          </w:rPr>
          <w:t>规范和变体 PRC1 在功能上与 PRC2 靶标一致，以调节小鼠肢体发育过程中的转录程序</w:t>
        </w:r>
      </w:hyperlink>
    </w:p>
    <w:p>
      <w:pPr>
        <w:spacing w:before="0" w:after="80"/>
      </w:pPr>
      <w:r>
        <w:rPr>
          <w:i/>
          <w:sz w:val="20"/>
        </w:rPr>
        <w:t>EN: Canonical and variant PRC1 functionally converge on PRC2 targets to regulate transcriptional programs during mouse limb 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76">
        <w:r>
          <w:rPr>
            <w:color w:val="1155CC"/>
            <w:u w:val="single"/>
          </w:rPr>
          <w:t>10.1073/pnas.2514963123</w:t>
        </w:r>
      </w:hyperlink>
    </w:p>
    <w:p>
      <w:pPr>
        <w:spacing w:before="0" w:after="120"/>
      </w:pPr>
      <w:r>
        <w:rPr>
          <w:b/>
        </w:rPr>
        <w:t xml:space="preserve">Notes: </w:t>
      </w:r>
      <w:r>
        <w:t>abstract_source=crossref</w:t>
      </w:r>
    </w:p>
    <w:p>
      <w:pPr>
        <w:spacing w:before="0" w:after="80" w:lineRule="auto" w:line="276"/>
      </w:pPr>
      <w:r>
        <w:rPr>
          <w:b/>
        </w:rPr>
        <w:t xml:space="preserve">摘要（ZH）: </w:t>
      </w:r>
      <w:r>
        <w:t>发育中的肢体是研究模式形成的遗传方面和组织分化机制的经典模型系统。肢芽发育过程中从早期细胞命运向分化细胞命运的转变需要基因激活和沉默程序的精确空间和时间调节。然而，早期基因的转录沉默是如何实现的仍然知之甚少。在这里，我们研究了多梳抑制复合物（PRC1 和 PRC2）在发育中的小鼠前肢转录转变中的作用。我们表明，从早期（E10）到晚期（E12.5远端）前肢阶段的进展与早期发育基因的启动子近端SUZ12占据的变化相关。有条件灭活</w:t>
      </w:r>
      <w:r>
        <w:t xml:space="preserve"> </w:t>
      </w:r>
      <w:r>
        <w:t>埃德</w:t>
      </w:r>
      <w:r>
        <w:t xml:space="preserve"> </w:t>
      </w:r>
      <w:r>
        <w:t>尽管 RING1B 和 H2AK119Ub 持续存在，但仍会导致早期基因的去抑制和异位远端表达。我们进一步发现 SUZ12/RING1B 共占据靶标也与包含 RYBP 的变体 PRC1 结合，表明规范和变体 PRC1 的平行招募。 EED 和 RING1B 联合失活的功能分析揭示了严重的肢体畸形和显着的基因去抑制，超过了单独 EED 或 RING1B 失活的效果。总之，我们的研究结果表明，规范和变异 PRC1 在关键发育位点的功能收敛是维持稳健的转录沉默和调节适当肢体形态发生所需的基因表达程序转变所必需的。</w:t>
      </w:r>
    </w:p>
    <w:p>
      <w:pPr>
        <w:spacing w:before="0" w:after="200" w:lineRule="auto" w:line="276"/>
      </w:pPr>
      <w:r>
        <w:rPr>
          <w:b/>
        </w:rPr>
        <w:t xml:space="preserve">Abstract (EN): </w:t>
      </w:r>
      <w:r>
        <w:t>The developing limb is a classical model system for studying genetic aspects of pattern formation and mechanisms underlying tissue differentiation. The transition from early to differentiated cell fates during limb bud development requires the precise spatial and temporal regulation of gene activation and silencing programs. However, how transcriptional silencing of early genes is achieved remains poorly understood. Here, we investigate the role of the Polycomb Repressive Complexes (PRC1 and PRC2) in this transcriptional transition in the developing mouse forelimb. We show that the progression from early (E10) to late (E12.5 distal) forelimb stages is associated with shifts in promoter-proximal SUZ12 occupancy at early developmental genes. Conditional inactivation of</w:t>
      </w:r>
      <w:r>
        <w:t xml:space="preserve"> </w:t>
      </w:r>
      <w:r>
        <w:t>Eed</w:t>
      </w:r>
      <w:r>
        <w:t xml:space="preserve"> </w:t>
      </w:r>
      <w:r>
        <w:t>results in derepression and ectopic distal expression of early genes, which occurs despite the persistence of RING1B and H2AK119Ub. We further identified that SUZ12/RING1B co-occupied targets were also bound by RYBP-containing variant PRC1, indicating parallel recruitment of canonical and variant PRC1. Functional analyses of the combined inactivation of EED and RING1B reveal severe limb malformations and significant gene derepression, exceeding the effects of single EED or RING1B inactivation. Together, our findings demonstrate that the functional convergence of canonical and variant PRC1 at key developmental loci is required to maintain robust transcriptional silencing and regulate transitions in gene expression programs required for proper limb morphogenesis.</w:t>
      </w:r>
    </w:p>
    <w:p>
      <w:pPr>
        <w:spacing w:before="120" w:after="120"/>
      </w:pPr>
      <w:r>
        <w:rPr>
          <w:sz w:val="18"/>
        </w:rPr>
        <w:t>——————————————————————————————————————————————————————————————————————</w:t>
      </w:r>
    </w:p>
    <w:p>
      <w:pPr>
        <w:spacing w:before="160" w:after="40" w:line="240" w:lineRule="auto"/>
      </w:pPr>
      <w:r>
        <w:rPr>
          <w:b/>
        </w:rPr>
        <w:t xml:space="preserve">[106] </w:t>
      </w:r>
      <w:hyperlink r:id="rId477">
        <w:r>
          <w:rPr>
            <w:color w:val="1155CC"/>
            <w:u w:val="single"/>
          </w:rPr>
          <w:t>解决费曼的餐厅问题揭示了最佳解决方案和人性化策略</w:t>
        </w:r>
      </w:hyperlink>
    </w:p>
    <w:p>
      <w:pPr>
        <w:spacing w:before="0" w:after="80"/>
      </w:pPr>
      <w:r>
        <w:rPr>
          <w:i/>
          <w:sz w:val="20"/>
        </w:rPr>
        <w:t>EN: Resolving Feynman’s restaurant problem reveals optimal solutions and human strategies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78">
        <w:r>
          <w:rPr>
            <w:color w:val="1155CC"/>
            <w:u w:val="single"/>
          </w:rPr>
          <w:t>10.1073/pnas.2509612123</w:t>
        </w:r>
      </w:hyperlink>
    </w:p>
    <w:p>
      <w:pPr>
        <w:spacing w:before="0" w:after="120"/>
      </w:pPr>
      <w:r>
        <w:rPr>
          <w:b/>
        </w:rPr>
        <w:t xml:space="preserve">Notes: </w:t>
      </w:r>
      <w:r>
        <w:t>abstract_source=crossref</w:t>
      </w:r>
    </w:p>
    <w:p>
      <w:pPr>
        <w:spacing w:before="0" w:after="80" w:lineRule="auto" w:line="276"/>
      </w:pPr>
      <w:r>
        <w:rPr>
          <w:b/>
        </w:rPr>
        <w:t xml:space="preserve">摘要（ZH）: </w:t>
      </w:r>
      <w:r>
        <w:t>20 世纪 70 年代，物理学家理查德·费曼 (Richard Feynman) 将与朋友共进午餐变成了一道数学问题，即如何在多餐中优化菜肴选择，但他的手写笔记几十年来一直是个谜。在这里，我们提出了完全破译的问题和解决方案，证明其最优性，将其推广到相关问题，并将结果与​​人类行为进行比较。最优策略指定了从探索新菜肴到开发最好菜肴的切换阈值，阈值根据菜肴质量的分布而变化。我们将这些结果与现有的关于最佳停止问题的心理学文献联系起来，该文献探索了费曼问题的密切变体，并利用我们对解决方案的概括来探索选项质量的潜在分布如何影响人们的选择。一项由 2,520 名参与者参与的预先注册实验表明，人们采用的阈值随着剩余试验的比例而线性下降，这与在其他最佳停止问题中观察到的线性阈值一致。然而，我们表明人们倾向于探索比线性阈值预测的更多的内容，并且不同的质量分布会导致阈值具有相同的斜率但截距不同。这些结果表明，人们以对潜在分布敏感的方式调整最佳停止任务中使用的线性阈值——我们展示的一种简单策略几乎与费曼的解决方案一样有效。</w:t>
      </w:r>
    </w:p>
    <w:p>
      <w:pPr>
        <w:spacing w:before="0" w:after="200" w:lineRule="auto" w:line="276"/>
      </w:pPr>
      <w:r>
        <w:rPr>
          <w:b/>
        </w:rPr>
        <w:t xml:space="preserve">Abstract (EN): </w:t>
      </w:r>
      <w:r>
        <w:t>In the 1970s, physicist Richard Feynman turned lunch with a friend into a math problem—how to optimize dish selection over multiple meals—but his handwritten notes remained a mystery for decades. Here we present the fully deciphered problem and solution, prove its optimality, generalize it to related problems, and compare the results to human behavior. The optimal policy specifies decreasing thresholds for switching from exploring new dishes to exploiting the best, with thresholds varying based on the distribution of the quality of dishes. We connect these results to the existing psychological literature on optimal stopping problems, which has explored close variants on Feynman’s problem, and use our generalization of the solution to explore how the underlying distribution of the quality of the options influences people’s choices. A preregistered experiment with 2,520 participants shows that people adopt thresholds that decrease linearly with the proportion of trials remaining, consistent with the observation of linear thresholds in other optimal stopping problems. However, we show that people tend to explore more than predicted by linear thresholds, and that different distributions of quality result in thresholds with the same slope but different intercepts. These results indicate that people adapt linear thresholds used in optimal stopping tasks in a way that is sensitive to the underlying distribution—a simple strategy that we show is nearly as effective as Feynman’s solution.</w:t>
      </w:r>
    </w:p>
    <w:p>
      <w:pPr>
        <w:spacing w:before="120" w:after="120"/>
      </w:pPr>
      <w:r>
        <w:rPr>
          <w:sz w:val="18"/>
        </w:rPr>
        <w:t>——————————————————————————————————————————————————————————————————————</w:t>
      </w:r>
    </w:p>
    <w:p>
      <w:pPr>
        <w:spacing w:before="160" w:after="40" w:line="240" w:lineRule="auto"/>
      </w:pPr>
      <w:r>
        <w:rPr>
          <w:b/>
        </w:rPr>
        <w:t xml:space="preserve">[107] </w:t>
      </w:r>
      <w:hyperlink r:id="rId479">
        <w:r>
          <w:rPr>
            <w:color w:val="1155CC"/>
            <w:u w:val="single"/>
          </w:rPr>
          <w:t>HLA 微多态性限制新抗原构象适应性并指导 T 细胞受体选择性</w:t>
        </w:r>
      </w:hyperlink>
    </w:p>
    <w:p>
      <w:pPr>
        <w:spacing w:before="0" w:after="80"/>
      </w:pPr>
      <w:r>
        <w:rPr>
          <w:i/>
          <w:sz w:val="20"/>
        </w:rPr>
        <w:t>EN: HLA micropolymorphisms confine neoantigen conformational adaptability and guide T cell receptor selectivity</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80">
        <w:r>
          <w:rPr>
            <w:color w:val="1155CC"/>
            <w:u w:val="single"/>
          </w:rPr>
          <w:t>10.1073/pnas.2602949123</w:t>
        </w:r>
      </w:hyperlink>
    </w:p>
    <w:p>
      <w:pPr>
        <w:spacing w:before="0" w:after="120"/>
      </w:pPr>
      <w:r>
        <w:rPr>
          <w:b/>
        </w:rPr>
        <w:t xml:space="preserve">Notes: </w:t>
      </w:r>
      <w:r>
        <w:t>abstract_source=crossref</w:t>
      </w:r>
    </w:p>
    <w:p>
      <w:pPr>
        <w:spacing w:before="0" w:after="80" w:lineRule="auto" w:line="276"/>
      </w:pPr>
      <w:r>
        <w:rPr>
          <w:b/>
        </w:rPr>
        <w:t xml:space="preserve">摘要（ZH）: </w:t>
      </w:r>
      <w:r>
        <w:t>高度多态性主要组织相容性复合体 (MHC) 蛋白对 T 细胞受体 (TCR) 的限制是细胞免疫的基础。尽管 MHC 多态性对肽结合和选择的影响已得到充分证实，但 MHC 超型内的微多态性如何影响免疫识别却知之甚少。在这里，我们确定了两个密切相关的 HLA-A3 超家族成员的微多态性控制 TCR 特异性的机制。我们之前表明，针对公共新抗原的 TCR 是由</w:t>
      </w:r>
      <w:r>
        <w:t xml:space="preserve"> </w:t>
      </w:r>
      <w:r>
        <w:t>PIK3CA</w:t>
      </w:r>
      <w:r>
        <w:t xml:space="preserve"> </w:t>
      </w:r>
      <w:r>
        <w:t>尽管两个等位基因具有相同的处理和呈递能力，但受 HLA-A*03:01 限制的致癌热点突变无法识别 HLA-A*03:02 背景下的相同表位。我们在这里发现，区分 A*03:02 和 A*03:01 的两种微多态性不是通过改变肽结合或静态结构来阻止 TCR 结合，而是通过改变新抗原的构象整体，防止其采取结合允许状态。这种效应的根源在于两个多态性位点如何与其他共变、进化耦合的多态性相互作用，反映了控制肽/HLA复合物构象适应性的相互作用的交叉沟网络。我们认为，多态性依赖性适应性反映了 I 类 MHC 蛋白的进化特征，进一步使表位多样化，并有助于 TCR 和其他免疫受体区分抗原。除了这种机械见解之外，我们的研究结果强调需要高</w:t>
      </w:r>
    </w:p>
    <w:p>
      <w:pPr>
        <w:spacing w:before="0" w:after="200" w:lineRule="auto" w:line="276"/>
      </w:pPr>
      <w:r>
        <w:rPr>
          <w:b/>
        </w:rPr>
        <w:t xml:space="preserve">Abstract (EN): </w:t>
      </w:r>
      <w:r>
        <w:t>T cell receptor (TCR) restriction by highly polymorphic major histocompatibility complex (MHC) proteins is a foundation of cellular immunity. Although the effects of MHC polymorphisms on peptide binding and selection are well established, how micropolymorphisms within MHC supertypes impact immune recognition is poorly understood. Here, we identified a mechanism through which the micropolymorphisms in two closely related HLA-A3 superfamily members govern TCR specificity. We previously showed that TCRs specific for a public neoantigen arising from a</w:t>
      </w:r>
      <w:r>
        <w:t xml:space="preserve"> </w:t>
      </w:r>
      <w:r>
        <w:t>PIK3CA</w:t>
      </w:r>
      <w:r>
        <w:t xml:space="preserve"> </w:t>
      </w:r>
      <w:r>
        <w:t>oncogenic hotspot mutation restricted by HLA-A*03:01 were unable to recognize the same epitope in the context of HLA-A*03:02 despite equivalent processing and presentation by both alleles. We found here that the two micropolymorphisms distinguishing A*03:02 from A*03:01 prevent TCR binding not by altering peptide binding or static structures, but by altering the conformational ensemble of the neoantigen, preventing it from adopting a binding-permissive state. The effect is rooted in how the two polymorphic sites interact with other covarying, evolutionarily coupled polymorphisms, reflecting a cross-groove network of interactions that controls the conformational adaptability of the peptide/HLA complex. We suggest polymorphism-dependent adaptability reflects an evolved feature of class I MHC proteins, further diversifying epitopes and contributing to how TCRs and other immunoreceptors differentiate between antigens. Beyond this mechanistic insight, our findings emphasize the need for high-resolution HLA typing in efforts across immunology, including antigen-specific immunotherapy.</w:t>
      </w:r>
    </w:p>
    <w:p>
      <w:pPr>
        <w:spacing w:before="120" w:after="120"/>
      </w:pPr>
      <w:r>
        <w:rPr>
          <w:sz w:val="18"/>
        </w:rPr>
        <w:t>——————————————————————————————————————————————————————————————————————</w:t>
      </w:r>
    </w:p>
    <w:p>
      <w:pPr>
        <w:spacing w:before="160" w:after="40" w:line="240" w:lineRule="auto"/>
      </w:pPr>
      <w:r>
        <w:rPr>
          <w:b/>
        </w:rPr>
        <w:t xml:space="preserve">[108] </w:t>
      </w:r>
      <w:hyperlink r:id="rId481">
        <w:r>
          <w:rPr>
            <w:color w:val="1155CC"/>
            <w:u w:val="single"/>
          </w:rPr>
          <w:t>新的气候机制重塑了加拿大北部五大湖的生态</w:t>
        </w:r>
      </w:hyperlink>
    </w:p>
    <w:p>
      <w:pPr>
        <w:spacing w:before="0" w:after="80"/>
      </w:pPr>
      <w:r>
        <w:rPr>
          <w:i/>
          <w:sz w:val="20"/>
        </w:rPr>
        <w:t>EN: New climate regime restructures the ecology of Canada’s Northern Great Lakes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82">
        <w:r>
          <w:rPr>
            <w:color w:val="1155CC"/>
            <w:u w:val="single"/>
          </w:rPr>
          <w:t>10.1073/pnas.2603271123</w:t>
        </w:r>
      </w:hyperlink>
    </w:p>
    <w:p>
      <w:pPr>
        <w:spacing w:before="0" w:after="120"/>
      </w:pPr>
      <w:r>
        <w:rPr>
          <w:b/>
        </w:rPr>
        <w:t xml:space="preserve">Notes: </w:t>
      </w:r>
      <w:r>
        <w:t>abstract_source=crossref</w:t>
      </w:r>
    </w:p>
    <w:p>
      <w:pPr>
        <w:spacing w:before="0" w:after="80" w:lineRule="auto" w:line="276"/>
      </w:pPr>
      <w:r>
        <w:rPr>
          <w:b/>
        </w:rPr>
        <w:t xml:space="preserve">摘要（ZH）: </w:t>
      </w:r>
      <w:r>
        <w:t>加拿大北部的大熊湖（GBL）、大奴湖（GSL）和哈森湖最近经历了与北极加速变暖相关的基本水生生态系统过程的转变。多重高分辨率，</w:t>
      </w:r>
      <w:r>
        <w:rPr>
          <w:vertAlign w:val="subscript"/>
        </w:rPr>
        <w:t>210</w:t>
      </w:r>
      <w:r>
        <w:t>Pb测年的沉积物记录（GBL：Smith、Keith、McVicar Arms，GSL：West Basin，Lake Hazen：Blister、Main site）记录了过去几十年来所有湖泊中藻类群落组成的非常相似的重组。 21世纪之交，小型浮游硅藻的快速增殖取代了自1800年代中后期以来主导硅藻群落的底栖（GBL，哈森湖）和大型丝状（GSL）类群。无冰天数的增加、区域气温的上升和风速的下降为湖泊创造了新的物理和热状态，促进了全湖初级生产的转变，并有利于小型专性浮游硅藻的生长。 20 世纪 40 年代至 1970 年代对湖泊进行调查的历史记录证实了我们的古湖泊学发现，即这些湖泊至少自上个世纪以来在湖泊学上就相对稳定，直到最近才转变为新的热状态。由于初级生产者为整个食物网提供燃料，这种快速的藻类群落重组是重大生态系统变化的警示信号。加拿大“北部五大湖”特有的热惯性和恢复力正在迅速侵蚀，这对土著和其他北部地区的本地鱼类种群产生了影响。</w:t>
      </w:r>
    </w:p>
    <w:p>
      <w:pPr>
        <w:spacing w:before="0" w:after="200" w:lineRule="auto" w:line="276"/>
      </w:pPr>
      <w:r>
        <w:rPr>
          <w:b/>
        </w:rPr>
        <w:t xml:space="preserve">Abstract (EN): </w:t>
      </w:r>
      <w:r>
        <w:t>Great Bear Lake (GBL), Great Slave Lake (GSL), and Lake Hazen in northern Canada have recently experienced a shift in fundamental aquatic ecosystem processes associated with accelerated Arctic warming. Multiple high-resolution,</w:t>
      </w:r>
      <w:r>
        <w:rPr>
          <w:vertAlign w:val="subscript"/>
        </w:rPr>
        <w:t>210</w:t>
      </w:r>
      <w:r>
        <w:t>Pb-dated sediment records (GBL: Smith, Keith, McVicar arms, GSL: West Basin, Lake Hazen: Blister, Main sites) registered remarkably similar restructuring of algal community composition over the past few decades in all lakes. A rapid proliferation of small euplanktonic diatoms at the turn of the 21st century displaced benthic (GBL, Lake Hazen) and large filamentous (GSL) taxa that dominated the diatom assemblages since the mid-to-late 1800s. An increase in the number of ice-free days, a rise in regional air temperature, and a decline in wind speed primed the lakes for new physical and thermal regimes that facilitated a shift to greater whole lake primary production and favored small obligate planktonic diatoms. Historical records from surveys undertaken on the lakes between the 1940s and 1970s substantiated our paleolimnological findings that these lakes were relatively stable limnologically since at least the past century and have only recently transitioned to new thermal states. As primary producers fuel the entire food web, this rapid algal community restructuring serves as a cautionary signal of major ecosystem changes. The characteristic thermal inertia and resilience of Canada’s “Northern Great Lakes” is rapidly eroding, with implications for native fish populations that Indigenous and other northern communities rely on.</w:t>
      </w:r>
    </w:p>
    <w:p>
      <w:pPr>
        <w:spacing w:before="120" w:after="120"/>
      </w:pPr>
      <w:r>
        <w:rPr>
          <w:sz w:val="18"/>
        </w:rPr>
        <w:t>——————————————————————————————————————————————————————————————————————</w:t>
      </w:r>
    </w:p>
    <w:p>
      <w:pPr>
        <w:spacing w:before="160" w:after="40" w:line="240" w:lineRule="auto"/>
      </w:pPr>
      <w:r>
        <w:rPr>
          <w:b/>
        </w:rPr>
        <w:t xml:space="preserve">[109] </w:t>
      </w:r>
      <w:hyperlink r:id="rId483">
        <w:r>
          <w:rPr>
            <w:color w:val="1155CC"/>
            <w:u w:val="single"/>
          </w:rPr>
          <w:t>聚磷酸盐影响深海产甲烷古菌的生长和产甲烷作用</w:t>
        </w:r>
      </w:hyperlink>
    </w:p>
    <w:p>
      <w:pPr>
        <w:spacing w:before="0" w:after="80"/>
      </w:pPr>
      <w:r>
        <w:rPr>
          <w:i/>
          <w:sz w:val="20"/>
        </w:rPr>
        <w:t>EN: Polyphosphate affects the growth and methanogenesis of deep-sea methanogenic archaea</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84">
        <w:r>
          <w:rPr>
            <w:color w:val="1155CC"/>
            <w:u w:val="single"/>
          </w:rPr>
          <w:t>10.1073/pnas.2608127123</w:t>
        </w:r>
      </w:hyperlink>
    </w:p>
    <w:p>
      <w:pPr>
        <w:spacing w:before="0" w:after="120"/>
      </w:pPr>
      <w:r>
        <w:rPr>
          <w:b/>
        </w:rPr>
        <w:t xml:space="preserve">Notes: </w:t>
      </w:r>
      <w:r>
        <w:t>abstract_source=crossref</w:t>
      </w:r>
    </w:p>
    <w:p>
      <w:pPr>
        <w:spacing w:before="0" w:after="80" w:lineRule="auto" w:line="276"/>
      </w:pPr>
      <w:r>
        <w:rPr>
          <w:b/>
        </w:rPr>
        <w:t xml:space="preserve">摘要（ZH）: </w:t>
      </w:r>
      <w:r>
        <w:t>微生物利用无机多磷酸盐（polyP）作为一种古老的能量和磷酸盐储存策略，但其在产甲烷古菌中的生理作用仍然很大程度上未被探索。在这里，我们报告多聚磷代谢与生长和产甲烷作用相关</w:t>
      </w:r>
      <w:r>
        <w:t xml:space="preserve"> </w:t>
      </w:r>
      <w:r>
        <w:t>甲醇菌属</w:t>
      </w:r>
      <w:r>
        <w:t xml:space="preserve"> </w:t>
      </w:r>
      <w:r>
        <w:t>sp。 ZRKC1，从深海冷泉沉积物中分离出的八种产甲烷古菌的代表。通过结合遗传、生化和生理分析，我们发现 PPK1 介导 Mg 中多聚磷的合成。</w:t>
      </w:r>
      <w:r>
        <w:t xml:space="preserve"> </w:t>
      </w:r>
      <w:r>
        <w:t>2+</w:t>
      </w:r>
      <w:r>
        <w:t xml:space="preserve"> </w:t>
      </w:r>
      <w:r>
        <w:t>-依赖性方式，而PPK2主要作为聚P水解酶起作用。删除</w:t>
      </w:r>
      <w:r>
        <w:t xml:space="preserve"> </w:t>
      </w:r>
      <w:r>
        <w:t>PPK1</w:t>
      </w:r>
      <w:r>
        <w:t xml:space="preserve"> </w:t>
      </w:r>
      <w:r>
        <w:t>在菌株 ZRKC1 中，PolyP 消除了 PolyP 的积累，并损害了生长和甲烷的产生，这表明 PolyP 作为连接这些过程的代谢中心的作用。转录组分析表明，在有机磷条件下，菌株 ZRKC1 上调磷酸酯酶以释放生物可利用的磷酸盐，随后通过 PPK1 导入聚磷。此外，原位转录组数据表明，这种代谢策略的遗传能力可能存在于天然环境中并具有转录活性，同时上调参与磷酸盐获取、多聚磷代谢和产甲烷作用的基因。我们的研究结果表明，polyP 在将磷酸盐稳态与深海产甲烷古菌的生长和产甲烷作用联系起来方面具有重要意义。</w:t>
      </w:r>
    </w:p>
    <w:p>
      <w:pPr>
        <w:spacing w:before="0" w:after="200" w:lineRule="auto" w:line="276"/>
      </w:pPr>
      <w:r>
        <w:rPr>
          <w:b/>
        </w:rPr>
        <w:t xml:space="preserve">Abstract (EN): </w:t>
      </w:r>
      <w:r>
        <w:t>Microorganisms employ inorganic polyphosphate (polyP) as an ancient strategy for energy and phosphate storage, yet its physiological roles in methanogenic archaea remain largely unexplored. Here, we report that polyP metabolism is coupled to growth and methanogenesis in</w:t>
      </w:r>
      <w:r>
        <w:t xml:space="preserve"> </w:t>
      </w:r>
      <w:r>
        <w:t>Methanolobus</w:t>
      </w:r>
      <w:r>
        <w:t xml:space="preserve"> </w:t>
      </w:r>
      <w:r>
        <w:t>sp. ZRKC1, a representative of eight methanogenic archaea isolated from deep-sea cold seep sediments. Through combined genetic, biochemical, and physiological analyses, we find that PPK1 mediates polyP synthesis in a Mg</w:t>
      </w:r>
      <w:r>
        <w:t xml:space="preserve"> </w:t>
      </w:r>
      <w:r>
        <w:t>2+</w:t>
      </w:r>
      <w:r>
        <w:t xml:space="preserve"> </w:t>
      </w:r>
      <w:r>
        <w:t>-dependent manner, whereas PPK2 functions primarily as a polyP hydrolase. Deletion of</w:t>
      </w:r>
      <w:r>
        <w:t xml:space="preserve"> </w:t>
      </w:r>
      <w:r>
        <w:t>ppk1</w:t>
      </w:r>
      <w:r>
        <w:t xml:space="preserve"> </w:t>
      </w:r>
      <w:r>
        <w:t>in strain ZRKC1 abolishes polyP accumulation and impairs both growth and methane production, pointing to a role for polyP as a metabolic hub linking these processes. Transcriptomic profiling reveals that under organic phosphorus conditions, strain ZRKC1 upregulates phosphoesterases to liberate bioavailable phosphate, which is subsequently channeled into polyP via PPK1. Furthermore, in situ transcriptomic data suggest that the genetic capacity for this metabolic strategy may be present and transcriptionally active in the native environment, with concurrent upregulation of genes involved in phosphate acquisition, polyP metabolism, and methanogenesis. Our findings suggest the importance of polyP in linking phosphate homeostasis to growth and methanogenesis in deep-sea methanogenic archaea.</w:t>
      </w:r>
    </w:p>
    <w:p>
      <w:pPr>
        <w:spacing w:before="120" w:after="120"/>
      </w:pPr>
      <w:r>
        <w:rPr>
          <w:sz w:val="18"/>
        </w:rPr>
        <w:t>——————————————————————————————————————————————————————————————————————</w:t>
      </w:r>
    </w:p>
    <w:p>
      <w:pPr>
        <w:spacing w:before="160" w:after="40" w:line="240" w:lineRule="auto"/>
      </w:pPr>
      <w:r>
        <w:rPr>
          <w:b/>
        </w:rPr>
        <w:t xml:space="preserve">[110] </w:t>
      </w:r>
      <w:hyperlink r:id="rId485">
        <w:r>
          <w:rPr>
            <w:color w:val="1155CC"/>
            <w:u w:val="single"/>
          </w:rPr>
          <w:t>2025-2030 年美国人膳食指南与更高的土地、水和氮的使用以及温室气体排放有关</w:t>
        </w:r>
      </w:hyperlink>
    </w:p>
    <w:p>
      <w:pPr>
        <w:spacing w:before="0" w:after="80"/>
      </w:pPr>
      <w:r>
        <w:rPr>
          <w:i/>
          <w:sz w:val="20"/>
        </w:rPr>
        <w:t>EN: The 2025–2030 Dietary Guidelines for Americans are associated with higher land, water and nitrogen use, and greenhouse gas emissions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86">
        <w:r>
          <w:rPr>
            <w:color w:val="1155CC"/>
            <w:u w:val="single"/>
          </w:rPr>
          <w:t>10.1073/pnas.2604814123</w:t>
        </w:r>
      </w:hyperlink>
    </w:p>
    <w:p>
      <w:pPr>
        <w:spacing w:before="0" w:after="120"/>
      </w:pPr>
      <w:r>
        <w:rPr>
          <w:b/>
        </w:rPr>
        <w:t xml:space="preserve">Notes: </w:t>
      </w:r>
      <w:r>
        <w:t>abstract_source=crossref</w:t>
      </w:r>
    </w:p>
    <w:p>
      <w:pPr>
        <w:spacing w:before="0" w:after="80" w:lineRule="auto" w:line="276"/>
      </w:pPr>
      <w:r>
        <w:rPr>
          <w:b/>
        </w:rPr>
        <w:t xml:space="preserve">摘要（ZH）: </w:t>
      </w:r>
      <w:r>
        <w:t>膳食指南构成了联邦食品政策的基础，为补充营养援助计划 (SNAP)、政府食品采购、学校膳食以及军队和医院食品服务等计划提供信息。 2026 年初发布的最新指南建议避免“过度加工”（通常称为超加工食品，UPF），同时还建议主要从动物来源摄入较高的总体蛋白质摄入量。在这里，我们与当前的美国平均饮食 (MAD) 相比，量化了遵守这些新指南的温室气体 (GHG) 排放、淡水使用、土地使用和氮肥使用。我们构建了等热量饮食，其中添加了不同程度的蛋白质摄入量和蛋白质来源，与当前的饮食模式相似，但没有建议的 UPF。我们发现，虽然从 MAD 中消除超加工食品可以产生巨大的环境效益（考虑到其在总摄入量和动物性成分中所占的很大比例），但建议增加动物性蛋白质，将抵消温室气体、土地使用和氮肥使用方面的环境红利，最多可抵消 32%，但不会抵消用水量（即用水量比 MAD 低 7% 至 19%）。在所有测量的环境指标中，与动物性食品相比，偏爱植物性食品可以带来更好的环境成果。总体而言，遵守《2025-2030 年美国人膳食指南》将给与美国现行饮食相关的大多数关键指标带来净环境危害。</w:t>
      </w:r>
    </w:p>
    <w:p>
      <w:pPr>
        <w:spacing w:before="0" w:after="200" w:lineRule="auto" w:line="276"/>
      </w:pPr>
      <w:r>
        <w:rPr>
          <w:b/>
        </w:rPr>
        <w:t xml:space="preserve">Abstract (EN): </w:t>
      </w:r>
      <w:r>
        <w:t>Dietary guidelines form the foundation of federal food policy, informing programs such as the Supplemental Nutrition Assistance Program (SNAP), government food procurement, school meals, and military and hospital food services. The most recent guidelines, released in early 2026, advise avoiding “hyperprocessed” (generally known as ultraprocessed foods, UPFs), while also recommending higher overall protein intake chiefly from animal sources. Here, we quantified the greenhouse gas (GHG) emissions, freshwater use, land use, and nitrogen fertilizer use of adherence to these new guidelines in comparison to the current Mean American Diet (MAD). We constructed isocaloric diets with varying degrees of added protein intake and protein sources that are similar to current dietary patterns, but with no UPFs as recommended. We find that although eliminating ultraprocessed foods from the MAD could yield substantial environmental benefits—given their large share of total intake and animal-based makeup—the recommended increase in animal-based proteins, will more than offset this environmental dividend in GHG, land use, and nitrogen fertilizer use by as much as 32%, but not in water use (i.e., water use is lower by 7 to 19% than the MAD). Across all environmental metrics measured, favoring plants- over animal-based foods leads to better environmental outcomes. Overall, adherence to the 2025–2030 Dietary Guidelines for Americans would confer net environmental harm across most key metrics relative to the prevailing U.S. diet.</w:t>
      </w:r>
    </w:p>
    <w:p>
      <w:pPr>
        <w:spacing w:before="120" w:after="120"/>
      </w:pPr>
      <w:r>
        <w:rPr>
          <w:sz w:val="18"/>
        </w:rPr>
        <w:t>——————————————————————————————————————————————————————————————————————</w:t>
      </w:r>
    </w:p>
    <w:p>
      <w:pPr>
        <w:spacing w:before="160" w:after="40" w:line="240" w:lineRule="auto"/>
      </w:pPr>
      <w:r>
        <w:rPr>
          <w:b/>
        </w:rPr>
        <w:t xml:space="preserve">[111] </w:t>
      </w:r>
      <w:hyperlink r:id="rId487">
        <w:r>
          <w:rPr>
            <w:color w:val="1155CC"/>
            <w:u w:val="single"/>
          </w:rPr>
          <w:t>Stora Karlsö 狼是自然到达该岛还是乘船？</w:t>
        </w:r>
      </w:hyperlink>
    </w:p>
    <w:p>
      <w:pPr>
        <w:spacing w:before="0" w:after="80"/>
      </w:pPr>
      <w:r>
        <w:rPr>
          <w:i/>
          <w:sz w:val="20"/>
        </w:rPr>
        <w:t>EN: Did Stora Karlsö wolves reach the island naturally or by boat?</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88">
        <w:r>
          <w:rPr>
            <w:color w:val="1155CC"/>
            <w:u w:val="single"/>
          </w:rPr>
          <w:t>10.1073/pnas.2607054123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[112] </w:t>
      </w:r>
      <w:hyperlink r:id="rId489">
        <w:r>
          <w:rPr>
            <w:color w:val="1155CC"/>
            <w:u w:val="single"/>
          </w:rPr>
          <w:t>回复 Janssens 和 Mech：狼自然扩散到 Stora Karlsö 的可能性</w:t>
        </w:r>
      </w:hyperlink>
    </w:p>
    <w:p>
      <w:pPr>
        <w:spacing w:before="0" w:after="80"/>
      </w:pPr>
      <w:r>
        <w:rPr>
          <w:i/>
          <w:sz w:val="20"/>
        </w:rPr>
        <w:t>EN: Reply to Janssens and Mech: The possibility of natural wolf dispersal to Stora Karlsö</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90">
        <w:r>
          <w:rPr>
            <w:color w:val="1155CC"/>
            <w:u w:val="single"/>
          </w:rPr>
          <w:t>10.1073/pnas.2608649123</w:t>
        </w:r>
      </w:hyperlink>
    </w:p>
    <w:p>
      <w:pPr>
        <w:spacing w:before="0" w:after="120"/>
      </w:pPr>
      <w:r>
        <w:rPr>
          <w:b/>
        </w:rPr>
        <w:t xml:space="preserve">Notes: </w:t>
      </w:r>
      <w:r>
        <w:t>abstract_source=openalex</w:t>
      </w:r>
    </w:p>
    <w:p>
      <w:pPr>
        <w:spacing w:before="0" w:after="80" w:lineRule="auto" w:line="276"/>
      </w:pPr>
      <w:r>
        <w:rPr>
          <w:b/>
        </w:rPr>
        <w:t xml:space="preserve">摘要（ZH）: </w:t>
      </w:r>
      <w:r>
        <w:t>在关于我们描述在斯道卡尔瑟小岛上发现史前狼的文章 (1) 的信中，Janssens 和 Mech 认为自然扩散是比人类能动性更可能的解释。在回顾了他们的论点后，我们仍然支持人类能动性，但正如我们在文章中强调的那样，坚持认为不能排除自然扩散。</w:t>
      </w:r>
    </w:p>
    <w:p>
      <w:pPr>
        <w:spacing w:before="0" w:after="200" w:lineRule="auto" w:line="276"/>
      </w:pPr>
      <w:r>
        <w:rPr>
          <w:b/>
        </w:rPr>
        <w:t xml:space="preserve">Abstract (EN): </w:t>
      </w:r>
      <w:r>
        <w:t>In their letter about our article describing the discovery of prehistoric wolves on the small island of Stora Karlsö (1), Janssens and Mech argue that natural dispersal is a more likely explanation than human agency (2).After reviewing their arguments, we still favor human agency, but maintain, as we emphasized in the article, that natural dispersal cannot be excluded.</w:t>
      </w:r>
    </w:p>
    <w:p>
      <w:pPr>
        <w:spacing w:before="120" w:after="120"/>
      </w:pPr>
      <w:r>
        <w:rPr>
          <w:sz w:val="18"/>
        </w:rPr>
        <w:t>——————————————————————————————————————————————————————————————————————</w:t>
      </w:r>
    </w:p>
    <w:p>
      <w:pPr>
        <w:spacing w:before="160" w:after="40" w:line="240" w:lineRule="auto"/>
      </w:pPr>
      <w:r>
        <w:rPr>
          <w:b/>
        </w:rPr>
        <w:t xml:space="preserve">[113] </w:t>
      </w:r>
      <w:hyperlink r:id="rId491">
        <w:r>
          <w:rPr>
            <w:color w:val="1155CC"/>
            <w:u w:val="single"/>
          </w:rPr>
          <w:t>探索未知：纳米气泡和亲气表面隐藏的复杂性</w:t>
        </w:r>
      </w:hyperlink>
    </w:p>
    <w:p>
      <w:pPr>
        <w:spacing w:before="0" w:after="80"/>
      </w:pPr>
      <w:r>
        <w:rPr>
          <w:i/>
          <w:sz w:val="20"/>
        </w:rPr>
        <w:t>EN: Navigating the unknown: Nanobubbles and the hidden complexity of aerophilic surfaces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92">
        <w:r>
          <w:rPr>
            <w:color w:val="1155CC"/>
            <w:u w:val="single"/>
          </w:rPr>
          <w:t>10.1073/pnas.2608226123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[114] </w:t>
      </w:r>
      <w:hyperlink r:id="rId493">
        <w:r>
          <w:rPr>
            <w:color w:val="1155CC"/>
            <w:u w:val="single"/>
          </w:rPr>
          <w:t>生态预测中的记忆、混沌和噪声</w:t>
        </w:r>
      </w:hyperlink>
    </w:p>
    <w:p>
      <w:pPr>
        <w:spacing w:before="0" w:after="80"/>
      </w:pPr>
      <w:r>
        <w:rPr>
          <w:i/>
          <w:sz w:val="20"/>
        </w:rPr>
        <w:t>EN: Memory, chaos, and noise in ecological forecasting</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94">
        <w:r>
          <w:rPr>
            <w:color w:val="1155CC"/>
            <w:u w:val="single"/>
          </w:rPr>
          <w:t>10.1073/pnas.2604256123</w:t>
        </w:r>
      </w:hyperlink>
    </w:p>
    <w:p>
      <w:pPr>
        <w:spacing w:before="0" w:after="120"/>
      </w:pPr>
      <w:r>
        <w:rPr>
          <w:b/>
        </w:rPr>
        <w:t xml:space="preserve">Notes: </w:t>
      </w:r>
      <w:r>
        <w:t>abstract_source=crossref</w:t>
      </w:r>
    </w:p>
    <w:p>
      <w:pPr>
        <w:spacing w:before="0" w:after="80" w:lineRule="auto" w:line="276"/>
      </w:pPr>
      <w:r>
        <w:rPr>
          <w:b/>
        </w:rPr>
        <w:t xml:space="preserve">摘要（ZH）: </w:t>
      </w:r>
      <w:r>
        <w:t>生态种群波动的原因通常分别归因于历史遗产、内在非线性动力学或随机噪声。然而这些力量很少单独行动。我们构建了一个涵盖鸟类、哺乳动物、鱼类、昆虫和浮游生物的 302 个丰度时间序列的全球数据库，以探究记忆、非线性和动态稳定性如何相互作用以形成可预测性。我们使用经验动态模型通过有效的李亚普诺夫指数来估计记忆长度和分类时间序列稳定性。我们还研究了结合记忆和非线性可以在多大程度上减少表观噪声并改善预测。我们发现，中性稳定序列中的记忆长度最大，而混沌序列中的记忆长度与李雅普诺夫视界成正比。记忆和非线性都改善了预测，但在表现出正李雅普诺夫指数（振荡和混沌）的系列中增益最大。相比之下，低维线性模型可以很好地捕获具有强稳定动态的种群。因此，非线性和记忆都是生态动力学的重要组成部分，有效的李雅普诺夫指数是可预测性的有用预测因子。</w:t>
      </w:r>
    </w:p>
    <w:p>
      <w:pPr>
        <w:spacing w:before="0" w:after="200" w:lineRule="auto" w:line="276"/>
      </w:pPr>
      <w:r>
        <w:rPr>
          <w:b/>
        </w:rPr>
        <w:t xml:space="preserve">Abstract (EN): </w:t>
      </w:r>
      <w:r>
        <w:t>Ecological populations fluctuate for reasons that are often ascribed—separately—to historical legacies, intrinsic nonlinear dynamics, or stochastic noise. Yet these forces rarely act in isolation. We assembled a global database of 302 abundance time series spanning birds, mammals, fishes, insects, and plankton to ask how memory, nonlinearity, and dynamical stability interact to shape predictability. We used empirical dynamic modeling to estimate the memory length and classified time series stability via effective Lyapunov exponents. We also examined the degree to which incorporating memory and nonlinearity reduce apparent noise and improve prediction. We found that memory length was greatest in neutrally stable series and proportional to the Lyapunov horizon in chaotic series. Both memory and nonlinearity improved forecasts, but gains were largest in series exhibiting positive Lyapunov exponents (oscillations and chaos). By contrast, populations with strongly stable dynamics are well captured by low dimensional linear models. Hence, nonlinearity and memory are both important components of ecological dynamics and the effective Lyapunov exponent is a useful prognosticator of predictability.</w:t>
      </w:r>
    </w:p>
    <w:p>
      <w:pPr>
        <w:spacing w:before="120" w:after="120"/>
      </w:pPr>
      <w:r>
        <w:rPr>
          <w:sz w:val="18"/>
        </w:rPr>
        <w:t>——————————————————————————————————————————————————————————————————————</w:t>
      </w:r>
    </w:p>
    <w:p>
      <w:pPr>
        <w:spacing w:before="160" w:after="40" w:line="240" w:lineRule="auto"/>
      </w:pPr>
      <w:r>
        <w:rPr>
          <w:b/>
        </w:rPr>
        <w:t xml:space="preserve">[115] </w:t>
      </w:r>
      <w:hyperlink r:id="rId495">
        <w:r>
          <w:rPr>
            <w:color w:val="1155CC"/>
            <w:u w:val="single"/>
          </w:rPr>
          <w:t>巴豆酰化阻碍 c-Myc 致癌活性</w:t>
        </w:r>
      </w:hyperlink>
    </w:p>
    <w:p>
      <w:pPr>
        <w:spacing w:before="0" w:after="80"/>
      </w:pPr>
      <w:r>
        <w:rPr>
          <w:i/>
          <w:sz w:val="20"/>
        </w:rPr>
        <w:t>EN: Crotonylation impedes c-Myc oncogenic activity</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96">
        <w:r>
          <w:rPr>
            <w:color w:val="1155CC"/>
            <w:u w:val="single"/>
          </w:rPr>
          <w:t>10.1073/pnas.2530020123</w:t>
        </w:r>
      </w:hyperlink>
    </w:p>
    <w:p>
      <w:pPr>
        <w:spacing w:before="0" w:after="120"/>
      </w:pPr>
      <w:r>
        <w:rPr>
          <w:b/>
        </w:rPr>
        <w:t xml:space="preserve">Notes: </w:t>
      </w:r>
      <w:r>
        <w:t>abstract_source=crossref</w:t>
      </w:r>
    </w:p>
    <w:p>
      <w:pPr>
        <w:spacing w:before="0" w:after="80" w:lineRule="auto" w:line="276"/>
      </w:pPr>
      <w:r>
        <w:rPr>
          <w:b/>
        </w:rPr>
        <w:t xml:space="preserve">摘要（ZH）: </w:t>
      </w:r>
      <w:r>
        <w:t>c-Myc 是一种重要的癌蛋白，通过翻译后修饰受到高度调控。在此，我们报告了 c-Myc 巴豆酰化，这是一种源自短链脂肪酸巴豆酸酯的酰化。通过生化分析和高分辨率质谱测序，我们发现 c-Myc 在几个赖氨酸残基处被巴豆酰化，从中间到 C 末端。这些巴豆酰化位点的突变赋予细胞显着的增殖优势，并鉴定出两个关键残基 K289 和 K298。这些赖氨酸残基的突变增加了突变体 c-Myc 与其调节器 S 期激酶相关蛋白 2 (Skp2) 的结合，从而增强了 c-Myc 转录活性，同时随后将其降解。有趣的是，通过筛选人类癌症数据库，在一些原发性人类肿瘤中发现了 K298N 突变。更有趣的是，这种源自癌症的突变体 c-Myc 在体外和体内表现出比野生型 c-Myc 更强的致癌活性，部分原因是与 Skp2 合作。总之，这些结果表明巴豆酰化可以损害 c-Myc 的致癌活性。</w:t>
      </w:r>
    </w:p>
    <w:p>
      <w:pPr>
        <w:spacing w:before="0" w:after="200" w:lineRule="auto" w:line="276"/>
      </w:pPr>
      <w:r>
        <w:rPr>
          <w:b/>
        </w:rPr>
        <w:t xml:space="preserve">Abstract (EN): </w:t>
      </w:r>
      <w:r>
        <w:t>c-Myc, an important oncoprotein, is highly regulated via posttranslational modifications. Herein, we report c-Myc crotonylation, an acylation stemming from the short-chain fatty acid crotonate. By biochemical analyses and high-resolution mass spectrometry sequencing, we showed that c-Myc is crotonylated at several lysine residues, spanning its middle to C termini. Mutation of these crotonylation sites conferred cells with a significant proliferative advantage with two key residues at K289 and K298 identified. Mutation of these lysine residues increased the binding of the mutant c-Myc to its regulator S-phase-kinase-associated protein 2 (Skp2) that can enhance c-Myc transcriptional activity while degrading it afterward. Interestingly, the K298N mutation was identified in some primary human tumors via screening human cancer database. More interestingly, this cancer-derived mutant c-Myc displayed more oncogenic activity than did wild type c-Myc in vitro and in vivo, in part, by partnering with Skp2. Together, these results demonstrate that crotonylation can impair the oncogenic activity of c-Myc.</w:t>
      </w:r>
    </w:p>
    <w:p>
      <w:pPr>
        <w:spacing w:before="120" w:after="120"/>
      </w:pPr>
      <w:r>
        <w:rPr>
          <w:sz w:val="18"/>
        </w:rPr>
        <w:t>——————————————————————————————————————————————————————————————————————</w:t>
      </w:r>
    </w:p>
    <w:p>
      <w:pPr>
        <w:spacing w:before="160" w:after="40" w:line="240" w:lineRule="auto"/>
      </w:pPr>
      <w:r>
        <w:rPr>
          <w:b/>
        </w:rPr>
        <w:t xml:space="preserve">[116] </w:t>
      </w:r>
      <w:hyperlink r:id="rId497">
        <w:r>
          <w:rPr>
            <w:color w:val="1155CC"/>
            <w:u w:val="single"/>
          </w:rPr>
          <w:t>软骨细胞脂质代谢的控制对于骨骼生长至关重要</w:t>
        </w:r>
      </w:hyperlink>
    </w:p>
    <w:p>
      <w:pPr>
        <w:spacing w:before="0" w:after="80"/>
      </w:pPr>
      <w:r>
        <w:rPr>
          <w:i/>
          <w:sz w:val="20"/>
        </w:rPr>
        <w:t>EN: Control of lipid metabolism in chondrocytes is critical for skeletal growth</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498">
        <w:r>
          <w:rPr>
            <w:color w:val="1155CC"/>
            <w:u w:val="single"/>
          </w:rPr>
          <w:t>10.1073/pnas.2600080123</w:t>
        </w:r>
      </w:hyperlink>
    </w:p>
    <w:p>
      <w:pPr>
        <w:spacing w:before="0" w:after="120"/>
      </w:pPr>
      <w:r>
        <w:rPr>
          <w:b/>
        </w:rPr>
        <w:t xml:space="preserve">Notes: </w:t>
      </w:r>
      <w:r>
        <w:t>abstract_source=crossref</w:t>
      </w:r>
    </w:p>
    <w:p>
      <w:pPr>
        <w:spacing w:before="0" w:after="80" w:lineRule="auto" w:line="276"/>
      </w:pPr>
      <w:r>
        <w:rPr>
          <w:b/>
        </w:rPr>
        <w:t xml:space="preserve">摘要（ZH）: </w:t>
      </w:r>
      <w:r>
        <w:t>软骨发育不良是一种遗传性疾病，其特征是软骨发育和骨骼生长受损。内质网（ER）应激失调与软骨发育不良有关。在这里，我们证明了 ER 应激调节因子 PPP1R15B 在软骨细胞发育中的关键作用。 PPP1R15B 是一种蛋白磷酸酶，可组成性抑制 eIF2α 磷酸化，从而减弱应激时的整体蛋白翻译。值得注意的是，删除</w:t>
      </w:r>
      <w:r>
        <w:t xml:space="preserve"> </w:t>
      </w:r>
      <w:r>
        <w:t>ppp1r15b</w:t>
      </w:r>
      <w:r>
        <w:t xml:space="preserve"> </w:t>
      </w:r>
      <w:r>
        <w:t>在</w:t>
      </w:r>
      <w:r>
        <w:t xml:space="preserve"> </w:t>
      </w:r>
      <w:r>
        <w:t>prx1</w:t>
      </w:r>
      <w:r>
        <w:t xml:space="preserve"> </w:t>
      </w:r>
      <w:r>
        <w:t>+</w:t>
      </w:r>
      <w:r>
        <w:t xml:space="preserve"> </w:t>
      </w:r>
      <w:r>
        <w:t>骨骼祖细胞（</w:t>
      </w:r>
      <w:r>
        <w:t xml:space="preserve"> </w:t>
      </w:r>
      <w:r>
        <w:t>ppp1r15b</w:t>
      </w:r>
      <w:r>
        <w:t xml:space="preserve"> </w:t>
      </w:r>
      <w:r>
        <w:t>prx1</w:t>
      </w:r>
      <w:r>
        <w:t xml:space="preserve"> </w:t>
      </w:r>
      <w:r>
        <w:t>）损害软骨形成，导致小鼠生长板紊乱、骨小梁减少和长骨缩短。同样，诱导删除</w:t>
      </w:r>
      <w:r>
        <w:t xml:space="preserve"> </w:t>
      </w:r>
      <w:r>
        <w:t>ppp1r15b</w:t>
      </w:r>
      <w:r>
        <w:t xml:space="preserve"> </w:t>
      </w:r>
      <w:r>
        <w:t>在</w:t>
      </w:r>
      <w:r>
        <w:t xml:space="preserve"> </w:t>
      </w:r>
      <w:r>
        <w:t>第2栏</w:t>
      </w:r>
      <w:r>
        <w:t xml:space="preserve"> </w:t>
      </w:r>
      <w:r>
        <w:t>+</w:t>
      </w:r>
      <w:r>
        <w:t xml:space="preserve"> </w:t>
      </w:r>
      <w:r>
        <w:t>软骨祖细胞（</w:t>
      </w:r>
      <w:r>
        <w:t xml:space="preserve"> </w:t>
      </w:r>
      <w:r>
        <w:t>ppp1r15b</w:t>
      </w:r>
      <w:r>
        <w:t xml:space="preserve"> </w:t>
      </w:r>
      <w:r>
        <w:t>第2栏</w:t>
      </w:r>
      <w:r>
        <w:t xml:space="preserve"> </w:t>
      </w:r>
      <w:r>
        <w:t>）导致软骨发育和骨骼生长异常。值得注意的是，在缺乏骨骼的小鼠中没有观察到骨骼表型。</w:t>
      </w:r>
      <w:r>
        <w:t xml:space="preserve"> </w:t>
      </w:r>
      <w:r>
        <w:t>ppp1r15b</w:t>
      </w:r>
      <w:r>
        <w:t xml:space="preserve"> </w:t>
      </w:r>
      <w:r>
        <w:t>致力于</w:t>
      </w:r>
      <w:r>
        <w:t xml:space="preserve"> </w:t>
      </w:r>
      <w:r>
        <w:t>奥斯克斯</w:t>
      </w:r>
      <w:r>
        <w:t xml:space="preserve"> </w:t>
      </w:r>
      <w:r>
        <w:t>+</w:t>
      </w:r>
      <w:r>
        <w:t xml:space="preserve"> </w:t>
      </w:r>
      <w:r>
        <w:t>骨祖细胞（</w:t>
      </w:r>
    </w:p>
    <w:p>
      <w:pPr>
        <w:spacing w:before="0" w:after="200" w:lineRule="auto" w:line="276"/>
      </w:pPr>
      <w:r>
        <w:rPr>
          <w:b/>
        </w:rPr>
        <w:t xml:space="preserve">Abstract (EN): </w:t>
      </w:r>
      <w:r>
        <w:t>Chondrodysplasia is a genetic disorder characterized by impaired cartilage development and bone growth. Dysregulation of the endoplasmic reticulum (ER) stress is associated with chondrodysplasia. Here, we demonstrate a critical role for the ER stress regulator PPP1R15B in chondrocyte development. PPP1R15B is a protein phosphatase that constitutively represses eIF2α phosphorylation to attenuate global protein translation in response to stress. Remarkably, deletion of</w:t>
      </w:r>
      <w:r>
        <w:t xml:space="preserve"> </w:t>
      </w:r>
      <w:r>
        <w:t>Ppp1r15b</w:t>
      </w:r>
      <w:r>
        <w:t xml:space="preserve"> </w:t>
      </w:r>
      <w:r>
        <w:t>in</w:t>
      </w:r>
      <w:r>
        <w:t xml:space="preserve"> </w:t>
      </w:r>
      <w:r>
        <w:t>Prx1</w:t>
      </w:r>
      <w:r>
        <w:t xml:space="preserve"> </w:t>
      </w:r>
      <w:r>
        <w:t>+</w:t>
      </w:r>
      <w:r>
        <w:t xml:space="preserve"> </w:t>
      </w:r>
      <w:r>
        <w:t>skeletal progenitors (</w:t>
      </w:r>
      <w:r>
        <w:t xml:space="preserve"> </w:t>
      </w:r>
      <w:r>
        <w:t>Ppp1r15b</w:t>
      </w:r>
      <w:r>
        <w:t xml:space="preserve"> </w:t>
      </w:r>
      <w:r>
        <w:t>Prx1</w:t>
      </w:r>
      <w:r>
        <w:t xml:space="preserve"> </w:t>
      </w:r>
      <w:r>
        <w:t>) impairs chondrogenesis, resulting in a disorganized growth plate, reduced trabecular bone, and shortened long bones in mice. Similarly, inducible deletion of</w:t>
      </w:r>
      <w:r>
        <w:t xml:space="preserve"> </w:t>
      </w:r>
      <w:r>
        <w:t>Ppp1r15b</w:t>
      </w:r>
      <w:r>
        <w:t xml:space="preserve"> </w:t>
      </w:r>
      <w:r>
        <w:t>in</w:t>
      </w:r>
      <w:r>
        <w:t xml:space="preserve"> </w:t>
      </w:r>
      <w:r>
        <w:t>Col2</w:t>
      </w:r>
      <w:r>
        <w:t xml:space="preserve"> </w:t>
      </w:r>
      <w:r>
        <w:t>+</w:t>
      </w:r>
      <w:r>
        <w:t xml:space="preserve"> </w:t>
      </w:r>
      <w:r>
        <w:t>chondroprogenitors (</w:t>
      </w:r>
      <w:r>
        <w:t xml:space="preserve"> </w:t>
      </w:r>
      <w:r>
        <w:t>Ppp1r15b</w:t>
      </w:r>
      <w:r>
        <w:t xml:space="preserve"> </w:t>
      </w:r>
      <w:r>
        <w:t>Col2</w:t>
      </w:r>
      <w:r>
        <w:t xml:space="preserve"> </w:t>
      </w:r>
      <w:r>
        <w:t>) leads to abnormal cartilage development and bone growth. Remarkably, no skeletal phenotype is observed in mice lacking</w:t>
      </w:r>
      <w:r>
        <w:t xml:space="preserve"> </w:t>
      </w:r>
      <w:r>
        <w:t>Ppp1r15b</w:t>
      </w:r>
      <w:r>
        <w:t xml:space="preserve"> </w:t>
      </w:r>
      <w:r>
        <w:t>in committed</w:t>
      </w:r>
      <w:r>
        <w:t xml:space="preserve"> </w:t>
      </w:r>
      <w:r>
        <w:t>Osx</w:t>
      </w:r>
      <w:r>
        <w:t xml:space="preserve"> </w:t>
      </w:r>
      <w:r>
        <w:t>+</w:t>
      </w:r>
      <w:r>
        <w:t xml:space="preserve"> </w:t>
      </w:r>
      <w:r>
        <w:t>osteoprogenitors (</w:t>
      </w:r>
      <w:r>
        <w:t xml:space="preserve"> </w:t>
      </w:r>
      <w:r>
        <w:t>Ppp1r15b</w:t>
      </w:r>
      <w:r>
        <w:t xml:space="preserve"> </w:t>
      </w:r>
      <w:r>
        <w:t>Osx</w:t>
      </w:r>
      <w:r>
        <w:t xml:space="preserve"> </w:t>
      </w:r>
      <w:r>
        <w:t>) and</w:t>
      </w:r>
      <w:r>
        <w:t xml:space="preserve"> </w:t>
      </w:r>
      <w:r>
        <w:t>Dmp1</w:t>
      </w:r>
      <w:r>
        <w:t xml:space="preserve"> </w:t>
      </w:r>
      <w:r>
        <w:t>+</w:t>
      </w:r>
      <w:r>
        <w:t xml:space="preserve"> </w:t>
      </w:r>
      <w:r>
        <w:t>mature osteoblasts and osteocytes (</w:t>
      </w:r>
      <w:r>
        <w:t xml:space="preserve"> </w:t>
      </w:r>
      <w:r>
        <w:t>Ppp1r15b</w:t>
      </w:r>
      <w:r>
        <w:t xml:space="preserve"> </w:t>
      </w:r>
      <w:r>
        <w:t>Dmp1</w:t>
      </w:r>
      <w:r>
        <w:t xml:space="preserve"> </w:t>
      </w:r>
      <w:r>
        <w:t>), indicating that its role is limited to regulation of chondrogenesis, not osteogenic differentiation. Mechanistically, PPP1R15B deletion increases eIF2α phosphorylation, which in turn enhances lipogenic gene expression by suppressing leptin expression. This effect was reversed in</w:t>
      </w:r>
      <w:r>
        <w:t xml:space="preserve"> </w:t>
      </w:r>
      <w:r>
        <w:t>Ppp1r15b</w:t>
      </w:r>
      <w:r>
        <w:t xml:space="preserve"> </w:t>
      </w:r>
      <w:r>
        <w:t>Prx1</w:t>
      </w:r>
      <w:r>
        <w:t xml:space="preserve"> </w:t>
      </w:r>
      <w:r>
        <w:t>mice by reconstitution with wild-type PPP1R15B, but not with a mutant form incapable of eIF2α dephosphorylation. Exogenous expression of leptin also reversed skeletal abnormalities in these mice. Collectively, these findings reveal a critical role for PPP1R15B in cartilage development through its regulation of lipid metabolism.</w:t>
      </w:r>
    </w:p>
    <w:p>
      <w:pPr>
        <w:spacing w:before="120" w:after="120"/>
      </w:pPr>
      <w:r>
        <w:rPr>
          <w:sz w:val="18"/>
        </w:rPr>
        <w:t>——————————————————————————————————————————————————————————————————————</w:t>
      </w:r>
    </w:p>
    <w:p>
      <w:pPr>
        <w:spacing w:before="160" w:after="40" w:line="240" w:lineRule="auto"/>
      </w:pPr>
      <w:r>
        <w:rPr>
          <w:b/>
        </w:rPr>
        <w:t xml:space="preserve">[117] </w:t>
      </w:r>
      <w:hyperlink r:id="rId499">
        <w:r>
          <w:rPr>
            <w:color w:val="1155CC"/>
            <w:u w:val="single"/>
          </w:rPr>
          <w:t>雌性海豚使用个体声音标签来追踪胁迫性的雄性海豚</w:t>
        </w:r>
      </w:hyperlink>
    </w:p>
    <w:p>
      <w:pPr>
        <w:spacing w:before="0" w:after="80"/>
      </w:pPr>
      <w:r>
        <w:rPr>
          <w:i/>
          <w:sz w:val="20"/>
        </w:rPr>
        <w:t>EN: Female dolphins use individual vocal labels to track coercive males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00">
        <w:r>
          <w:rPr>
            <w:color w:val="1155CC"/>
            <w:u w:val="single"/>
          </w:rPr>
          <w:t>10.1073/pnas.2531602123</w:t>
        </w:r>
      </w:hyperlink>
    </w:p>
    <w:p>
      <w:pPr>
        <w:spacing w:before="0" w:after="120"/>
      </w:pPr>
      <w:r>
        <w:rPr>
          <w:b/>
        </w:rPr>
        <w:t xml:space="preserve">Notes: </w:t>
      </w:r>
      <w:r>
        <w:t>abstract_source=crossref</w:t>
      </w:r>
    </w:p>
    <w:p>
      <w:pPr>
        <w:spacing w:before="0" w:after="80" w:lineRule="auto" w:line="276"/>
      </w:pPr>
      <w:r>
        <w:rPr>
          <w:b/>
        </w:rPr>
        <w:t xml:space="preserve">摘要（ZH）: </w:t>
      </w:r>
      <w:r>
        <w:t>动物依靠身份信号来引导社会关系、评估潜在的配偶并避免代价高昂的互动。虽然物种和群体层面的识别信号可以通过防止近交抑制和杂交来提供适应性优势，但我们对个体身份信号在配偶选择中所发挥的作用的理解明显缺乏。在具有强制交配系统的物种中，雌性必须仔细评估雄性行为，以最大限度地降低风险，同时最大限度地提高繁殖成功率，但使她们能够监测和应对雄性行为的机制仍然知之甚少。雄性印度太平洋宽吻海豚形成多层次联盟，争夺繁殖雌性的机会，这对雌性如何与雄性协商关系产生了重要影响。在这项研究中，我们通过对 17 名女性进行 34 次声音回放，并使用无人机安装的视频来分析她们对个体男性身份信号的行为反应，从而调查女性如何评估男性。我们将这些实验与长期行为数据结合起来，研究女性的生殖状态、社交能力和互动历史如何影响她们的反应。具有生育能力的女性对以较高比例胁迫女性的男性的身份信号表现出明显更强的厌恶反应，这表明女性会随着时间的推移跟踪男性行为，并根据她们对男性个体行为的经验，使用个体声音标签来指导生殖决策。这种能力表明女性能够整合有关的社会知识</w:t>
      </w:r>
    </w:p>
    <w:p>
      <w:pPr>
        <w:spacing w:before="0" w:after="200" w:lineRule="auto" w:line="276"/>
      </w:pPr>
      <w:r>
        <w:rPr>
          <w:b/>
        </w:rPr>
        <w:t xml:space="preserve">Abstract (EN): </w:t>
      </w:r>
      <w:r>
        <w:t>Animals rely on identity signaling to navigate social relationships, assess potential mates, and avoid costly interactions. While species- and group-level recognition signals can provide fitness advantages by preventing inbreeding depression and hybridization, our understanding of the role that individual identity signals can play in mate choice is notably lacking. In species with coercive mating systems, females must carefully evaluate male behavior to minimize risks while also maximizing reproductive success, yet the mechanisms that enable them to monitor and respond to male behavior remain poorly understood. Male Indo-Pacific bottlenose dolphins form multilevel alliances to compete for access to reproductive females, with important consequences for how females negotiate their relationships with males. In this study, we investigated how females assess males by conducting 34 sound playbacks to 17 females and using drone-mounted video to analyze their behavioral responses to individual male identity signals. We combined these experiments with long-term behavioral data to examine how female reproductive state, sociability, and interaction history shaped their responses. Females who were reproductively available showed a significantly stronger aversive response to the identity signals of males who coerced females at higher rates, suggesting that females track male behavior across time and use individual vocal labels to guide reproductive decision-making based on their experience of individual male behavior. This capacity suggests that females integrate social knowledge about individual males to strategically manage intersexual relationships and mate choice.</w:t>
      </w:r>
    </w:p>
    <w:p>
      <w:pPr>
        <w:spacing w:before="120" w:after="120"/>
      </w:pPr>
      <w:r>
        <w:rPr>
          <w:sz w:val="18"/>
        </w:rPr>
        <w:t>——————————————————————————————————————————————————————————————————————</w:t>
      </w:r>
    </w:p>
    <w:p>
      <w:pPr>
        <w:spacing w:before="160" w:after="40" w:line="240" w:lineRule="auto"/>
      </w:pPr>
      <w:r>
        <w:rPr>
          <w:b/>
        </w:rPr>
        <w:t xml:space="preserve">[118] </w:t>
      </w:r>
      <w:hyperlink r:id="rId501">
        <w:r>
          <w:rPr>
            <w:color w:val="1155CC"/>
            <w:u w:val="single"/>
          </w:rPr>
          <w:t>回复 Lemieux 等人：整合并不排除线粒体甘油 3 磷酸脱氢酶的重要性</w:t>
        </w:r>
      </w:hyperlink>
    </w:p>
    <w:p>
      <w:pPr>
        <w:spacing w:before="0" w:after="80"/>
      </w:pPr>
      <w:r>
        <w:rPr>
          <w:i/>
          <w:sz w:val="20"/>
        </w:rPr>
        <w:t>EN: Reply to Lemieux et al.: Integration does not preclude essentiality of mitochondrial glycerol-3-phosphate dehydrogenase</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02">
        <w:r>
          <w:rPr>
            <w:color w:val="1155CC"/>
            <w:u w:val="single"/>
          </w:rPr>
          <w:t>10.1073/pnas.2613403123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[119] </w:t>
      </w:r>
      <w:hyperlink r:id="rId503">
        <w:r>
          <w:rPr>
            <w:color w:val="1155CC"/>
            <w:u w:val="single"/>
          </w:rPr>
          <w:t>在重复的非药物干预下重置人口流动反应：对假设的大流行疲劳的影响</w:t>
        </w:r>
      </w:hyperlink>
    </w:p>
    <w:p>
      <w:pPr>
        <w:spacing w:before="0" w:after="80"/>
      </w:pPr>
      <w:r>
        <w:rPr>
          <w:i/>
          <w:sz w:val="20"/>
        </w:rPr>
        <w:t>EN: Resetting population mobility responses under repeated nonpharmaceutical interventions: Implications for hypothesized pandemic fatigue</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04">
        <w:r>
          <w:rPr>
            <w:color w:val="1155CC"/>
            <w:u w:val="single"/>
          </w:rPr>
          <w:t>10.1073/pnas.2533284123</w:t>
        </w:r>
      </w:hyperlink>
    </w:p>
    <w:p>
      <w:pPr>
        <w:spacing w:before="0" w:after="120"/>
      </w:pPr>
      <w:r>
        <w:rPr>
          <w:b/>
        </w:rPr>
        <w:t xml:space="preserve">Notes: </w:t>
      </w:r>
      <w:r>
        <w:t>abstract_source=crossref</w:t>
      </w:r>
    </w:p>
    <w:p>
      <w:pPr>
        <w:spacing w:before="0" w:after="80" w:lineRule="auto" w:line="276"/>
      </w:pPr>
      <w:r>
        <w:rPr>
          <w:b/>
        </w:rPr>
        <w:t xml:space="preserve">摘要（ZH）: </w:t>
      </w:r>
      <w:r>
        <w:t>非药物干预（NPI）对于在疫苗接种前阶段控制传染病至关重要，但其成功取决于人群对限制的持续行为反应。本研究调查了欧洲、北美、非洲和南美六个地理区域在新冠肺炎 (COVID-19) 疫情期间对分级限制系统的出行反应如何随时间演变。使用日常流动性数据和线性混合模型，我们描述了塑造这些反应的三个时间维度：累积的限制暴露、在给定层级下花费的时间以及重复重新引入同一层级。在给定等级下度过的时间会导致行动能力下降最快的衰减，在几天内产生的影响需要数月的限制才能达到累积暴露的效果。迭代应用较短的 NPI，并穿插临时放松，与重新引入限制时移动反应的恢复相关，从而减轻衰减，有时甚至加强反应。这些模式与大流行疲劳下讨论的机制一致，暂时放松可能会带来心理缓解和重新获得自主感，从而使公众在重新引入限制时重新愿意应对限制，同时保持与行为调整和结构性限制的相容性。然而，它们也与其他解释兼容，包括行为适应、流动性的结构性限制或对限制的不断发展的解释。这些发现</w:t>
      </w:r>
    </w:p>
    <w:p>
      <w:pPr>
        <w:spacing w:before="0" w:after="200" w:lineRule="auto" w:line="276"/>
      </w:pPr>
      <w:r>
        <w:rPr>
          <w:b/>
        </w:rPr>
        <w:t xml:space="preserve">Abstract (EN): </w:t>
      </w:r>
      <w:r>
        <w:t>Nonpharmaceutical interventions (NPIs) are essential for controlling infectious diseases during prevaccine periods, yet their success hinges on sustained population behavioral responses to restrictions. This study investigates how mobility responses to tiered restriction systems evolved over time during COVID-19 in six geographical regions across Europe, North America, Africa, and South America. Using daily mobility data and linear-mixed models, we characterized three temporal dimensions shaping these responses: cumulative exposure to restrictions, time spent under a given tier, and repeated reintroduction of the same tier. Time spent under a given tier caused the most rapid attenuation of mobility reduction, producing effects within days that cumulative exposure, required months of restrictions to achieve. Iterative application of shorter NPIs, interspersed with temporary relaxation, was associated with a restoration of mobility responses when restrictions were reintroduced, mitigating attenuation and sometimes even strengthening responses. These patterns are consistent with mechanisms discussed under the umbrella of pandemic fatigue, whereby temporary relaxation may provide psychological relief and a sense of regained autonomy that can renew public willingness to respond to restrictions when reintroduced, while remaining compatible with behavioral adjustment and structural constraints. However, they are also compatible with alternative explanations, including behavioral adaptation, structural constraints on mobility, or evolving interpretations of restrictions. These findings emphasize the dual benefits of short, strategic NPIs for epidemic control and public resilience, offering actionable insights for designing more sustainable pandemic interventions.</w:t>
      </w:r>
    </w:p>
    <w:p>
      <w:pPr>
        <w:spacing w:before="120" w:after="120"/>
      </w:pPr>
      <w:r>
        <w:rPr>
          <w:sz w:val="18"/>
        </w:rPr>
        <w:t>——————————————————————————————————————————————————————————————————————</w:t>
      </w:r>
    </w:p>
    <w:p>
      <w:pPr>
        <w:spacing w:before="160" w:after="40" w:line="240" w:lineRule="auto"/>
      </w:pPr>
      <w:r>
        <w:rPr>
          <w:b/>
        </w:rPr>
        <w:t xml:space="preserve">[120] </w:t>
      </w:r>
      <w:hyperlink r:id="rId505">
        <w:r>
          <w:rPr>
            <w:color w:val="1155CC"/>
            <w:u w:val="single"/>
          </w:rPr>
          <w:t>栖息地分裂驱动了保护性较差的宿主微生物组的组装</w:t>
        </w:r>
      </w:hyperlink>
    </w:p>
    <w:p>
      <w:pPr>
        <w:spacing w:before="0" w:after="80"/>
      </w:pPr>
      <w:r>
        <w:rPr>
          <w:i/>
          <w:sz w:val="20"/>
        </w:rPr>
        <w:t>EN: Habitat split drives assembly of less protective host microbiomes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06">
        <w:r>
          <w:rPr>
            <w:color w:val="1155CC"/>
            <w:u w:val="single"/>
          </w:rPr>
          <w:t>10.1073/pnas.2611093123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[121] </w:t>
      </w:r>
      <w:hyperlink r:id="rId507">
        <w:r>
          <w:rPr>
            <w:color w:val="1155CC"/>
            <w:u w:val="single"/>
          </w:rPr>
          <w:t>线粒体甘油-3-磷酸脱氢酶的“替代”或综合作用</w:t>
        </w:r>
      </w:hyperlink>
    </w:p>
    <w:p>
      <w:pPr>
        <w:spacing w:before="0" w:after="80"/>
      </w:pPr>
      <w:r>
        <w:rPr>
          <w:i/>
          <w:sz w:val="20"/>
        </w:rPr>
        <w:t>EN: “Alternative” or integrated role of mitochondrial glycerol-3-phosphate dehydrogenase</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08">
        <w:r>
          <w:rPr>
            <w:color w:val="1155CC"/>
            <w:u w:val="single"/>
          </w:rPr>
          <w:t>10.1073/pnas.2611388123</w:t>
        </w:r>
      </w:hyperlink>
    </w:p>
    <w:p>
      <w:pPr>
        <w:spacing w:before="0" w:after="120"/>
      </w:pPr>
      <w:r>
        <w:rPr>
          <w:b/>
        </w:rPr>
        <w:t xml:space="preserve">Notes: </w:t>
      </w:r>
      <w:r>
        <w:t>abstract_source=openalex</w:t>
      </w:r>
    </w:p>
    <w:p>
      <w:pPr>
        <w:spacing w:before="0" w:after="80" w:lineRule="auto" w:line="276"/>
      </w:pPr>
      <w:r>
        <w:rPr>
          <w:b/>
        </w:rPr>
        <w:t xml:space="preserve">摘要（ZH）: </w:t>
      </w:r>
      <w:r>
        <w:t>赫佩等人。 （1）研究线粒体三磷酸甘油脱氢酶（mtGpDH；E.C. 1.1.5.3）在果蝇生物能学中的作用。线粒体内膜中的黄素蛋白mtGpDH不是质子泵，与复合体II（CII）、电子转移黄素蛋白脱氢酶（ETFDH）和脯氨酸脱氢酶（ProDH；图1）相当。复合物 I (CI)，这些酶将电子转移到 Q 连接。mtGpDH 和类似的 ProDH 不仅在 CI 受损时发挥着重要的生理作用，而且在许多物种的各种组织中整合氧化磷酸化、糖酵解、脂质代谢和糖异生的代谢环境中发挥着重要的生理作用 (2-5)。因此，对所报道的表型的解释很复杂，特别是考虑到 mtGpDH 缺乏组中的高死亡率 (~45%)，因为原发性对生物能学的影响可能会被与有机体衰竭相关的继发性线粒体功能障碍所混淆。关于 ATP 产量和甘油磷酸盐对 O 2 消耗的贡献，酶 CI、CII 和 mtG-pDH 必须与 NADH-、琥珀酸-和甘油磷酸盐连接的氧电子传递途径（分别为 N、S 和 Gp；图 1）区分开来。使用底物组合 NS 和 NSGp 测量呼吸， Gp 路径对 NSGp 呼吸的贡献不能通过通量控制效率 j = (NSGp -NS)/NSGp 来量化，它表示 Gp 对 NS-呼吸的相对刺激作用 (6)。Herpe 等人。 (1) 将 j = 1.0（即 NS = 0）误解为耗氧量加倍</w:t>
      </w:r>
    </w:p>
    <w:p>
      <w:pPr>
        <w:spacing w:before="0" w:after="200" w:lineRule="auto" w:line="276"/>
      </w:pPr>
      <w:r>
        <w:rPr>
          <w:b/>
        </w:rPr>
        <w:t xml:space="preserve">Abstract (EN): </w:t>
      </w:r>
      <w:r>
        <w:t>Herpe et al. (1) investigate the role of mitochondrial glycerol-3phosphate dehydrogenase (mtGpDH; E.C. 1.1.5.3) in Drosophila bioenergetics.The flavoprotein mtGpDH in the mitochondrial inner membrane is not a proton pump, comparable to Complex II (CII), electron-transferring flavoprotein dehydrogenase (ETFDH), and proline dehydrogenase (ProDH; Fig. 1).Like Complex I (CI), these enzymes transfer electrons to the Q-junction.mtGpDH, and similarly ProDH, play important physiological roles not only when CI is impaired but within the metabolic context integrating oxidative phosphorylation, glycolysis, lipid metabolism, and gluconeogenesis in various tissues of many species (2-5).Interpretation of the reported phenotypes is therefore complex, particularly given the high mortality (~45 %) in the mtGpDH-deficient group, since primary effects on bioenergetics are likely confounded by secondary mitochondrial dysfunction associated with organismal failure.Regarding the ATP-yield and the contribution of glycerophosphate to O 2 consumption, the enzymes CI, CII, and mtG-pDH must be distinguished from the NADH-, succinate-, and glycerophosphate-linked electron transfer pathways to oxygen (N, S, and Gp, respectively; Fig. 1).Respiration was measured with substrate combinations NS and NSGp, not Gp alone.The contribution of the Gp-pathway to NSGp respiration cannot be quantified by the flux control efficiency, j = (NSGp -NS)/NSGp, which expresses the relative stimulatory effect of Gp on NS-respiration (6).Herpe et al. (1) misinterpret j = 1.0 (i.e., NS = 0) as a doubling of oxygen consumption after Gp addition.In fact, doubling flux would yield j = 0.5.This affects interpretation of their results.An NS-pathway capacity close to zero, indicated by j -values up to 0.99 in controls (1), is incompatible with insect physiology (7-9).Expressing ATP yield as "1.5 ATP per FADH 2 " compared to the N-pathway is misleading, because glycerophosphate and succinate-not tightly bound FADH 2 -are the sources of reducing equivalents, 2{H + +e -}, in the Gp-and S-electron transfer pathways (10), whereas NADH supplies electrons to CI in the N-pathway (Fig. 1).Inconsistencies arise in calculating ATP/O ratios from ATP production and oxygen consumption (Fig. 3 A andD ).These reach implausibly high values (CTRL: 461; GPO1: 245) far outside the range of 1 to 2 presented in Fig. 3G .The discrepancy likely reflects a unit error in ATP production (µmol vs. nmol), while conversion of O 2 -to atomic O-equivalents requires doubling rather than using half the corresponding O 2 consumption rate.More importantly, the highest and lowest ATP/O values (CTRL group) are omitted from Fig. 3G and suggested to be outliers, which was not confirmed by reanalysis with a Grubbs' test.Excluding these values affects the statistical outcome.Notably, because more protons are translocated in the N-than the Gp-pathway, loss of mtGpDH-supported respiration should increase the relative contribution of the</w:t>
      </w:r>
    </w:p>
    <w:p>
      <w:pPr>
        <w:spacing w:before="120" w:after="120"/>
      </w:pPr>
      <w:r>
        <w:rPr>
          <w:sz w:val="18"/>
        </w:rPr>
        <w:t>——————————————————————————————————————————————————————————————————————</w:t>
      </w:r>
    </w:p>
    <w:p>
      <w:pPr>
        <w:spacing w:before="160" w:after="40" w:line="240" w:lineRule="auto"/>
      </w:pPr>
      <w:r>
        <w:rPr>
          <w:b/>
        </w:rPr>
        <w:t xml:space="preserve">[122] </w:t>
      </w:r>
      <w:hyperlink r:id="rId509">
        <w:r>
          <w:rPr>
            <w:color w:val="1155CC"/>
            <w:u w:val="single"/>
          </w:rPr>
          <w:t>超越温度：为什么农业气候适应需要系统方法</w:t>
        </w:r>
      </w:hyperlink>
    </w:p>
    <w:p>
      <w:pPr>
        <w:spacing w:before="0" w:after="80"/>
      </w:pPr>
      <w:r>
        <w:rPr>
          <w:i/>
          <w:sz w:val="20"/>
        </w:rPr>
        <w:t>EN: Beyond temperature: Why climate adaptation in agriculture needs a systems approach</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10">
        <w:r>
          <w:rPr>
            <w:color w:val="1155CC"/>
            <w:u w:val="single"/>
          </w:rPr>
          <w:t>10.1073/pnas.2614201123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[123] </w:t>
      </w:r>
      <w:hyperlink r:id="rId511">
        <w:r>
          <w:rPr>
            <w:color w:val="1155CC"/>
            <w:u w:val="single"/>
          </w:rPr>
          <w:t>靶向联合疗法可有效消退胰腺癌并防止肿瘤耐药</w:t>
        </w:r>
      </w:hyperlink>
    </w:p>
    <w:p>
      <w:pPr>
        <w:spacing w:before="0" w:after="80"/>
      </w:pPr>
      <w:r>
        <w:rPr>
          <w:i/>
          <w:sz w:val="20"/>
        </w:rPr>
        <w:t>EN: A targeted combination therapy achieves effective pancreatic cancer regression and prevents tumor resistance</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12">
        <w:r>
          <w:rPr>
            <w:color w:val="1155CC"/>
            <w:u w:val="single"/>
          </w:rPr>
          <w:t>10.1073/pnas.2610708123</w:t>
        </w:r>
      </w:hyperlink>
    </w:p>
    <w:p>
      <w:pPr>
        <w:spacing w:before="0" w:after="120"/>
      </w:pPr>
      <w:r>
        <w:rPr>
          <w:b/>
        </w:rPr>
        <w:t xml:space="preserve">Notes: </w:t>
      </w:r>
      <w:r>
        <w:t>abstract_source=crossref</w:t>
      </w:r>
    </w:p>
    <w:p>
      <w:pPr>
        <w:spacing w:before="0" w:after="80" w:lineRule="auto" w:line="276"/>
      </w:pPr>
      <w:r>
        <w:rPr>
          <w:b/>
        </w:rPr>
        <w:t xml:space="preserve">摘要（ZH）: </w:t>
      </w:r>
      <w:r>
        <w:t>胰腺导管腺癌（PDAC）是存活率最低的癌症之一。最近使用 RAS 抑制剂的研究为更有效的治疗打开了大门，尽管它们的有益效果仍然有限，主要是由于肿瘤耐药性的迅速出现。在这里，我们证明，对涉及下游 (RAF1)、上游 (EGFR) 和正交 (STAT3) KRAS 信号通路的三个独立节点进行基因消融，可导致由以下因素诱导的原位 PDAC 的完全和永久消退：</w:t>
      </w:r>
      <w:r>
        <w:t xml:space="preserve"> </w:t>
      </w:r>
      <w:r>
        <w:t>K</w:t>
      </w:r>
      <w:r>
        <w:t xml:space="preserve"> </w:t>
      </w:r>
      <w:r>
        <w:t>拉斯</w:t>
      </w:r>
      <w:r>
        <w:t xml:space="preserve"> </w:t>
      </w:r>
      <w:r>
        <w:t>/</w:t>
      </w:r>
      <w:r>
        <w:t>时间</w:t>
      </w:r>
      <w:r>
        <w:t xml:space="preserve"> </w:t>
      </w:r>
      <w:r>
        <w:t>p53</w:t>
      </w:r>
      <w:r>
        <w:t xml:space="preserve"> </w:t>
      </w:r>
      <w:r>
        <w:t>突变。同样，KRAS (RMC-6236/daraxonrasib)、EGFR 家族 (afatinib) 和 STAT3 (SD36) 选择性抑制剂的组合诱导原位 PDAC 肿瘤完全消退，治疗后 200 多天没有肿瘤耐药的证据。这种联合疗法还导致基因工程小鼠肿瘤以及患者来源的肿瘤异种移植物（PDX）在没有肿瘤复发的情况下显着消退。重要的是，这种联合疗法具有良好的耐受性。总之，这些结果应该指导新的临床试验的开发，使 PDAC 患者受益。</w:t>
      </w:r>
    </w:p>
    <w:p>
      <w:pPr>
        <w:spacing w:before="0" w:after="200" w:lineRule="auto" w:line="276"/>
      </w:pPr>
      <w:r>
        <w:rPr>
          <w:b/>
        </w:rPr>
        <w:t xml:space="preserve">Abstract (EN): </w:t>
      </w:r>
      <w:r>
        <w:t>Pancreatic ductal adenocarcinoma (PDAC) has one of the lowest cancer survival rates. Recent studies using RAS inhibitors have opened the door to more efficacious therapies although their beneficial effect is still limited mainly due to the rapid appearance of tumor resistance. Here, we demonstrate that genetic ablation of three independent nodes involved in downstream (RAF1), upstream (EGFR), and orthogonal (STAT3) KRAS signaling pathways leads to complete and permanent regression of orthotopic PDACs induced by</w:t>
      </w:r>
      <w:r>
        <w:t xml:space="preserve"> </w:t>
      </w:r>
      <w:r>
        <w:t>K</w:t>
      </w:r>
      <w:r>
        <w:t xml:space="preserve"> </w:t>
      </w:r>
      <w:r>
        <w:t>ras</w:t>
      </w:r>
      <w:r>
        <w:t xml:space="preserve"> </w:t>
      </w:r>
      <w:r>
        <w:t>/</w:t>
      </w:r>
      <w:r>
        <w:t>T</w:t>
      </w:r>
      <w:r>
        <w:t xml:space="preserve"> </w:t>
      </w:r>
      <w:r>
        <w:t>p53</w:t>
      </w:r>
      <w:r>
        <w:t xml:space="preserve"> </w:t>
      </w:r>
      <w:r>
        <w:t>mutations. Likewise, a combination of selective inhibitors of KRAS (RMC-6236/daraxonrasib), EGFR family (afatinib), and STAT3 (SD36) induced the complete regression of orthotopic PDAC tumors with no evidence of tumor resistance for over 200 d posttreatment. This combination therapy also led to significant regression of genetically engineered mouse tumors as well as patient-derived tumor xenografts (PDX) in the absence of tumor relapses. Of importance, this combination therapy was well tolerated. In sum, these results should guide the development of new clinical trials that may benefit PDAC patients.</w:t>
      </w:r>
    </w:p>
    <w:p>
      <w:pPr>
        <w:spacing w:before="120" w:after="120"/>
      </w:pPr>
      <w:r>
        <w:rPr>
          <w:sz w:val="18"/>
        </w:rPr>
        <w:t>——————————————————————————————————————————————————————————————————————</w:t>
      </w:r>
    </w:p>
    <w:p>
      <w:pPr>
        <w:spacing w:before="160" w:after="40" w:line="240" w:lineRule="auto"/>
      </w:pPr>
      <w:r>
        <w:rPr>
          <w:b/>
        </w:rPr>
        <w:t xml:space="preserve">[124] </w:t>
      </w:r>
      <w:hyperlink r:id="rId513">
        <w:r>
          <w:rPr>
            <w:color w:val="1155CC"/>
            <w:u w:val="single"/>
          </w:rPr>
          <w:t>钾控制耳念珠菌的皮肤适应</w:t>
        </w:r>
      </w:hyperlink>
    </w:p>
    <w:p>
      <w:pPr>
        <w:spacing w:before="0" w:after="80"/>
      </w:pPr>
      <w:r>
        <w:rPr>
          <w:i/>
          <w:sz w:val="20"/>
        </w:rPr>
        <w:t>EN: Potassium controls skin adaptation in Candida auris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14">
        <w:r>
          <w:rPr>
            <w:color w:val="1155CC"/>
            <w:u w:val="single"/>
          </w:rPr>
          <w:t>10.1073/pnas.2611972123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[125] </w:t>
      </w:r>
      <w:hyperlink r:id="rId515">
        <w:r>
          <w:rPr>
            <w:color w:val="1155CC"/>
            <w:u w:val="single"/>
          </w:rPr>
          <w:t>少突胶质细胞上的 GPIHBP1 结合人脑内的脂蛋白脂肪酶</w:t>
        </w:r>
      </w:hyperlink>
    </w:p>
    <w:p>
      <w:pPr>
        <w:spacing w:before="0" w:after="80"/>
      </w:pPr>
      <w:r>
        <w:rPr>
          <w:i/>
          <w:sz w:val="20"/>
        </w:rPr>
        <w:t>EN: GPIHBP1 on oligodendrocytes binds lipoprotein lipase within the human brain</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16">
        <w:r>
          <w:rPr>
            <w:color w:val="1155CC"/>
            <w:u w:val="single"/>
          </w:rPr>
          <w:t>10.1073/pnas.2610646123</w:t>
        </w:r>
      </w:hyperlink>
    </w:p>
    <w:p>
      <w:pPr>
        <w:spacing w:before="0" w:after="120"/>
      </w:pPr>
      <w:r>
        <w:rPr>
          <w:b/>
        </w:rPr>
        <w:t xml:space="preserve">Notes: </w:t>
      </w:r>
      <w:r>
        <w:t>abstract_source=crossref</w:t>
      </w:r>
    </w:p>
    <w:p>
      <w:pPr>
        <w:spacing w:before="0" w:after="80" w:lineRule="auto" w:line="276"/>
      </w:pPr>
      <w:r>
        <w:rPr>
          <w:b/>
        </w:rPr>
        <w:t xml:space="preserve">摘要（ZH）: </w:t>
      </w:r>
      <w:r>
        <w:t>在外周组织中，脂蛋白脂肪酶（LPL）由实质细胞（脂肪细胞、肌细胞）分泌到间质空间，在那里被 GPIHBP1（毛细血管内皮细胞的糖基磷脂酰肌醇锚定蛋白）捕获并护送至毛细血管的管腔表面。毛细血管内的 LPL 水解血浆脂蛋白中的甘油脂，为实质细胞释放脂肪酸。在中枢神经系统中，LPL 由多种细胞类型 [例如小胶质细胞、少突胶质细胞前体细胞 (OPC)] 合成并分泌到间质中，但 LPL 的结合位点尚未确定。通过检查人脑的单核 RNA-seq 数据库，我们发现</w:t>
      </w:r>
      <w:r>
        <w:t xml:space="preserve"> </w:t>
      </w:r>
      <w:r>
        <w:t>GPIHBP1</w:t>
      </w:r>
      <w:r>
        <w:t xml:space="preserve"> </w:t>
      </w:r>
      <w:r>
        <w:t>由少突胶质细胞表达，但不由 OPC 表达。这种基因表达谱（少突胶质细胞含量高，OPC 含量低）也在髓磷脂结构蛋白、脂肪酸结合和转运蛋白以及脂质生物合成酶的基因中观察到。</w:t>
      </w:r>
      <w:r>
        <w:t xml:space="preserve"> </w:t>
      </w:r>
      <w:r>
        <w:t>GPIHBP1</w:t>
      </w:r>
      <w:r>
        <w:t xml:space="preserve"> </w:t>
      </w:r>
      <w:r>
        <w:t>通过人脑原位杂交研究和免疫组织化学染色证实了少突胶质细胞中的表达。值得注意的是，GPIHBP1 和 LPL 共定位于人脑的少突胶质细胞上。我们的研究结果确定 GPIHBP1 是人脑间质 LPL 的主要结合位点，并表明 GPIHBP1 结合的 LPL 可以水解间质脂质，从而为少突胶质细胞提供脂肪酸营养。</w:t>
      </w:r>
    </w:p>
    <w:p>
      <w:pPr>
        <w:spacing w:before="0" w:after="200" w:lineRule="auto" w:line="276"/>
      </w:pPr>
      <w:r>
        <w:rPr>
          <w:b/>
        </w:rPr>
        <w:t xml:space="preserve">Abstract (EN): </w:t>
      </w:r>
      <w:r>
        <w:t>In peripheral tissues, lipoprotein lipase (LPL) is secreted by parenchymal cells (adipocytes, myocytes) into the interstitial spaces, where it is captured by GPIHBP1 (a glycosylphosphatidylinositol-anchored protein of capillary endothelial cells) and escorted to the luminal surface of capillaries. The LPL inside capillaries hydrolyzes glycerolipids in the plasma lipoproteins, releasing fatty acids for parenchymal cells. In the central nervous system, LPL is synthesized by multiple cell types [e.g., microglia, oligodendrocyte precursor cells (OPCs)] and secreted into the interstitium, but a binding site for the LPL has never been identified. By examining single nuclei RNA-seq databases of the human brain, we found that</w:t>
      </w:r>
      <w:r>
        <w:t xml:space="preserve"> </w:t>
      </w:r>
      <w:r>
        <w:t>GPIHBP1</w:t>
      </w:r>
      <w:r>
        <w:t xml:space="preserve"> </w:t>
      </w:r>
      <w:r>
        <w:t>is expressed by oligodendrocytes but not by OPCs. This gene-expression profile (high in oligodendrocytes, low in OPCs) is also observed in genes for myelin structural proteins, fatty acid binding and transport proteins, and lipid biosynthetic enzymes.</w:t>
      </w:r>
      <w:r>
        <w:t xml:space="preserve"> </w:t>
      </w:r>
      <w:r>
        <w:t>GPIHBP1</w:t>
      </w:r>
      <w:r>
        <w:t xml:space="preserve"> </w:t>
      </w:r>
      <w:r>
        <w:t>expression in oligodendrocytes was confirmed by in situ hybridization studies of human brain and by immunohistochemical staining. Of note, GPIHBP1 and LPL are colocalized on oligodendrocytes in the human brain. Our findings identify GPIHBP1 as a principal binding site for interstitial LPL in the human brain and suggest that GPIHBP1-bound LPL could hydrolyze interstitial lipids and thereby supply oligodendrocytes with fatty acid nutrients.</w:t>
      </w:r>
    </w:p>
    <w:p>
      <w:pPr>
        <w:spacing w:before="120" w:after="120"/>
      </w:pPr>
      <w:r>
        <w:rPr>
          <w:sz w:val="18"/>
        </w:rPr>
        <w:t>——————————————————————————————————————————————————————————————————————</w:t>
      </w:r>
    </w:p>
    <w:p>
      <w:pPr>
        <w:spacing w:before="160" w:after="40" w:line="240" w:lineRule="auto"/>
      </w:pPr>
      <w:r>
        <w:rPr>
          <w:b/>
        </w:rPr>
        <w:t xml:space="preserve">[126] </w:t>
      </w:r>
      <w:hyperlink r:id="rId517">
        <w:r>
          <w:rPr>
            <w:color w:val="1155CC"/>
            <w:u w:val="single"/>
          </w:rPr>
          <w:t>古老的橡树揭示了黑死病后地中海森林的野化</w:t>
        </w:r>
      </w:hyperlink>
    </w:p>
    <w:p>
      <w:pPr>
        <w:spacing w:before="0" w:after="80"/>
      </w:pPr>
      <w:r>
        <w:rPr>
          <w:i/>
          <w:sz w:val="20"/>
        </w:rPr>
        <w:t>EN: Ancient oaks reveal rewilding of Mediterranean forests after the Black Death</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18">
        <w:r>
          <w:rPr>
            <w:color w:val="1155CC"/>
            <w:u w:val="single"/>
          </w:rPr>
          <w:t>10.1073/pnas.2529341123</w:t>
        </w:r>
      </w:hyperlink>
    </w:p>
    <w:p>
      <w:pPr>
        <w:spacing w:before="0" w:after="120"/>
      </w:pPr>
      <w:r>
        <w:rPr>
          <w:b/>
        </w:rPr>
        <w:t xml:space="preserve">Notes: </w:t>
      </w:r>
      <w:r>
        <w:t>abstract_source=crossref</w:t>
      </w:r>
    </w:p>
    <w:p>
      <w:pPr>
        <w:spacing w:before="0" w:after="80" w:lineRule="auto" w:line="276"/>
      </w:pPr>
      <w:r>
        <w:rPr>
          <w:b/>
        </w:rPr>
        <w:t xml:space="preserve">摘要（ZH）: </w:t>
      </w:r>
      <w:r>
        <w:t>在意大利，常绿圣栎（</w:t>
      </w:r>
      <w:r>
        <w:t xml:space="preserve"> </w:t>
      </w:r>
      <w:r>
        <w:t>冬青</w:t>
      </w:r>
      <w:r>
        <w:t xml:space="preserve"> </w:t>
      </w:r>
      <w:r>
        <w:t>）和落叶无柄橡树（</w:t>
      </w:r>
      <w:r>
        <w:t xml:space="preserve"> </w:t>
      </w:r>
      <w:r>
        <w:t>山栎</w:t>
      </w:r>
      <w:r>
        <w:t xml:space="preserve"> </w:t>
      </w:r>
      <w:r>
        <w:t>）经历了从公元 1400 年代初开始的同步建立脉冲，这与黑死病爆发（公元 1347 年）及其后续浪潮（直到 17 世纪）相关的人口崩溃后人为压力的释放一致。对每个物种最古老的个体进行的放射性碳测年显示，位于森林海拔梯度极端的地点的树龄分布相似：蒙特克里斯托岛（海拔 100 至 500 米）和阿斯普罗蒙特山（海拔 1,100 至 1,800 米）。蒙特克里斯托拥有有利的沿海条件，在公元 1400 年之后出现了明显的招募高峰，而阿斯普罗蒙特山区的海拔更高，需要更长和更延迟的招募期。这两个不相关的橡树种群的极端长寿是由不同的功能特征和恢复机制实现的，凸显了由人类悲剧引发的古代野化事件。</w:t>
      </w:r>
    </w:p>
    <w:p>
      <w:pPr>
        <w:spacing w:before="0" w:after="200" w:lineRule="auto" w:line="276"/>
      </w:pPr>
      <w:r>
        <w:rPr>
          <w:b/>
        </w:rPr>
        <w:t xml:space="preserve">Abstract (EN): </w:t>
      </w:r>
      <w:r>
        <w:t>In Italy, evergreen holm oaks (</w:t>
      </w:r>
      <w:r>
        <w:t xml:space="preserve"> </w:t>
      </w:r>
      <w:r>
        <w:t>Quercus ilex</w:t>
      </w:r>
      <w:r>
        <w:t xml:space="preserve"> </w:t>
      </w:r>
      <w:r>
        <w:t>) and deciduous sessile oaks (</w:t>
      </w:r>
      <w:r>
        <w:t xml:space="preserve"> </w:t>
      </w:r>
      <w:r>
        <w:t>Quercus petraea</w:t>
      </w:r>
      <w:r>
        <w:t xml:space="preserve"> </w:t>
      </w:r>
      <w:r>
        <w:t>) experienced a synchronized establishment pulse starting at the beginning of 1400s CE, consistent with a release from anthropogenic pressure following demographic collapse associated with the Black Death outbreak (1347 CE) and its following waves until the 17th century. Radiocarbon dating of the oldest-looking individuals of each species revealed similar tree-age distributions across sites located at the extremes of the forest elevational gradient: Montecristo Island (100 to 500 m a.s.l.) and Aspromonte mountain (1,100 to 1,800 m a.s.l.). Montecristo, with its favorable coastal conditions, showed a pronounced post-1400 CE recruitment peak, while the mountainous Aspromonte region, at harsher high elevations, required a more extended and delayed period of recruitment. The extreme longevity of these two unrelated oak populations is enabled by different functional traits and resilience mechanisms, highlighting an ancient rewilding event spurred by human tragedy.</w:t>
      </w:r>
    </w:p>
    <w:p>
      <w:pPr>
        <w:spacing w:before="120" w:after="120"/>
      </w:pPr>
      <w:r>
        <w:rPr>
          <w:sz w:val="18"/>
        </w:rPr>
        <w:t>——————————————————————————————————————————————————————————————————————</w:t>
      </w:r>
    </w:p>
    <w:p>
      <w:pPr>
        <w:spacing w:before="160" w:after="40" w:line="240" w:lineRule="auto"/>
      </w:pPr>
      <w:r>
        <w:rPr>
          <w:b/>
        </w:rPr>
        <w:t xml:space="preserve">[127] </w:t>
      </w:r>
      <w:hyperlink r:id="rId519">
        <w:r>
          <w:rPr>
            <w:color w:val="1155CC"/>
            <w:u w:val="single"/>
          </w:rPr>
          <w:t>双语能力可预测 COVID-19 后老年执行功能的恢复能力</w:t>
        </w:r>
      </w:hyperlink>
    </w:p>
    <w:p>
      <w:pPr>
        <w:spacing w:before="0" w:after="80"/>
      </w:pPr>
      <w:r>
        <w:rPr>
          <w:i/>
          <w:sz w:val="20"/>
        </w:rPr>
        <w:t>EN: Bilingualism predicts executive function resilience after COVID-19 in aging</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20">
        <w:r>
          <w:rPr>
            <w:color w:val="1155CC"/>
            <w:u w:val="single"/>
          </w:rPr>
          <w:t>10.1073/pnas.2532470123</w:t>
        </w:r>
      </w:hyperlink>
    </w:p>
    <w:p>
      <w:pPr>
        <w:spacing w:before="0" w:after="120"/>
      </w:pPr>
      <w:r>
        <w:rPr>
          <w:b/>
        </w:rPr>
        <w:t xml:space="preserve">Notes: </w:t>
      </w:r>
      <w:r>
        <w:t>abstract_source=crossref</w:t>
      </w:r>
    </w:p>
    <w:p>
      <w:pPr>
        <w:spacing w:before="0" w:after="80" w:lineRule="auto" w:line="276"/>
      </w:pPr>
      <w:r>
        <w:rPr>
          <w:b/>
        </w:rPr>
        <w:t xml:space="preserve">摘要（ZH）: </w:t>
      </w:r>
      <w:r>
        <w:t>双语与执行功能（EF）的增强有关，特别是注意力控制，并且可能有助于防止老年认知能力下降。与此同时，COVID-19 大流行已成为对老年人 EF 产生负面影响的一个因素。双语可能通过增强认知储备来抵御这些与新冠病毒相关的认知衰退，尤其是在成年晚期。本研究收集了 312 名社区居民的整个成年寿命（18 岁至 80 岁）的数据，以实现两个目标。目标 1 是确定成人一生中连接双语和 EF 的潜在结构，使用连续的多变量方法来帮助解决文献中的争议。目标 2 是确定双语是否可以防止最脆弱的老年人群在新冠疫情后 EF 下降。我们使用偏最小二乘相关 (PLSC) 分析来提取多个双语体验测量（和相关协变量）与一系列 EF 任务结果之间的潜在关系。结果显示，具有较多双语经验（L2 学习年龄较早和 L2 熟练程度较高）的个体与执行功能测量存在多变量关联，在任务切换表现中观察到最一致的行为表达。较早的 L2 AoA 与报告有 COVID 病史的老年人中更好的非语言任务转换表现最密切相关，即使是在连续建模 COVID 负担时（即感染次数和上次感染的新近时间）</w:t>
      </w:r>
    </w:p>
    <w:p>
      <w:pPr>
        <w:spacing w:before="0" w:after="200" w:lineRule="auto" w:line="276"/>
      </w:pPr>
      <w:r>
        <w:rPr>
          <w:b/>
        </w:rPr>
        <w:t xml:space="preserve">Abstract (EN): </w:t>
      </w:r>
      <w:r>
        <w:t>Bilingualism has been associated with enhanced executive functions (EFs), particularly attentional control, and may confer protection against cognitive decline in older age. At the same time, the COVID-19 pandemic has emerged as a factor negatively affecting EF in older adults. Bilingualism might offer resilience against these COVID-related cognitive declines, especially in late adulthood, by bolstering cognitive reserve. The present study collected data from 312 community-dwelling individuals spanning the adult lifespan (aged 18 to 80) to address two goals. Goal 1 was to identify a latent structure linking bilingualism and EF across the adult lifespan, using a continuous multivariate approach to help resolve controversies in the literature. Goal 2 was to determine whether bilingualism can protect against post-COVID EF decline in the most vulnerable older age group. We used partial least squares correlation (PLSC) analysis to extract latent relationships between multiple bilingual experience measures (and relevant covariates) and a battery of EF task outcomes. Results revealed that individuals with greater bilingual experience (earlier L2 age of acquisition and greater L2 proficiency) showed a multivariate association with executive function measures, with the most consistent behavioral expression observed in task-switching performance. Earlier L2 AoA was most robustly associated with better nonverbal task-switching performance among older adults reporting a history of COVID, even when modeling COVID burden continuously (i.e., number of infections and recency of last infection). These findings demonstrate that bilingual experience contributes to resilience in attentional control under flexible task-switching demands in older adults even in the context of COVID-19.</w:t>
      </w:r>
    </w:p>
    <w:p>
      <w:pPr>
        <w:spacing w:before="120" w:after="120"/>
      </w:pPr>
      <w:r>
        <w:rPr>
          <w:sz w:val="18"/>
        </w:rPr>
        <w:t>——————————————————————————————————————————————————————————————————————</w:t>
      </w:r>
    </w:p>
    <w:p>
      <w:pPr>
        <w:spacing w:before="160" w:after="40" w:line="240" w:lineRule="auto"/>
      </w:pPr>
      <w:r>
        <w:rPr>
          <w:b/>
        </w:rPr>
        <w:t xml:space="preserve">[128] </w:t>
      </w:r>
      <w:hyperlink r:id="rId521">
        <w:r>
          <w:rPr>
            <w:color w:val="1155CC"/>
            <w:u w:val="single"/>
          </w:rPr>
          <w:t>加拿大野火正在失去火后积雪反照率对气候降温的影响</w:t>
        </w:r>
      </w:hyperlink>
    </w:p>
    <w:p>
      <w:pPr>
        <w:spacing w:before="0" w:after="80"/>
      </w:pPr>
      <w:r>
        <w:rPr>
          <w:i/>
          <w:sz w:val="20"/>
        </w:rPr>
        <w:t>EN: Canadian wildfires are losing their climate-cooling influence from postfire snow albedo</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22">
        <w:r>
          <w:rPr>
            <w:color w:val="1155CC"/>
            <w:u w:val="single"/>
          </w:rPr>
          <w:t>10.1073/pnas.2600434123</w:t>
        </w:r>
      </w:hyperlink>
    </w:p>
    <w:p>
      <w:pPr>
        <w:spacing w:before="0" w:after="120"/>
      </w:pPr>
      <w:r>
        <w:rPr>
          <w:b/>
        </w:rPr>
        <w:t xml:space="preserve">Notes: </w:t>
      </w:r>
      <w:r>
        <w:t>abstract_source=crossref</w:t>
      </w:r>
    </w:p>
    <w:p>
      <w:pPr>
        <w:spacing w:before="0" w:after="80" w:lineRule="auto" w:line="276"/>
      </w:pPr>
      <w:r>
        <w:rPr>
          <w:b/>
        </w:rPr>
        <w:t xml:space="preserve">摘要（ZH）: </w:t>
      </w:r>
      <w:r>
        <w:t>2023 年加拿大火灾季的过火面积和碳排放量均创纪录。在这里，我们对火灾后地表反照率变化对区域气候变冷的影响进行了估计，这些变化在历史上部分抵消了野火排放造成的变暖影响。我们估计 2023 年的火灾造成了 –3.41 W m 的时间综合气候降温</w:t>
      </w:r>
      <w:r>
        <w:t xml:space="preserve"> </w:t>
      </w:r>
      <w:r>
        <w:t>−2</w:t>
      </w:r>
      <w:r>
        <w:t xml:space="preserve"> </w:t>
      </w:r>
      <w:r>
        <w:t>70 年期间烧伤面积（95% CI：-4.39 至 -2.43）。我们发现，自 20 世纪 60 年代以来，由于积雪和持续时间的变化，气候变冷的影响平均减弱了 29%。总的来说，这一结果意味着现代北方火灾造成气候变暖净影响的可能性是平均两倍。</w:t>
      </w:r>
    </w:p>
    <w:p>
      <w:pPr>
        <w:spacing w:before="0" w:after="200" w:lineRule="auto" w:line="276"/>
      </w:pPr>
      <w:r>
        <w:rPr>
          <w:b/>
        </w:rPr>
        <w:t xml:space="preserve">Abstract (EN): </w:t>
      </w:r>
      <w:r>
        <w:t>The 2023 Canadian fire season was record-breaking in terms of burned area and carbon emissions. Here, we present estimates of the regional climate-cooling effect from postfire surface albedo changes, which have historically partially offset the warming influence of fire emissions by wildfires. We estimate that the 2023 fires generated a time-integrated climate cooling of –3.41 W m</w:t>
      </w:r>
      <w:r>
        <w:t xml:space="preserve"> </w:t>
      </w:r>
      <w:r>
        <w:t>−2</w:t>
      </w:r>
      <w:r>
        <w:t xml:space="preserve"> </w:t>
      </w:r>
      <w:r>
        <w:t>of burned area (95% CI: −4.39 to −2.43) over a 70-y period. We show that the climate-cooling impact has weakened on average by 29% since the 1960s due to changes in snow cover and duration. Collectively, this result implies that modern-day boreal fires are on average twice as likely to result in a net climate-warming influence.</w:t>
      </w:r>
    </w:p>
    <w:p>
      <w:pPr>
        <w:spacing w:before="120" w:after="120"/>
      </w:pPr>
      <w:r>
        <w:rPr>
          <w:sz w:val="18"/>
        </w:rPr>
        <w:t>——————————————————————————————————————————————————————————————————————</w:t>
      </w:r>
    </w:p>
    <w:p>
      <w:pPr>
        <w:spacing w:before="160" w:after="40" w:line="240" w:lineRule="auto"/>
      </w:pPr>
      <w:r>
        <w:rPr>
          <w:b/>
        </w:rPr>
        <w:t xml:space="preserve">[129] </w:t>
      </w:r>
      <w:hyperlink r:id="rId523">
        <w:r>
          <w:rPr>
            <w:color w:val="1155CC"/>
            <w:u w:val="single"/>
          </w:rPr>
          <w:t>回复Lü：跨尺度的亲气界面</w:t>
        </w:r>
      </w:hyperlink>
    </w:p>
    <w:p>
      <w:pPr>
        <w:spacing w:before="0" w:after="80"/>
      </w:pPr>
      <w:r>
        <w:rPr>
          <w:i/>
          <w:sz w:val="20"/>
        </w:rPr>
        <w:t>EN: Reply to Lü: Aerophilic interfaces across scales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24">
        <w:r>
          <w:rPr>
            <w:color w:val="1155CC"/>
            <w:u w:val="single"/>
          </w:rPr>
          <w:t>10.1073/pnas.2609740123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[130] </w:t>
      </w:r>
      <w:hyperlink r:id="rId525">
        <w:r>
          <w:rPr>
            <w:color w:val="1155CC"/>
            <w:u w:val="single"/>
          </w:rPr>
          <w:t>热带气旋向极地迁移增强了全球风暴潮</w:t>
        </w:r>
      </w:hyperlink>
    </w:p>
    <w:p>
      <w:pPr>
        <w:spacing w:before="0" w:after="80"/>
      </w:pPr>
      <w:r>
        <w:rPr>
          <w:i/>
          <w:sz w:val="20"/>
        </w:rPr>
        <w:t>EN: Enhanced global storm surges by tropical cyclone poleward migration</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26">
        <w:r>
          <w:rPr>
            <w:color w:val="1155CC"/>
            <w:u w:val="single"/>
          </w:rPr>
          <w:t>10.1073/pnas.2535524123</w:t>
        </w:r>
      </w:hyperlink>
    </w:p>
    <w:p>
      <w:pPr>
        <w:spacing w:before="0" w:after="120"/>
      </w:pPr>
      <w:r>
        <w:rPr>
          <w:b/>
        </w:rPr>
        <w:t xml:space="preserve">Notes: </w:t>
      </w:r>
      <w:r>
        <w:t>abstract_source=crossref</w:t>
      </w:r>
    </w:p>
    <w:p>
      <w:pPr>
        <w:spacing w:before="0" w:after="80" w:lineRule="auto" w:line="276"/>
      </w:pPr>
      <w:r>
        <w:rPr>
          <w:b/>
        </w:rPr>
        <w:t xml:space="preserve">摘要（ZH）: </w:t>
      </w:r>
      <w:r>
        <w:t>热带气旋引发的风暴潮对沿海地区构成重大且日益严重的威胁；然而，它们针对不断变化的热带气旋特征的长期演变仍然缺乏量化。在这里，通过进行全面的全球分析，我们发现1982年至2024年期间，热带气旋引发的风暴潮在全球范围内增加了20%，这在两个半球也具有统计显着性。值得注意的是，北太平洋西部、东太平洋和南太平洋的增幅分别为 28%、38.2% 和 31%。通过统计分解，我们确定热带气旋活动向极地迁移是放大两个半球风暴潮的关键因素。此外，主要热带气旋的增强和弱热带气旋规模的增加也在增强多个盆地风暴潮方面发挥着重要作用。热带气旋活动的这些变化，特别是向极地迁移，很大程度上与人类引起的全球变暖有关，强调了气候变化下热带气旋特征与相关浪涌风险之间的内在联系。我们的研究结果强调了将不断演变的热带气旋活动明确纳入气候预测的必要性，并为评估变暖世界中复合沿海洪水风险提供了关键框架。</w:t>
      </w:r>
    </w:p>
    <w:p>
      <w:pPr>
        <w:spacing w:before="0" w:after="200" w:lineRule="auto" w:line="276"/>
      </w:pPr>
      <w:r>
        <w:rPr>
          <w:b/>
        </w:rPr>
        <w:t xml:space="preserve">Abstract (EN): </w:t>
      </w:r>
      <w:r>
        <w:t>Tropical cyclone–induced storm surges pose significant and growing threats to coastal regions; however, their long-term evolution in response to changing tropical cyclone characteristics remains poorly quantified. Here, by conducting a comprehensive global analysis, we find that tropical cyclone–induced storm surge has increased globally by 20% over the period 1982–2024, which is also statistically significant in both hemispheres. Notably, such increases are 28% over the western North Pacific, 38.2% over the eastern Pacific and 31% over the South Pacific, respectively. Through statistical decomposition, we identify the poleward migration of tropical cyclone activity as a key factor amplifying the storm surge in both hemispheres. Furthermore, the intensification of major tropical cyclones and increasing sizes of weak tropical cyclones also play important roles in enhancing storm surges across multiple basins. These changes in tropical cyclone activity, particularly the poleward migration, are largely related to human-induced global warming, underscoring the intrinsic link between tropical cyclone characteristics and associated surge risk under a changing climate. Our findings highlight the necessity of explicitly incorporating the evolving tropical cyclone activity into climate projections and provide a critical framework for assessing compound coastal flood risks in a warming world.</w:t>
      </w:r>
    </w:p>
    <w:p>
      <w:pPr>
        <w:spacing w:before="120" w:after="120"/>
      </w:pPr>
      <w:r>
        <w:rPr>
          <w:sz w:val="18"/>
        </w:rPr>
        <w:t>——————————————————————————————————————————————————————————————————————</w:t>
      </w:r>
    </w:p>
    <w:p>
      <w:pPr>
        <w:spacing w:before="160" w:after="40" w:line="240" w:lineRule="auto"/>
      </w:pPr>
      <w:r>
        <w:rPr>
          <w:b/>
        </w:rPr>
        <w:t xml:space="preserve">[131] </w:t>
      </w:r>
      <w:hyperlink r:id="rId527">
        <w:r>
          <w:rPr>
            <w:color w:val="1155CC"/>
            <w:u w:val="single"/>
          </w:rPr>
          <w:t>前庭器官纹状体和中央区的 I 型毛细胞对于头部稳定性和姿势控制至关重要</w:t>
        </w:r>
      </w:hyperlink>
    </w:p>
    <w:p>
      <w:pPr>
        <w:spacing w:before="0" w:after="80"/>
      </w:pPr>
      <w:r>
        <w:rPr>
          <w:i/>
          <w:sz w:val="20"/>
        </w:rPr>
        <w:t>EN: Type I hair cells of striolar and central zones in vestibular organs are essential for head stability and postural control</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28">
        <w:r>
          <w:rPr>
            <w:color w:val="1155CC"/>
            <w:u w:val="single"/>
          </w:rPr>
          <w:t>10.1073/pnas.2535179123</w:t>
        </w:r>
      </w:hyperlink>
    </w:p>
    <w:p>
      <w:pPr>
        <w:spacing w:before="0" w:after="120"/>
      </w:pPr>
      <w:r>
        <w:rPr>
          <w:b/>
        </w:rPr>
        <w:t xml:space="preserve">Notes: </w:t>
      </w:r>
      <w:r>
        <w:t>abstract_source=crossref</w:t>
      </w:r>
    </w:p>
    <w:p>
      <w:pPr>
        <w:spacing w:before="0" w:after="80" w:lineRule="auto" w:line="276"/>
      </w:pPr>
      <w:r>
        <w:rPr>
          <w:b/>
        </w:rPr>
        <w:t xml:space="preserve">摘要（ZH）: </w:t>
      </w:r>
      <w:r>
        <w:t>内耳的前庭系统提供维持平衡和空间定向所需的头部运动和定向信息。五个前庭感觉器官均包含 I 型和 II 型毛细胞 (HC)。 I 型 HC 因其进化适应性和独特的肾盏突触而特别引人注目，其中前庭传入神经末梢包裹着 HC 体。体外研究表明，肾盏突触可以通过非量子传输将信号从 HC 转导到传入神经，这种机制被认为比传统的 bouton 突触传输更快。在前庭器官的特殊区域（纹状体和中央区）中，许多传入神经形成包住多个 I 型 HC 体的肾盏，这表明非量子传输在这些区域可能特别重要。一致地，纹状体/中央区传入被认为优先介导快速和高频刺激。然而，选择性失去这些 HC 的直接后果仍然未知。在这里，我们通过基因消融这些细胞来研究 I 型 HC 在纹状体/中央区域内的作用。这些区域 I 型 HC 的减少导致肾盏损失和纹状体 II 型 HC 的代偿性增加。这些突变体表现出前庭诱发电位降低，这种反应主要由纹状体活性驱动。相比之下，被认为不需要纹状体/中央区功能的前庭眼反射保持完整。此外，纹状体/中央区特异性 I 型 HC 的丧失会导致幼崽头部震颤，</w:t>
      </w:r>
    </w:p>
    <w:p>
      <w:pPr>
        <w:spacing w:before="0" w:after="200" w:lineRule="auto" w:line="276"/>
      </w:pPr>
      <w:r>
        <w:rPr>
          <w:b/>
        </w:rPr>
        <w:t xml:space="preserve">Abstract (EN): </w:t>
      </w:r>
      <w:r>
        <w:t>The vestibular system of the inner ear provides head motion and orientation information required for maintaining balance and spatial orientation. Each of the five vestibular sensory organs contains type I and type II hair cells (HCs). Type I HCs are particularly notable for their evolutionary adaptability and unique calyceal synapses, in which the vestibular afferent nerve ending envelopes the HC body. In vitro studies indicate that calyceal synapses can transduce signals from HCs to afferents via nonquantal transmission, a mechanism proposed to be faster than conventional bouton synaptic transmission. In specialized regions of vestibular organs—striolae and central zones—many afferents form calyces that encase multiple type I HC bodies, suggesting that nonquantal transmission could be especially important in these regions. Consistently, striolar/central zone afferents are thought to preferentially mediate rapid and high-frequency stimulations. However, the direct consequences of selectively losing these HCs remain unknown. Here, we investigated the role of type I HCs within striolar/central zones by genetically ablating these cells. Reduction of type I HCs in these regions led to a loss of calyces and a compensatory increase in striolar type II HCs. These mutants exhibit reduced vestibular-evoked potentials, a response driven predominantly by striolar activity. In contrast, the vestibulo-ocular reflex, which is thought not to require striolar/central zone function, remained intact. Furthermore, loss of striolar/central zone-specific type I HCs causes head tremor in pups and abnormal head motion in adults, indicating that these HCs are essential for mediating head stability and postural control.</w:t>
      </w:r>
    </w:p>
    <w:p>
      <w:pPr>
        <w:spacing w:before="120" w:after="120"/>
      </w:pPr>
      <w:r>
        <w:rPr>
          <w:sz w:val="18"/>
        </w:rPr>
        <w:t>——————————————————————————————————————————————————————————————————————</w:t>
      </w:r>
    </w:p>
    <w:p>
      <w:pPr>
        <w:spacing w:before="160" w:after="40" w:line="240" w:lineRule="auto"/>
      </w:pPr>
      <w:r>
        <w:rPr>
          <w:b/>
        </w:rPr>
        <w:t xml:space="preserve">[132] </w:t>
      </w:r>
      <w:hyperlink r:id="rId529">
        <w:r>
          <w:rPr>
            <w:color w:val="1155CC"/>
            <w:u w:val="single"/>
          </w:rPr>
          <w:t>痕迹化石限制了最早的能动动物的感知范围</w:t>
        </w:r>
      </w:hyperlink>
    </w:p>
    <w:p>
      <w:pPr>
        <w:spacing w:before="0" w:after="80"/>
      </w:pPr>
      <w:r>
        <w:rPr>
          <w:i/>
          <w:sz w:val="20"/>
        </w:rPr>
        <w:t>EN: Trace fossils constrain the perceptual ranges of the earliest motile animals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30">
        <w:r>
          <w:rPr>
            <w:color w:val="1155CC"/>
            <w:u w:val="single"/>
          </w:rPr>
          <w:t>10.1073/pnas.2609730123</w:t>
        </w:r>
      </w:hyperlink>
    </w:p>
    <w:p>
      <w:pPr>
        <w:spacing w:before="0" w:after="120"/>
      </w:pPr>
      <w:r>
        <w:rPr>
          <w:b/>
        </w:rPr>
        <w:t xml:space="preserve">Notes: </w:t>
      </w:r>
      <w:r>
        <w:t>abstract_source=crossref</w:t>
      </w:r>
    </w:p>
    <w:p>
      <w:pPr>
        <w:spacing w:before="0" w:after="80" w:lineRule="auto" w:line="276"/>
      </w:pPr>
      <w:r>
        <w:rPr>
          <w:b/>
        </w:rPr>
        <w:t xml:space="preserve">摘要（ZH）: </w:t>
      </w:r>
      <w:r>
        <w:t>埃迪卡拉纪晚期标志着早期动物进化的一个关键时期，此时底栖生物开始接触日益异质和动态的海底环境。这些转变标志着更复杂的运动和感觉能力的出现，但早期能动动物的知觉能力仍然难以解析，因为这个时期的身体化石很少保存诊断性感觉器官（如果存在这种结构）。然而，痕迹化石提供了补充档案，直接记录感知的行为后果，但对感觉机制和有效感知范围的定量估计仍然遥不可及。在这里，我们通过将痕迹化石的持续同源性分析与提示梯度驱动的觅食的数值模拟相结合，估计了 230 多个埃迪卡拉纪-寒武纪追踪者的感知/感觉距离。持久同源性捕获跨空间尺度的感知覆盖，为集成传感和空间填充导航提供拓扑模拟。基于高斯距离加权感觉积分的模拟揭示了感知距离和持久曲线质心之间的强线性关系，使得能够从化石运动路径直接推断感觉距离。将该框架应用于地层约束的循环轨迹，揭示了感觉距离的指数扩展，从基于毫米级接触的传感、亚厘米的化学/机械感觉到埃迪卡拉末端的分米长距离视觉感觉。此扩展传输</w:t>
      </w:r>
    </w:p>
    <w:p>
      <w:pPr>
        <w:spacing w:before="0" w:after="200" w:lineRule="auto" w:line="276"/>
      </w:pPr>
      <w:r>
        <w:rPr>
          <w:b/>
        </w:rPr>
        <w:t xml:space="preserve">Abstract (EN): </w:t>
      </w:r>
      <w:r>
        <w:t>The late Ediacaran marks a pivotal interval in early animal evolution, when benthic organisms began engaging with increasingly heterogeneous and dynamic seafloor environments. These shifts signal the emergence of more sophisticated locomotory and sensory capacities, yet the perceptual capacities of early motile animals remain poorly resolved because body fossils from this interval rarely preserve diagnostic sensory organs, if such structures existed. However, trace fossils offer a complementary archive, directly recording the behavioral consequences of perception, but quantitative estimates of sensory mechanisms and effective perceptual ranges have remained out of reach. Here, we estimate perceptual/sensory distances in over 230 Ediacaran–Cambrian tracemakers by integrating persistent homology analysis of trace fossils with numerical simulations of cue-gradient-driven foraging. Persistent homology captures perceptual coverage across spatial scales, providing a topological analog for integrated sensing and space-filling navigation. Simulations based on Gaussian distance-weighted sensory integration reveal a strong linear relationship between perceptual distance and the centroid of the persistence curve, enabling direct inference of sensory distance from fossilized movement paths. Application of this framework to stratigraphically constrained looping trails reveals an exponential expansion of sensory distance from millimetric contact-based sensing, subcentimetric chemo-/mechanosensation to decimetric long-range visual-sensation by the terminal Ediacaran. This expansion transformed environmental cues from locally random noise into structured, exploitable signals, shifting animal–environment interactions from passive response to active selection. Such restructuring of early benthic information landscapes provided a biological and ecological foundation for intensified bioturbation, niche diversification, and the increasingly complex species interactions that foreshadowed the Cambrian Explosion.</w:t>
      </w:r>
    </w:p>
    <w:p>
      <w:pPr>
        <w:spacing w:before="120" w:after="120"/>
      </w:pPr>
      <w:r>
        <w:rPr>
          <w:sz w:val="18"/>
        </w:rPr>
        <w:t>——————————————————————————————————————————————————————————————————————</w:t>
      </w:r>
    </w:p>
    <w:p>
      <w:pPr>
        <w:spacing w:before="160" w:after="40" w:line="240" w:lineRule="auto"/>
      </w:pPr>
      <w:r>
        <w:rPr>
          <w:b/>
        </w:rPr>
        <w:t xml:space="preserve">[133] </w:t>
      </w:r>
      <w:hyperlink r:id="rId531">
        <w:r>
          <w:rPr>
            <w:color w:val="1155CC"/>
            <w:u w:val="single"/>
          </w:rPr>
          <w:t>出口阈值和野火死亡人数</w:t>
        </w:r>
      </w:hyperlink>
    </w:p>
    <w:p>
      <w:pPr>
        <w:spacing w:before="0" w:after="80"/>
      </w:pPr>
      <w:r>
        <w:rPr>
          <w:i/>
          <w:sz w:val="20"/>
        </w:rPr>
        <w:t>EN: Egress thresholds and wildfire fatalities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32">
        <w:r>
          <w:rPr>
            <w:color w:val="1155CC"/>
            <w:u w:val="single"/>
          </w:rPr>
          <w:t>10.1073/pnas.2535081123</w:t>
        </w:r>
      </w:hyperlink>
    </w:p>
    <w:p>
      <w:pPr>
        <w:spacing w:before="0" w:after="120"/>
      </w:pPr>
      <w:r>
        <w:rPr>
          <w:b/>
        </w:rPr>
        <w:t xml:space="preserve">Notes: </w:t>
      </w:r>
      <w:r>
        <w:t>abstract_source=crossref</w:t>
      </w:r>
    </w:p>
    <w:p>
      <w:pPr>
        <w:spacing w:before="0" w:after="80" w:lineRule="auto" w:line="276"/>
      </w:pPr>
      <w:r>
        <w:rPr>
          <w:b/>
        </w:rPr>
        <w:t xml:space="preserve">摘要（ZH）: </w:t>
      </w:r>
      <w:r>
        <w:t>避免野火期间造成人员死亡是一项关键的公共政策目标。人们普遍认为，向外的道路通道或出口路线的数量会影响野火死亡人数，但很少有研究量化这一因素是否或何时变得至关重要。为了解决这一差距，我们收集了社区级野火死亡人数的数据集，并将其与美国全国一致的社区出口数据相结合，发现累积死亡人数急剧集中在出口很少的社区，急剧下降到大约 6 条非住宅道路，除此之外，额外的路线只能最大限度地进一步降低风险。将这一分析扩展到全国范围内，我们绘制了所有小社区（&lt;50,000 名居民）的地图，以确定有限出口和高野火危险的地理交汇处，突出显示道路限制可能直接增加死亡人数的区域。在美国各地，有 1770 万人生活在低于这一临界出口阈值的社区，其中 250 万人生活在野火高危地区。尽管大多数高风险社区位于美国西部，但俄克拉荷马州、佛罗里达州和夏威夷却出现了意想不到的热点地区。随着气候变化、燃料积累以及荒地与城市交界处的开发，野火危害继续扩大，更多的社区可能面临风险。对道路基础设施进行有针对性的投资、改善疏散沟通和准备工作以及制定预先规划的避难方案，共同为减少野火死亡人数和建立全国抗灾能力提供了补充和可行的途径</w:t>
      </w:r>
    </w:p>
    <w:p>
      <w:pPr>
        <w:spacing w:before="0" w:after="200" w:lineRule="auto" w:line="276"/>
      </w:pPr>
      <w:r>
        <w:rPr>
          <w:b/>
        </w:rPr>
        <w:t xml:space="preserve">Abstract (EN): </w:t>
      </w:r>
      <w:r>
        <w:t>Avoiding human fatalities during wildfires is a key public policy objective. Outward road access, or the number of egress routes, is widely assumed to influence wildfire fatalities, yet few studies have quantified if or when this factor becomes critical. To address this gap, we assembled a dataset on community-level wildfire fatality counts and combined it with nationally consistent community egress for the United States, finding that cumulative fatalities are sharply concentrated in communities with very few exits, declining steeply to roughly six nonresidential roads, beyond which additional routes confer minimal further risk reduction. Extending this analysis nationally, we mapped all small communities (&amp;lt;50,000 residents) to identify geographic confluence of limited egress and high wildfire hazard, highlighting regions where road constraints could directly amplify fatalities. Across the United States, 17.7 million people live in communities below this critical egress threshold, including 2.5 million in high wildfire hazard areas. Although most high-risk communities are in the western United States, unexpected hotspots appear in Oklahoma, Florida, and Hawai’i. As wildfire hazard continues to expand with climate change, fuel accumulation, and development in the wildland–urban interface, even more communities may be at risk. Targeted investment in road infrastructure, improved evacuation communication and preparedness, and development of preplanned refuge options together offer complementary and actionable pathways to reduce wildfire fatalities and build nationwide resilience.</w:t>
      </w:r>
    </w:p>
    <w:p>
      <w:pPr>
        <w:spacing w:before="120" w:after="120"/>
      </w:pPr>
      <w:r>
        <w:rPr>
          <w:sz w:val="18"/>
        </w:rPr>
        <w:t>——————————————————————————————————————————————————————————————————————</w:t>
      </w:r>
    </w:p>
    <w:p>
      <w:pPr>
        <w:spacing w:before="160" w:after="40" w:line="240" w:lineRule="auto"/>
      </w:pPr>
      <w:r>
        <w:rPr>
          <w:b/>
        </w:rPr>
        <w:t xml:space="preserve">[134] </w:t>
      </w:r>
      <w:hyperlink r:id="rId533">
        <w:r>
          <w:rPr>
            <w:color w:val="1155CC"/>
            <w:u w:val="single"/>
          </w:rPr>
          <w:t>多不饱和脂肪酸衍生的脂质介质模式决定病毒性肺炎的严重程度和危重 COVID-19 的风险</w:t>
        </w:r>
      </w:hyperlink>
    </w:p>
    <w:p>
      <w:pPr>
        <w:spacing w:before="0" w:after="80"/>
      </w:pPr>
      <w:r>
        <w:rPr>
          <w:i/>
          <w:sz w:val="20"/>
        </w:rPr>
        <w:t>EN: Polyunsaturated fatty acid–derived lipid mediator patterns determine viral pneumonia severity and risk for critical COVID-19</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34">
        <w:r>
          <w:rPr>
            <w:color w:val="1155CC"/>
            <w:u w:val="single"/>
          </w:rPr>
          <w:t>10.1073/pnas.2534726123</w:t>
        </w:r>
      </w:hyperlink>
    </w:p>
    <w:p>
      <w:pPr>
        <w:spacing w:before="0" w:after="120"/>
      </w:pPr>
      <w:r>
        <w:rPr>
          <w:b/>
        </w:rPr>
        <w:t xml:space="preserve">Notes: </w:t>
      </w:r>
      <w:r>
        <w:t>abstract_source=crossref</w:t>
      </w:r>
    </w:p>
    <w:p>
      <w:pPr>
        <w:spacing w:before="0" w:after="80" w:lineRule="auto" w:line="276"/>
      </w:pPr>
      <w:r>
        <w:rPr>
          <w:b/>
        </w:rPr>
        <w:t xml:space="preserve">摘要（ZH）: </w:t>
      </w:r>
      <w:r>
        <w:t>COVID-19 等严重呼吸道感染的特点是过度炎症，导致肺炎和急性呼吸窘迫综合征的发展。源自 ω6 和 ω3 多不饱和脂肪酸的生物活性脂质介质 (LM) 对于炎症调节至关重要，控制炎症的发生和消退。尽管如此，它们在病毒感染中的作用仍未得到充分研究。通过采用涉及白细胞转录组分析、靶向脂质组学、细胞因子和免疫细胞分析的整体方法，我们现在表明，入院前后的LM模式在COVID-19中发生了深刻的改变，与炎症反应相关，并根据疾病严重程度对患者进行分层。其中的核心是 CYP450 衍生的 LM，例如 20-HETE，以及脂氧合酶或非酶相关的 LM，例如 15-HETE，两者都表现出血管活性功能，以及脂质过氧化代谢物，例如 10-HDOHE。其中，20-HETE 升高似乎是 ICU 入住的一个有前景的预后生物标志物，也是严重 COVID-19 疾病的潜在治疗靶点。我们的研究强调了 LM 模式在 COVID-19 病理生理学中的重要性，并揭示了除细胞因子驱动人类病毒性肺炎之外的更广泛的免疫机制。</w:t>
      </w:r>
    </w:p>
    <w:p>
      <w:pPr>
        <w:spacing w:before="0" w:after="200" w:lineRule="auto" w:line="276"/>
      </w:pPr>
      <w:r>
        <w:rPr>
          <w:b/>
        </w:rPr>
        <w:t xml:space="preserve">Abstract (EN): </w:t>
      </w:r>
      <w:r>
        <w:t>Severe respiratory infections such as COVID-19 are characterized by excessive inflammation leading to the development of pneumonia and acute respiratory distress syndrome. Bioactive lipid mediators (LMs) derived from ω6 and ω3 polyunsaturated fatty acids are central to the regulation of inflammation, controlling both its initiation and resolution. Still, their role in viral infections remains underexplored. By employing a holistic approach involving the analysis of white blood cell transcriptomes, targeted lipidomics, cytokine and immune cell profiling, we now show that LM patterns around hospital admission are profoundly altered in COVID-19, correlate with inflammatory responses, and stratify patients according to disease severity. Central to this are CYP450-derived LMs, such as 20-HETE, and lipoxygenase- or nonenzymatic-associated LMs such as 15-HETE, both exhibiting vasoactive function, along with lipid peroxidation metabolites such as 10-HDOHE. Among them, increased 20-HETE appears to be a promising prognostic biomarker for ICU admission and a potential therapeutic target for severe COVID-19 disease. Our study emphasizes the importance of LM patterns in COVID-19 pathophysiology and sheds light into the broader immune mechanisms beyond cytokines driving viral pneumonia in humans.</w:t>
      </w:r>
    </w:p>
    <w:p>
      <w:pPr>
        <w:spacing w:before="120" w:after="120"/>
      </w:pPr>
      <w:r>
        <w:rPr>
          <w:sz w:val="18"/>
        </w:rPr>
        <w:t>——————————————————————————————————————————————————————————————————————</w:t>
      </w:r>
    </w:p>
    <w:p>
      <w:pPr>
        <w:spacing w:before="160" w:after="40" w:line="240" w:lineRule="auto"/>
      </w:pPr>
      <w:r>
        <w:rPr>
          <w:b/>
        </w:rPr>
        <w:t xml:space="preserve">[135] </w:t>
      </w:r>
      <w:hyperlink r:id="rId535">
        <w:r>
          <w:rPr>
            <w:color w:val="1155CC"/>
            <w:u w:val="single"/>
          </w:rPr>
          <w:t>BiP、p58IPK 和 ER 伴侣复合物的协调表达和组装可最大限度地提高胰腺 β 细胞中的胰岛素原折叠</w:t>
        </w:r>
      </w:hyperlink>
    </w:p>
    <w:p>
      <w:pPr>
        <w:spacing w:before="0" w:after="80"/>
      </w:pPr>
      <w:r>
        <w:rPr>
          <w:i/>
          <w:sz w:val="20"/>
        </w:rPr>
        <w:t>EN: Coordinated expression and assembly of BiP, p58IPK, and ER chaperone complexes maximize proinsulin folding in pancreatic β cells</w:t>
      </w:r>
    </w:p>
    <w:p>
      <w:pPr>
        <w:spacing w:before="0" w:after="120"/>
      </w:pPr>
      <w:r>
        <w:rPr>
          <w:b/>
        </w:rPr>
        <w:t xml:space="preserve">Source: </w:t>
      </w:r>
      <w:r>
        <w:t>Proceedings of the National Academy of Sciences: Keyword search for query</w:t>
      </w:r>
      <w:r>
        <w:t xml:space="preserve">    </w:t>
      </w:r>
      <w:r>
        <w:rPr>
          <w:b/>
        </w:rPr>
        <w:t xml:space="preserve">Pub date: </w:t>
      </w:r>
      <w:r>
        <w:t>2026-06-01 07:00:00+00:00</w:t>
      </w:r>
      <w:r>
        <w:t xml:space="preserve">    </w:t>
      </w:r>
      <w:r>
        <w:rPr>
          <w:b/>
        </w:rPr>
        <w:t xml:space="preserve">DOI: </w:t>
      </w:r>
      <w:hyperlink r:id="rId536">
        <w:r>
          <w:rPr>
            <w:color w:val="1155CC"/>
            <w:u w:val="single"/>
          </w:rPr>
          <w:t>10.1073/pnas.2533617123</w:t>
        </w:r>
      </w:hyperlink>
    </w:p>
    <w:p>
      <w:pPr>
        <w:spacing w:before="0" w:after="120"/>
      </w:pPr>
      <w:r>
        <w:rPr>
          <w:b/>
        </w:rPr>
        <w:t xml:space="preserve">Notes: </w:t>
      </w:r>
      <w:r>
        <w:t>abstract_source=crossref</w:t>
      </w:r>
    </w:p>
    <w:p>
      <w:pPr>
        <w:spacing w:before="0" w:after="80" w:lineRule="auto" w:line="276"/>
      </w:pPr>
      <w:r>
        <w:rPr>
          <w:b/>
        </w:rPr>
        <w:t xml:space="preserve">摘要（ZH）: </w:t>
      </w:r>
      <w:r>
        <w:t>内质网 (ER) 中正确的胰岛素原折叠是产生生物活性胰岛素的先决条件，而导致 β 细胞 ER 应激的胰岛素原错误折叠会伴随 2 型糖尿病 (T2D) 中的胰腺 β 细胞功能障碍。除了对 hsp70 成员 BiP 的未明确依赖之外，ER 伴侣如何（以及哪些）协调以防止胰岛素原错误折叠在很大程度上尚不清楚。基因工程小鼠能够高效、特异性地下拉与客户蛋白复合物中的内源性胰岛 β 细胞 BiP（GRP78，主要的 HSP70 ER 伴侣）。我们证明 BiP 在各种蛋白质复合物中组装（包括辅助伴侣 p58</w:t>
      </w:r>
      <w:r>
        <w:t xml:space="preserve"> </w:t>
      </w:r>
      <w:r>
        <w:t>IPK</w:t>
      </w:r>
      <w:r>
        <w:t xml:space="preserve"> </w:t>
      </w:r>
      <w:r>
        <w:t>、GRP170、ERdj3 以及氧化还原酶 PDIA1 和 PDIA6) 特异性结合非天然胰岛素原。 BiP 需要 p58</w:t>
      </w:r>
      <w:r>
        <w:t xml:space="preserve"> </w:t>
      </w:r>
      <w:r>
        <w:t>IPK</w:t>
      </w:r>
      <w:r>
        <w:t xml:space="preserve"> </w:t>
      </w:r>
      <w:r>
        <w:t>对于有效的胰岛素原折叠，而非化学计量的 BiP 过量实际上阻碍了胰岛素原折叠。响应胰岛素原需求而协调和不协调的 BiP/cochaperone 组装分别突出了生理和病理生理状况，为治疗干预提供了潜在的检查点。</w:t>
      </w:r>
    </w:p>
    <w:p>
      <w:pPr>
        <w:spacing w:before="0" w:after="200" w:lineRule="auto" w:line="276"/>
      </w:pPr>
      <w:r>
        <w:rPr>
          <w:b/>
        </w:rPr>
        <w:t xml:space="preserve">Abstract (EN): </w:t>
      </w:r>
      <w:r>
        <w:t>Proper proinsulin folding in the endoplasmic reticulum (ER) is prerequisite to producing bioactive insulin, and proinsulin misfolding causing β cell ER stress accompanies pancreatic β cell dysfunction in type 2 diabetes (T2D). How (and which) ER chaperones coordinate to prevent proinsulin misfolding is largely unknown other than an unspecified dependence on the hsp70 member, BiP. A genetically engineered mouse enables efficient, specific pulldown of endogenous islet β cell BiP (GRP78, the major HSP70 ER chaperone) in complexes with client proteins. We demonstrate that BiP assembles in various protein complexes (including cochaperones p58</w:t>
      </w:r>
      <w:r>
        <w:t xml:space="preserve"> </w:t>
      </w:r>
      <w:r>
        <w:t>IPK</w:t>
      </w:r>
      <w:r>
        <w:t xml:space="preserve"> </w:t>
      </w:r>
      <w:r>
        <w:t>, GRP170, ERdj3, and oxidoreductases PDIA1 and PDIA6) that specifically bind to nonnative proinsulin. BiP requires p58</w:t>
      </w:r>
      <w:r>
        <w:t xml:space="preserve"> </w:t>
      </w:r>
      <w:r>
        <w:t>IPK</w:t>
      </w:r>
      <w:r>
        <w:t xml:space="preserve"> </w:t>
      </w:r>
      <w:r>
        <w:t>for productive proinsulin folding, whereas nonstoichiometric BiP excess actually hinders proinsulin folding. Coordinated and dyscoordinated BiP/cochaperone assembly in response to demand for proinsulin highlights physiologic and pathophysiologic conditions, respectively, offering a potential check point for therapeutic intervention.</w:t>
      </w:r>
    </w:p>
    <w:p>
      <w:pPr>
        <w:spacing w:before="120" w:after="120"/>
      </w:pPr>
      <w:r>
        <w:rPr>
          <w:sz w:val="18"/>
        </w:rPr>
        <w:t>——————————————————————————————————————————————————————————————————————</w:t>
      </w:r>
    </w:p>
    <w:p>
      <w:pPr>
        <w:spacing w:before="160" w:after="40" w:line="240" w:lineRule="auto"/>
      </w:pPr>
      <w:r>
        <w:rPr>
          <w:b/>
        </w:rPr>
        <w:t xml:space="preserve">[136] </w:t>
      </w:r>
      <w:hyperlink r:id="rId537">
        <w:r>
          <w:rPr>
            <w:color w:val="1155CC"/>
            <w:u w:val="single"/>
          </w:rPr>
          <w:t>解开双链 DNA 中 G-Quadruplex 和 i-Motif 的共存</w:t>
        </w:r>
      </w:hyperlink>
    </w:p>
    <w:p>
      <w:pPr>
        <w:spacing w:before="0" w:after="80"/>
      </w:pPr>
      <w:r>
        <w:rPr>
          <w:i/>
          <w:sz w:val="20"/>
        </w:rPr>
        <w:t>EN: Unraveling G‐Quadruplex and i‐Motif Coexistence Within a Double‐Stranded DNA</w:t>
      </w:r>
    </w:p>
    <w:p>
      <w:pPr>
        <w:spacing w:before="0" w:after="120"/>
      </w:pPr>
      <w:r>
        <w:rPr>
          <w:b/>
        </w:rPr>
        <w:t xml:space="preserve">Source: </w:t>
      </w:r>
      <w:r>
        <w:t>Wiley: Angewandte Chemie International Edition: Table of Contents</w:t>
      </w:r>
      <w:r>
        <w:t xml:space="preserve">    </w:t>
      </w:r>
      <w:r>
        <w:rPr>
          <w:b/>
        </w:rPr>
        <w:t xml:space="preserve">Pub date: </w:t>
      </w:r>
      <w:r>
        <w:t>2026-06-01 08:06:47+00:00</w:t>
      </w:r>
      <w:r>
        <w:t xml:space="preserve">    </w:t>
      </w:r>
      <w:r>
        <w:rPr>
          <w:b/>
        </w:rPr>
        <w:t xml:space="preserve">DOI: </w:t>
      </w:r>
      <w:hyperlink r:id="rId538">
        <w:r>
          <w:rPr>
            <w:color w:val="1155CC"/>
            <w:u w:val="single"/>
          </w:rPr>
          <w:t>10.1002/anie.3958607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DNA 可以短暂地折叠成可变的排列，这有望利用调控功能。富含鸟嘌呤的序列可以折叠成 G 四链体 (G4s)，而互补链可能采用 i-Motif (iM) 排列。它们在同一基因组位点的伴随形成仍在争论中。然而，最近，单分子分析表明 G4 和 iM 同时存在于双链 (ds) DNA 环境中，将它们视为复制叉进展的协同阻断剂。虽然这些发现表明 G4 和 iM 之间存在功能上的相互作用，但对它们共存的因素的更深入理解仍不清楚。在这项工作中，我们揭示了 dsDNA 内控制 G4 和 iM 折叠的平衡，采用广泛的生物物理方法，允许分析优化的模块化系统，可在分子复杂性不断增加的结构中进行扩展。我们的研究结果证实了同时形成模型，并进一步阐明了驱动双链变性和稳定 G4 和 iM 结构有利折叠的热力学决定因素。</w:t>
      </w:r>
    </w:p>
    <w:p>
      <w:pPr>
        <w:spacing w:before="0" w:after="200" w:lineRule="auto" w:line="276"/>
      </w:pPr>
      <w:r>
        <w:rPr>
          <w:b/>
        </w:rPr>
        <w:t xml:space="preserve">Abstract (EN): </w:t>
      </w:r>
      <w:r>
        <w:t>DNA can transiently fold into variable arrangements, which are expected to exploit regulatory functions. Guanine‐rich sequences can fold into G‐quadruplexes (G4s), while the complementary strand adopts potentially i‐Motif (iM) arrangements. Their concomitant formation at the same genomic site is still under debate. However, recently, single‐molecule analyses have shown the simultaneous G4 and iM presence within a double‐stranded (ds) DNA context, addressing them as synergic blockers of replication fork progression. While these findings point to a functional interplay between G4 and iM, a deeper understanding of the factors enabling their coexistence remains unclear. In this work, we unravel the equilibria governing G4‐ and iM‐folding within dsDNA, adopting an extensive biophysical approach allowing analysis of an optimized modular system, scalable across constructs of increasing molecular complexity. Our findings corroborate the simultaneous formation model and further clarify the thermodynamic determinants driving duplex denaturation and the favorable folding of stable G4 and iM structures.</w:t>
      </w:r>
    </w:p>
    <w:p>
      <w:pPr>
        <w:spacing w:before="120" w:after="120"/>
      </w:pPr>
      <w:r>
        <w:rPr>
          <w:sz w:val="18"/>
        </w:rPr>
        <w:t>——————————————————————————————————————————————————————————————————————</w:t>
      </w:r>
    </w:p>
    <w:p>
      <w:pPr>
        <w:spacing w:before="160" w:after="40" w:line="240" w:lineRule="auto"/>
      </w:pPr>
      <w:r>
        <w:rPr>
          <w:b/>
        </w:rPr>
        <w:t xml:space="preserve">[137] </w:t>
      </w:r>
      <w:hyperlink r:id="rId539">
        <w:r>
          <w:rPr>
            <w:color w:val="1155CC"/>
            <w:u w:val="single"/>
          </w:rPr>
          <w:t>Cs2NaBiCl6:Yb3+/Mn2+ 光学测压中的超灵敏压力响应上转换发光</w:t>
        </w:r>
      </w:hyperlink>
    </w:p>
    <w:p>
      <w:pPr>
        <w:spacing w:before="0" w:after="80"/>
      </w:pPr>
      <w:r>
        <w:rPr>
          <w:i/>
          <w:sz w:val="20"/>
        </w:rPr>
        <w:t>EN: Ultrasensitive Pressure‐Responsive Upconversion Luminescence in Cs2NaBiCl6:Yb3+/Mn2+ Optical Manometry</w:t>
      </w:r>
    </w:p>
    <w:p>
      <w:pPr>
        <w:spacing w:before="0" w:after="120"/>
      </w:pPr>
      <w:r>
        <w:rPr>
          <w:b/>
        </w:rPr>
        <w:t xml:space="preserve">Source: </w:t>
      </w:r>
      <w:r>
        <w:t>Wiley: Advanced Materials: Table of Contents</w:t>
      </w:r>
      <w:r>
        <w:t xml:space="preserve">    </w:t>
      </w:r>
      <w:r>
        <w:rPr>
          <w:b/>
        </w:rPr>
        <w:t xml:space="preserve">Pub date: </w:t>
      </w:r>
      <w:r>
        <w:t>2026-06-01 11:50:22+00:00</w:t>
      </w:r>
      <w:r>
        <w:t xml:space="preserve">    </w:t>
      </w:r>
      <w:r>
        <w:rPr>
          <w:b/>
        </w:rPr>
        <w:t xml:space="preserve">DOI: </w:t>
      </w:r>
      <w:hyperlink r:id="rId540">
        <w:r>
          <w:rPr>
            <w:color w:val="1155CC"/>
            <w:u w:val="single"/>
          </w:rPr>
          <w:t>10.1002/adma.73505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目前依赖紫外 (UV) 激发的光学压力计存在压力灵敏度低、紫外激光器成本高以及激发/发射光与背景荧光之间的光谱重叠引起的严重光致发光干扰等问题。为了解决这些问题，我们在此探索了一种基于 Cs 的新型光学测压法</w:t>
      </w:r>
      <w:r>
        <w:rPr>
          <w:vertAlign w:val="subscript"/>
        </w:rPr>
        <w:t>2</w:t>
      </w:r>
      <w:r>
        <w:t>氯化钠</w:t>
      </w:r>
      <w:r>
        <w:rPr>
          <w:vertAlign w:val="subscript"/>
        </w:rPr>
        <w:t>6</w:t>
      </w:r>
      <w:r>
        <w:t>:镱</w:t>
      </w:r>
      <w:r>
        <w:t xml:space="preserve"> </w:t>
      </w:r>
      <w:r>
        <w:t>3+</w:t>
      </w:r>
      <w:r>
        <w:t xml:space="preserve"> </w:t>
      </w:r>
      <w:r>
        <w:t>/锰</w:t>
      </w:r>
      <w:r>
        <w:t xml:space="preserve"> </w:t>
      </w:r>
      <w:r>
        <w:t>2+</w:t>
      </w:r>
      <w:r>
        <w:t xml:space="preserve"> </w:t>
      </w:r>
      <w:r>
        <w:t>双钙钛矿，表现出源自 Yb 的压敏宽带上转换发射</w:t>
      </w:r>
      <w:r>
        <w:t xml:space="preserve"> </w:t>
      </w:r>
      <w:r>
        <w:t>3+</w:t>
      </w:r>
      <w:r>
        <w:t xml:space="preserve"> </w:t>
      </w:r>
      <w:r>
        <w:t>－锰</w:t>
      </w:r>
      <w:r>
        <w:t xml:space="preserve"> </w:t>
      </w:r>
      <w:r>
        <w:t>2+</w:t>
      </w:r>
      <w:r>
        <w:t xml:space="preserve"> </w:t>
      </w:r>
      <w:r>
        <w:t>二聚体。凭借 Yb 的近红外 (NIR) 能量转移</w:t>
      </w:r>
      <w:r>
        <w:t xml:space="preserve"> </w:t>
      </w:r>
      <w:r>
        <w:t>3+</w:t>
      </w:r>
      <w:r>
        <w:t xml:space="preserve"> </w:t>
      </w:r>
      <w:r>
        <w:t>至镱</w:t>
      </w:r>
      <w:r>
        <w:t xml:space="preserve"> </w:t>
      </w:r>
      <w:r>
        <w:t>3+</w:t>
      </w:r>
      <w:r>
        <w:t xml:space="preserve"> </w:t>
      </w:r>
      <w:r>
        <w:t>－锰</w:t>
      </w:r>
      <w:r>
        <w:t xml:space="preserve"> </w:t>
      </w:r>
      <w:r>
        <w:t>2+</w:t>
      </w:r>
      <w:r>
        <w:t xml:space="preserve"> </w:t>
      </w:r>
      <w:r>
        <w:t>二聚体，在 980 nm 激发下实现了高达 15.03 nm/GPa 的线性上转换压力灵敏度，比商用压力计红宝石 (0.36 nm/GPa) 和传统的镧系元素 (Ln) 高四十倍以上。</w:t>
      </w:r>
      <w:r>
        <w:t xml:space="preserve"> </w:t>
      </w:r>
      <w:r>
        <w:t>3+</w:t>
      </w:r>
      <w:r>
        <w:t xml:space="preserve"> </w:t>
      </w:r>
      <w:r>
        <w:t>）掺杂上转换发光（UCL）荧光粉（∼0.20 nm/GPa）。通过原位压力相关结构分析，证明这种出色的压力传感性能源于Cs的软晶格</w:t>
      </w:r>
      <w:r>
        <w:rPr>
          <w:vertAlign w:val="subscript"/>
        </w:rPr>
        <w:t>2</w:t>
      </w:r>
      <w:r>
        <w:t>氯化钠</w:t>
      </w:r>
      <w:r>
        <w:rPr>
          <w:vertAlign w:val="subscript"/>
        </w:rPr>
        <w:t>6</w:t>
      </w:r>
      <w:r>
        <w:t>，其中有一个显着的</w:t>
      </w:r>
    </w:p>
    <w:p>
      <w:pPr>
        <w:spacing w:before="0" w:after="200" w:lineRule="auto" w:line="276"/>
      </w:pPr>
      <w:r>
        <w:rPr>
          <w:b/>
        </w:rPr>
        <w:t xml:space="preserve">Abstract (EN): </w:t>
      </w:r>
      <w:r>
        <w:t>Current optical manometers that rely on ultraviolet (UV) excitation suffer from low pressure sensitivity, high cost of UV lasers, and severe photoluminescence interference caused by spectral overlap between the excitation/emission light and background fluorescence. To address these issues, we herein explored a kind of novel optical manometry based on Cs</w:t>
      </w:r>
      <w:r>
        <w:rPr>
          <w:vertAlign w:val="subscript"/>
        </w:rPr>
        <w:t>2</w:t>
      </w:r>
      <w:r>
        <w:t>NaBiCl</w:t>
      </w:r>
      <w:r>
        <w:rPr>
          <w:vertAlign w:val="subscript"/>
        </w:rPr>
        <w:t>6</w:t>
      </w:r>
      <w:r>
        <w:t>:Yb</w:t>
      </w:r>
      <w:r>
        <w:t xml:space="preserve"> </w:t>
      </w:r>
      <w:r>
        <w:t>3+</w:t>
      </w:r>
      <w:r>
        <w:t xml:space="preserve"> </w:t>
      </w:r>
      <w:r>
        <w:t>/Mn</w:t>
      </w:r>
      <w:r>
        <w:t xml:space="preserve"> </w:t>
      </w:r>
      <w:r>
        <w:t>2+</w:t>
      </w:r>
      <w:r>
        <w:t xml:space="preserve"> </w:t>
      </w:r>
      <w:r>
        <w:t>double perovskite, exhibiting pressure‐sensitive broadband upconversion emission that originated from Yb</w:t>
      </w:r>
      <w:r>
        <w:t xml:space="preserve"> </w:t>
      </w:r>
      <w:r>
        <w:t>3+</w:t>
      </w:r>
      <w:r>
        <w:t xml:space="preserve"> </w:t>
      </w:r>
      <w:r>
        <w:t>‐Mn</w:t>
      </w:r>
      <w:r>
        <w:t xml:space="preserve"> </w:t>
      </w:r>
      <w:r>
        <w:t>2+</w:t>
      </w:r>
      <w:r>
        <w:t xml:space="preserve"> </w:t>
      </w:r>
      <w:r>
        <w:t>dimers. By virtue of near‐infrared (NIR) energy transfer from Yb</w:t>
      </w:r>
      <w:r>
        <w:t xml:space="preserve"> </w:t>
      </w:r>
      <w:r>
        <w:t>3+</w:t>
      </w:r>
      <w:r>
        <w:t xml:space="preserve"> </w:t>
      </w:r>
      <w:r>
        <w:t>to Yb</w:t>
      </w:r>
      <w:r>
        <w:t xml:space="preserve"> </w:t>
      </w:r>
      <w:r>
        <w:t>3+</w:t>
      </w:r>
      <w:r>
        <w:t xml:space="preserve"> </w:t>
      </w:r>
      <w:r>
        <w:t>‐Mn</w:t>
      </w:r>
      <w:r>
        <w:t xml:space="preserve"> </w:t>
      </w:r>
      <w:r>
        <w:t>2+</w:t>
      </w:r>
      <w:r>
        <w:t xml:space="preserve"> </w:t>
      </w:r>
      <w:r>
        <w:t>dimers, a linear upconversion pressure sensitivity as high as 15.03 nm/GPa was achieved upon 980‐nm excitation, which is over forty times higher than that of commercial manometer Ruby (0.36 nm/GPa) and traditional lanthanide (Ln</w:t>
      </w:r>
      <w:r>
        <w:t xml:space="preserve"> </w:t>
      </w:r>
      <w:r>
        <w:t>3+</w:t>
      </w:r>
      <w:r>
        <w:t xml:space="preserve"> </w:t>
      </w:r>
      <w:r>
        <w:t>)‐doped upconversion luminescence (UCL) phosphors (∼0.20 nm/GPa). Through in situ pressure‐dependent structural analysis, it was demonstrated that such exceptional pressure‐sensing performance stems from the soft lattice of Cs</w:t>
      </w:r>
      <w:r>
        <w:rPr>
          <w:vertAlign w:val="subscript"/>
        </w:rPr>
        <w:t>2</w:t>
      </w:r>
      <w:r>
        <w:t>NaBiCl</w:t>
      </w:r>
      <w:r>
        <w:rPr>
          <w:vertAlign w:val="subscript"/>
        </w:rPr>
        <w:t>6</w:t>
      </w:r>
      <w:r>
        <w:t>, which has a significantly low bulk modulus of 23.69 GPa. In addition, the pressure‐dependent Raman spectra further verified the stability and repeatability of Cs</w:t>
      </w:r>
      <w:r>
        <w:rPr>
          <w:vertAlign w:val="subscript"/>
        </w:rPr>
        <w:t>2</w:t>
      </w:r>
      <w:r>
        <w:t>NaBiCl</w:t>
      </w:r>
      <w:r>
        <w:rPr>
          <w:vertAlign w:val="subscript"/>
        </w:rPr>
        <w:t>6</w:t>
      </w:r>
      <w:r>
        <w:t>:Yb</w:t>
      </w:r>
      <w:r>
        <w:t xml:space="preserve"> </w:t>
      </w:r>
      <w:r>
        <w:t>3+</w:t>
      </w:r>
      <w:r>
        <w:t xml:space="preserve"> </w:t>
      </w:r>
      <w:r>
        <w:t>/Mn</w:t>
      </w:r>
      <w:r>
        <w:t xml:space="preserve"> </w:t>
      </w:r>
      <w:r>
        <w:t>2+</w:t>
      </w:r>
      <w:r>
        <w:t xml:space="preserve"> </w:t>
      </w:r>
      <w:r>
        <w:t>at extreme conditions. This work develops an ultrasensitive pressure‐responsive upconversion luminescent material, establishing a reliable visual optical strategy for high‐precision pressure monitoring in versatile scenarios.</w:t>
      </w:r>
    </w:p>
    <w:p>
      <w:pPr>
        <w:spacing w:before="120" w:after="120"/>
      </w:pPr>
      <w:r>
        <w:rPr>
          <w:sz w:val="18"/>
        </w:rPr>
        <w:t>——————————————————————————————————————————————————————————————————————</w:t>
      </w:r>
    </w:p>
    <w:p>
      <w:pPr>
        <w:spacing w:before="160" w:after="40" w:line="240" w:lineRule="auto"/>
      </w:pPr>
      <w:r>
        <w:rPr>
          <w:b/>
        </w:rPr>
        <w:t xml:space="preserve">[138] </w:t>
      </w:r>
      <w:hyperlink r:id="rId541">
        <w:r>
          <w:rPr>
            <w:color w:val="1155CC"/>
            <w:u w:val="single"/>
          </w:rPr>
          <w:t>利用 P(VDF-TrFE)/Mg 复合材料中的腐蚀进行动态钝化和骨免疫调节</w:t>
        </w:r>
      </w:hyperlink>
    </w:p>
    <w:p>
      <w:pPr>
        <w:spacing w:before="0" w:after="80"/>
      </w:pPr>
      <w:r>
        <w:rPr>
          <w:i/>
          <w:sz w:val="20"/>
        </w:rPr>
        <w:t>EN: Harnessing Corrosion in A P(VDF‐TrFE)/Mg Composite for Dynamic Passivation and Osteoimmunomodulation</w:t>
      </w:r>
    </w:p>
    <w:p>
      <w:pPr>
        <w:spacing w:before="0" w:after="120"/>
      </w:pPr>
      <w:r>
        <w:rPr>
          <w:b/>
        </w:rPr>
        <w:t xml:space="preserve">Source: </w:t>
      </w:r>
      <w:r>
        <w:t>Wiley: Advanced Materials: Table of Contents</w:t>
      </w:r>
      <w:r>
        <w:t xml:space="preserve">    </w:t>
      </w:r>
      <w:r>
        <w:rPr>
          <w:b/>
        </w:rPr>
        <w:t xml:space="preserve">Pub date: </w:t>
      </w:r>
      <w:r>
        <w:t>2026-06-01 11:52:21+00:00</w:t>
      </w:r>
      <w:r>
        <w:t xml:space="preserve">    </w:t>
      </w:r>
      <w:r>
        <w:rPr>
          <w:b/>
        </w:rPr>
        <w:t xml:space="preserve">DOI: </w:t>
      </w:r>
      <w:hyperlink r:id="rId542">
        <w:r>
          <w:rPr>
            <w:color w:val="1155CC"/>
            <w:u w:val="single"/>
          </w:rPr>
          <w:t>10.1002/adma.73587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我们提出“腐蚀引导功能化”，而不是抑制腐蚀，利用受控的镁降解作为钝化和生物活性的可编程来源。这一概念在不对称的 3D 互锁 P(VDF-TrFE)/Mg 网状复合材料中实现，其中部分聚合物封装设计了充当原位微反应器的界面微缝隙。这些微反应器限制了初始腐蚀产物，触发动态、自适应 Mg(OH)2 的自主生长</w:t>
      </w:r>
      <w:r>
        <w:rPr>
          <w:vertAlign w:val="subscript"/>
        </w:rPr>
        <w:t>2</w:t>
      </w:r>
      <w:r>
        <w:t>障碍。与传统的牺牲性 CaP 涂层相比，这种钝化机制可提供持续的腐蚀稳定性。我们的复合材料实现了受控腐蚀，保留了金属镁的有益生物活性，同时避免了困扰裸镁的有害副作用。该复合材料表现出强大的抗菌活性，并通过持续腐蚀衍生的 Mg 将巨噬细胞极化为再生 M2 表型，从而重新编程局部免疫微环境</w:t>
      </w:r>
      <w:r>
        <w:rPr>
          <w:vertAlign w:val="subscript"/>
        </w:rPr>
        <w:t>2</w:t>
      </w:r>
      <w:r>
        <w:t>+</w:t>
      </w:r>
      <w:r>
        <w:t xml:space="preserve"> </w:t>
      </w:r>
      <w:r>
        <w:t>释放和弱碱性。这种免疫调节触发下游级联反应，增强血管生成和神经生成，共同驱动临界尺寸缺损模型中骨再生的加速。作为概念验证，该复合材料可作为先进的引导骨再生膜，独特地将持续空间维护与腐蚀衍生的生物活性结合起来，并在愈合后实现微创修复。贝伊</w:t>
      </w:r>
    </w:p>
    <w:p>
      <w:pPr>
        <w:spacing w:before="0" w:after="200" w:lineRule="auto" w:line="276"/>
      </w:pPr>
      <w:r>
        <w:rPr>
          <w:b/>
        </w:rPr>
        <w:t xml:space="preserve">Abstract (EN): </w:t>
      </w:r>
      <w:r>
        <w:t>Rather than suppressing corrosion, we propose “corrosion‐guided functionalization”, harnessing controlled Mg degradation as a programmable source of passivation and bioactivity. This concept is realized in an asymmetric, 3D‐interlocked P(VDF‐TrFE)/Mg mesh composite, where partial polymer encapsulation engineers interfacial micro‐crevices that act as in situ micro‐reactors. These micro‐reactors confine initial corrosion products, triggering autonomous growth of a dynamic, self‐adapting Mg(OH)</w:t>
      </w:r>
      <w:r>
        <w:rPr>
          <w:vertAlign w:val="subscript"/>
        </w:rPr>
        <w:t>2</w:t>
      </w:r>
      <w:r>
        <w:t>barrier. This passivation mechanism provides sustained corrosion stability compared to conventional sacrificial CaP coatings. Our composite achieves controlled corrosion that preserves the beneficial bioactivity of metallic Mg while avoiding the detrimental side effects that plague bare Mg. The composite exhibits robust antibacterial activity and reprograms the local immune microenvironment by polarizing macrophages toward a regenerative M2 phenotype through sustained corrosion‐derived Mg</w:t>
      </w:r>
      <w:r>
        <w:rPr>
          <w:vertAlign w:val="subscript"/>
        </w:rPr>
        <w:t>2</w:t>
      </w:r>
      <w:r>
        <w:t>+</w:t>
      </w:r>
      <w:r>
        <w:t xml:space="preserve"> </w:t>
      </w:r>
      <w:r>
        <w:t>release and mild alkalinity. This immunomodulation triggers a downstream cascade, enhancing angiogenesis and neurogenesis, which collectively drive accelerated bone regeneration in a critical‐sized defect model. As a proof‐of‐concept, the composite thus serves as an advanced guided bone regeneration membrane, uniquely integrating sustained space maintenance with corrosion‐derived bioactivity and enabling minimally invasive retrieval after healing. Beyond this demonstration, this work establishes “corrosion‐guided functionalization” as a new strategy for corrosion control of biodegradable metals, offering a versatile tool for future biomaterial engineering.</w:t>
      </w:r>
    </w:p>
    <w:p>
      <w:pPr>
        <w:spacing w:before="120" w:after="120"/>
      </w:pPr>
      <w:r>
        <w:rPr>
          <w:sz w:val="18"/>
        </w:rPr>
        <w:t>——————————————————————————————————————————————————————————————————————</w:t>
      </w:r>
    </w:p>
    <w:p>
      <w:pPr>
        <w:spacing w:before="160" w:after="40" w:line="240" w:lineRule="auto"/>
      </w:pPr>
      <w:r>
        <w:rPr>
          <w:b/>
        </w:rPr>
        <w:t xml:space="preserve">[139] </w:t>
      </w:r>
      <w:hyperlink r:id="rId543">
        <w:r>
          <w:rPr>
            <w:color w:val="1155CC"/>
            <w:u w:val="single"/>
          </w:rPr>
          <w:t>用于 3D 打印组织模拟的工程应变硬化颗粒水凝胶</w:t>
        </w:r>
      </w:hyperlink>
    </w:p>
    <w:p>
      <w:pPr>
        <w:spacing w:before="0" w:after="80"/>
      </w:pPr>
      <w:r>
        <w:rPr>
          <w:i/>
          <w:sz w:val="20"/>
        </w:rPr>
        <w:t>EN: Engineering Strain‐Stiffening Granular Hydrogels for 3D‐Printed Tissue‐Mimicry</w:t>
      </w:r>
    </w:p>
    <w:p>
      <w:pPr>
        <w:spacing w:before="0" w:after="120"/>
      </w:pPr>
      <w:r>
        <w:rPr>
          <w:b/>
        </w:rPr>
        <w:t xml:space="preserve">Source: </w:t>
      </w:r>
      <w:r>
        <w:t>Wiley: Advanced Materials: Table of Contents</w:t>
      </w:r>
      <w:r>
        <w:t xml:space="preserve">    </w:t>
      </w:r>
      <w:r>
        <w:rPr>
          <w:b/>
        </w:rPr>
        <w:t xml:space="preserve">Pub date: </w:t>
      </w:r>
      <w:r>
        <w:t>2026-06-01 12:21:18+00:00</w:t>
      </w:r>
      <w:r>
        <w:t xml:space="preserve">    </w:t>
      </w:r>
      <w:r>
        <w:rPr>
          <w:b/>
        </w:rPr>
        <w:t xml:space="preserve">DOI: </w:t>
      </w:r>
      <w:hyperlink r:id="rId544">
        <w:r>
          <w:rPr>
            <w:color w:val="1155CC"/>
            <w:u w:val="single"/>
          </w:rPr>
          <w:t>10.1002/adma.73527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生物组织表现出具有明显脚趾的非线性应变硬化行为（</w:t>
      </w:r>
      <w:r>
        <w:t xml:space="preserve"> </w:t>
      </w:r>
      <w:r>
        <w:t>乙</w:t>
      </w:r>
      <w:r>
        <w:t xml:space="preserve"> </w:t>
      </w:r>
      <w:r>
        <w:t>脚趾</w:t>
      </w:r>
      <w:r>
        <w:t xml:space="preserve"> </w:t>
      </w:r>
      <w:r>
        <w:t>）和鞋跟（</w:t>
      </w:r>
      <w:r>
        <w:t xml:space="preserve"> </w:t>
      </w:r>
      <w:r>
        <w:t>乙</w:t>
      </w:r>
      <w:r>
        <w:t xml:space="preserve"> </w:t>
      </w:r>
      <w:r>
        <w:t>鞋跟</w:t>
      </w:r>
      <w:r>
        <w:t xml:space="preserve"> </w:t>
      </w:r>
      <w:r>
        <w:t>) 承载功能所必需的模量。然而，合成材料缺乏独立调控的统一策略和机制基础</w:t>
      </w:r>
      <w:r>
        <w:t xml:space="preserve"> </w:t>
      </w:r>
      <w:r>
        <w:t>乙</w:t>
      </w:r>
      <w:r>
        <w:t xml:space="preserve"> </w:t>
      </w:r>
      <w:r>
        <w:t>脚趾</w:t>
      </w:r>
      <w:r>
        <w:t xml:space="preserve"> </w:t>
      </w:r>
      <w:r>
        <w:t>和</w:t>
      </w:r>
      <w:r>
        <w:t xml:space="preserve"> </w:t>
      </w:r>
      <w:r>
        <w:t>乙</w:t>
      </w:r>
      <w:r>
        <w:t xml:space="preserve"> </w:t>
      </w:r>
      <w:r>
        <w:t>鞋跟</w:t>
      </w:r>
      <w:r>
        <w:t xml:space="preserve"> </w:t>
      </w:r>
      <w:r>
        <w:t>同时保持高保真 3D 打印性能。在这里，我们介绍了一种可 3D 打印的应变硬化双网络颗粒水凝胶（SDGH），它能够对</w:t>
      </w:r>
      <w:r>
        <w:t xml:space="preserve"> </w:t>
      </w:r>
      <w:r>
        <w:t>乙</w:t>
      </w:r>
      <w:r>
        <w:t xml:space="preserve"> </w:t>
      </w:r>
      <w:r>
        <w:t>脚趾</w:t>
      </w:r>
      <w:r>
        <w:t xml:space="preserve"> </w:t>
      </w:r>
      <w:r>
        <w:t>和</w:t>
      </w:r>
      <w:r>
        <w:t xml:space="preserve"> </w:t>
      </w:r>
      <w:r>
        <w:t>乙</w:t>
      </w:r>
      <w:r>
        <w:t xml:space="preserve"> </w:t>
      </w:r>
      <w:r>
        <w:t>鞋跟</w:t>
      </w:r>
      <w:r>
        <w:t xml:space="preserve"> </w:t>
      </w:r>
      <w:r>
        <w:t>分别通过调节二级网络单体浓度和微凝胶填充密度。我们利用原位显微成像和力学分析阐明了应变硬化行为的机制。为了证明实用性，我们使用交替的软墨水和硬墨水直接墨水写入多层主动脉瓣。印刷阀门因其要求严格的机械和异构结构而被选择，显示出高几何形状</w:t>
      </w:r>
    </w:p>
    <w:p>
      <w:pPr>
        <w:spacing w:before="0" w:after="200" w:lineRule="auto" w:line="276"/>
      </w:pPr>
      <w:r>
        <w:rPr>
          <w:b/>
        </w:rPr>
        <w:t xml:space="preserve">Abstract (EN): </w:t>
      </w:r>
      <w:r>
        <w:t>Biological tissues exhibit nonlinear strain‐stiffening behavior with distinct toe (</w:t>
      </w:r>
      <w:r>
        <w:t xml:space="preserve"> </w:t>
      </w:r>
      <w:r>
        <w:t>E</w:t>
      </w:r>
      <w:r>
        <w:t xml:space="preserve"> </w:t>
      </w:r>
      <w:r>
        <w:t>Toe</w:t>
      </w:r>
      <w:r>
        <w:t xml:space="preserve"> </w:t>
      </w:r>
      <w:r>
        <w:t>) and heel (</w:t>
      </w:r>
      <w:r>
        <w:t xml:space="preserve"> </w:t>
      </w:r>
      <w:r>
        <w:t>E</w:t>
      </w:r>
      <w:r>
        <w:t xml:space="preserve"> </w:t>
      </w:r>
      <w:r>
        <w:t>Heel</w:t>
      </w:r>
      <w:r>
        <w:t xml:space="preserve"> </w:t>
      </w:r>
      <w:r>
        <w:t>) moduli essential for load‐bearing function. However, synthetic materials lack a unified strategy and mechanistic basis for independently tuning</w:t>
      </w:r>
      <w:r>
        <w:t xml:space="preserve"> </w:t>
      </w:r>
      <w:r>
        <w:t>E</w:t>
      </w:r>
      <w:r>
        <w:t xml:space="preserve"> </w:t>
      </w:r>
      <w:r>
        <w:t>Toe</w:t>
      </w:r>
      <w:r>
        <w:t xml:space="preserve"> </w:t>
      </w:r>
      <w:r>
        <w:t>and</w:t>
      </w:r>
      <w:r>
        <w:t xml:space="preserve"> </w:t>
      </w:r>
      <w:r>
        <w:t>E</w:t>
      </w:r>
      <w:r>
        <w:t xml:space="preserve"> </w:t>
      </w:r>
      <w:r>
        <w:t>Heel</w:t>
      </w:r>
      <w:r>
        <w:t xml:space="preserve"> </w:t>
      </w:r>
      <w:r>
        <w:t>while maintaining high‐fidelity 3D printability. Here, we introduce a 3D‐printable strain‐stiffening double‐network granular hydrogel (SDGH) that enables region‐specific control of</w:t>
      </w:r>
      <w:r>
        <w:t xml:space="preserve"> </w:t>
      </w:r>
      <w:r>
        <w:t>E</w:t>
      </w:r>
      <w:r>
        <w:t xml:space="preserve"> </w:t>
      </w:r>
      <w:r>
        <w:t>Toe</w:t>
      </w:r>
      <w:r>
        <w:t xml:space="preserve"> </w:t>
      </w:r>
      <w:r>
        <w:t>and</w:t>
      </w:r>
      <w:r>
        <w:t xml:space="preserve"> </w:t>
      </w:r>
      <w:r>
        <w:t>E</w:t>
      </w:r>
      <w:r>
        <w:t xml:space="preserve"> </w:t>
      </w:r>
      <w:r>
        <w:t>Heel</w:t>
      </w:r>
      <w:r>
        <w:t xml:space="preserve"> </w:t>
      </w:r>
      <w:r>
        <w:t>through modulation of secondary‐network monomer concentration and microgel packing density, respectively. We elucidate the mechanism of strain‐stiffening behavior using in situ microscopic imaging and mechanical analysis. To demonstrate utility, we direct‐ink‐write multilayered aortic valves using alternating soft and stiff inks. The printed valves, selected for their demanding mechanical and heterogeneous architecture, showed high geometric fidelity and excellent hemodynamic performance, achieving regurgitation &amp;lt;1.2% and surpassing ISO 5840 standards. This platform establishes a generalizable design framework for customized tissue mimetic organs for biomedical applications, particularly in synthetic surgical training material.</w:t>
      </w:r>
    </w:p>
    <w:p>
      <w:pPr>
        <w:spacing w:before="120" w:after="120"/>
      </w:pPr>
      <w:r>
        <w:rPr>
          <w:sz w:val="18"/>
        </w:rPr>
        <w:t>——————————————————————————————————————————————————————————————————————</w:t>
      </w:r>
    </w:p>
    <w:p>
      <w:pPr>
        <w:spacing w:before="160" w:after="40" w:line="240" w:lineRule="auto"/>
      </w:pPr>
      <w:r>
        <w:rPr>
          <w:b/>
        </w:rPr>
        <w:t xml:space="preserve">[140] </w:t>
      </w:r>
      <w:hyperlink r:id="rId545">
        <w:r>
          <w:rPr>
            <w:color w:val="1155CC"/>
            <w:u w:val="single"/>
          </w:rPr>
          <w:t>掩埋界面驱动的自组装单层和宽带隙钙钛矿的协同均质化，用于高效稳定的太阳能电池</w:t>
        </w:r>
      </w:hyperlink>
    </w:p>
    <w:p>
      <w:pPr>
        <w:spacing w:before="0" w:after="80"/>
      </w:pPr>
      <w:r>
        <w:rPr>
          <w:i/>
          <w:sz w:val="20"/>
        </w:rPr>
        <w:t>EN: Buried Interface‐Driven Synergistic Homogenization of Self‐Assembled Monolayer and Wide‐Bandgap Perovskite for Efficient and Stable Solar Cells</w:t>
      </w:r>
    </w:p>
    <w:p>
      <w:pPr>
        <w:spacing w:before="0" w:after="120"/>
      </w:pPr>
      <w:r>
        <w:rPr>
          <w:b/>
        </w:rPr>
        <w:t xml:space="preserve">Source: </w:t>
      </w:r>
      <w:r>
        <w:t>Wiley: Advanced Materials: Table of Contents</w:t>
      </w:r>
      <w:r>
        <w:t xml:space="preserve">    </w:t>
      </w:r>
      <w:r>
        <w:rPr>
          <w:b/>
        </w:rPr>
        <w:t xml:space="preserve">Pub date: </w:t>
      </w:r>
      <w:r>
        <w:t>2026-06-01 13:01:19+00:00</w:t>
      </w:r>
      <w:r>
        <w:t xml:space="preserve">    </w:t>
      </w:r>
      <w:r>
        <w:rPr>
          <w:b/>
        </w:rPr>
        <w:t xml:space="preserve">DOI: </w:t>
      </w:r>
      <w:hyperlink r:id="rId546">
        <w:r>
          <w:rPr>
            <w:color w:val="1155CC"/>
            <w:u w:val="single"/>
          </w:rPr>
          <w:t>10.1002/adma.73567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宽带隙（WBG）钙钛矿太阳能电池（PSC）因其多样化的光伏应用而引起了人们的极大兴趣，特别是作为串联太阳能电池配置中的顶部电池。然而，这些器件的效率和稳定性通常受到空穴选择性自组装单层（SAM）和混合卤化物宽带隙钙钛矿层的不均匀性的限制。在这里，我们提出了一种掩埋界面驱动的协同均质化策略来应对这些挑战。该策略涉及插入氟化铜 (CuF</w:t>
      </w:r>
      <w:r>
        <w:rPr>
          <w:vertAlign w:val="subscript"/>
        </w:rPr>
        <w:t>2</w:t>
      </w:r>
      <w:r>
        <w:t>）在FTO基底和MeO-2PACz SAM层之间，由于CuF之间的强相互作用，促进了MeO-2PACz层的均匀覆盖，并且抑制了聚集</w:t>
      </w:r>
      <w:r>
        <w:rPr>
          <w:vertAlign w:val="subscript"/>
        </w:rPr>
        <w:t>2</w:t>
      </w:r>
      <w:r>
        <w:t>和MeO-2PACz。 MeO-2PACz 均匀性的改善不仅有利于界面孔的提取，而且有利于高质量 Cs 的沉积</w:t>
      </w:r>
      <w:r>
        <w:t xml:space="preserve"> </w:t>
      </w:r>
      <w:r>
        <w:t>0.3</w:t>
      </w:r>
      <w:r>
        <w:t xml:space="preserve"> </w:t>
      </w:r>
      <w:r>
        <w:t>硕士</w:t>
      </w:r>
      <w:r>
        <w:t xml:space="preserve"> </w:t>
      </w:r>
      <w:r>
        <w:t>0.15</w:t>
      </w:r>
      <w:r>
        <w:t xml:space="preserve"> </w:t>
      </w:r>
      <w:r>
        <w:t>FA</w:t>
      </w:r>
      <w:r>
        <w:t xml:space="preserve"> </w:t>
      </w:r>
      <w:r>
        <w:t>0.55</w:t>
      </w:r>
      <w:r>
        <w:t xml:space="preserve"> </w:t>
      </w:r>
      <w:r>
        <w:t>碘化铅</w:t>
      </w:r>
      <w:r>
        <w:t xml:space="preserve"> </w:t>
      </w:r>
      <w:r>
        <w:t>2.7</w:t>
      </w:r>
      <w:r>
        <w:t xml:space="preserve"> </w:t>
      </w:r>
      <w:r>
        <w:t>溴</w:t>
      </w:r>
      <w:r>
        <w:t xml:space="preserve"> </w:t>
      </w:r>
      <w:r>
        <w:t>0.3</w:t>
      </w:r>
      <w:r>
        <w:t xml:space="preserve"> </w:t>
      </w:r>
      <w:r>
        <w:t>钙钛矿。所得钙钛矿薄膜表现出优异的结晶度、相均匀性和降低的陷阱密度。总的来说，优化后的器件实现了 23.33% 的冠军效率。此外，在最大功率点 (MPP) 下连续运行 1500 小时后，优化后的器件保留了其初始 e 的 90%。</w:t>
      </w:r>
    </w:p>
    <w:p>
      <w:pPr>
        <w:spacing w:before="0" w:after="200" w:lineRule="auto" w:line="276"/>
      </w:pPr>
      <w:r>
        <w:rPr>
          <w:b/>
        </w:rPr>
        <w:t xml:space="preserve">Abstract (EN): </w:t>
      </w:r>
      <w:r>
        <w:t>Wide‐bandgap (WBG) perovskite solar cells (PSCs) have attracted considerable interest due to their diverse photovoltaic applications, particularly as top cells in tandem solar cell configurations. However, the efficiency and stability of these devices are often limited by inhomogeneity in both the hole‐selective self‐assembled monolayer (SAM) and the mixed‐halide WBG perovskite layer. Here, we propose a buried interface‐driven synergistic homogenization strategy to address these challenges. This strategy involves inserting copper fluoride (CuF</w:t>
      </w:r>
      <w:r>
        <w:rPr>
          <w:vertAlign w:val="subscript"/>
        </w:rPr>
        <w:t>2</w:t>
      </w:r>
      <w:r>
        <w:t>) between the FTO substrate and MeO‐2PACz SAM layer, which promotes the formation of a uniform coverage of the MeO‐2PACz layer with suppressed aggregation due to the strong interaction between CuF</w:t>
      </w:r>
      <w:r>
        <w:rPr>
          <w:vertAlign w:val="subscript"/>
        </w:rPr>
        <w:t>2</w:t>
      </w:r>
      <w:r>
        <w:t>and MeO‐2PACz. The improved homogeneity of MeO‐2PACz not only facilitates the interfacial hole extraction but also favors the deposition of high‐quality Cs</w:t>
      </w:r>
      <w:r>
        <w:t xml:space="preserve"> </w:t>
      </w:r>
      <w:r>
        <w:t>0.3</w:t>
      </w:r>
      <w:r>
        <w:t xml:space="preserve"> </w:t>
      </w:r>
      <w:r>
        <w:t>MA</w:t>
      </w:r>
      <w:r>
        <w:t xml:space="preserve"> </w:t>
      </w:r>
      <w:r>
        <w:t>0.15</w:t>
      </w:r>
      <w:r>
        <w:t xml:space="preserve"> </w:t>
      </w:r>
      <w:r>
        <w:t>FA</w:t>
      </w:r>
      <w:r>
        <w:t xml:space="preserve"> </w:t>
      </w:r>
      <w:r>
        <w:t>0.55</w:t>
      </w:r>
      <w:r>
        <w:t xml:space="preserve"> </w:t>
      </w:r>
      <w:r>
        <w:t>PbI</w:t>
      </w:r>
      <w:r>
        <w:t xml:space="preserve"> </w:t>
      </w:r>
      <w:r>
        <w:t>2.7</w:t>
      </w:r>
      <w:r>
        <w:t xml:space="preserve"> </w:t>
      </w:r>
      <w:r>
        <w:t>Br</w:t>
      </w:r>
      <w:r>
        <w:t xml:space="preserve"> </w:t>
      </w:r>
      <w:r>
        <w:t>0.3</w:t>
      </w:r>
      <w:r>
        <w:t xml:space="preserve"> </w:t>
      </w:r>
      <w:r>
        <w:t>perovskite. The resultant perovskite films exhibit superior crystallinity, phase homogeneity, and reduced trap density. Collectively, the optimized devices achieve a champion efficiency of 23.33%. Furthermore, after 1500 h of continuous operation at the maximum power point (MPP), the optimized device retains 90% of its initial efficiency, demonstrating excellent operational stability.</w:t>
      </w:r>
    </w:p>
    <w:p>
      <w:pPr>
        <w:spacing w:before="120" w:after="120"/>
      </w:pPr>
      <w:r>
        <w:rPr>
          <w:sz w:val="18"/>
        </w:rPr>
        <w:t>——————————————————————————————————————————————————————————————————————</w:t>
      </w:r>
    </w:p>
    <w:p>
      <w:pPr>
        <w:spacing w:before="160" w:after="40" w:line="240" w:lineRule="auto"/>
      </w:pPr>
      <w:r>
        <w:rPr>
          <w:b/>
        </w:rPr>
        <w:t xml:space="preserve">[141] </w:t>
      </w:r>
      <w:hyperlink r:id="rId547">
        <w:r>
          <w:rPr>
            <w:color w:val="1155CC"/>
            <w:u w:val="single"/>
          </w:rPr>
          <w:t>太阳能互补湿气发电机，用于所有地区的协同能量收集</w:t>
        </w:r>
      </w:hyperlink>
    </w:p>
    <w:p>
      <w:pPr>
        <w:spacing w:before="0" w:after="80"/>
      </w:pPr>
      <w:r>
        <w:rPr>
          <w:i/>
          <w:sz w:val="20"/>
        </w:rPr>
        <w:t>EN: Solar-Complemented Moisture Electric Generator for Synergistic Energy Harvesting in All Regions</w:t>
      </w:r>
    </w:p>
    <w:p>
      <w:pPr>
        <w:spacing w:before="0" w:after="120"/>
      </w:pPr>
      <w:r>
        <w:rPr>
          <w:b/>
        </w:rPr>
        <w:t xml:space="preserve">Source: </w:t>
      </w:r>
      <w:r>
        <w:t>RSC - Energy Environ. Sci. latest articles</w:t>
      </w:r>
      <w:r>
        <w:t xml:space="preserve">    </w:t>
      </w:r>
      <w:r>
        <w:rPr>
          <w:b/>
        </w:rPr>
        <w:t xml:space="preserve">Pub date: </w:t>
      </w:r>
      <w:r>
        <w:t>2026-06-01 23:00:00+00:00</w:t>
      </w:r>
    </w:p>
    <w:p>
      <w:pPr>
        <w:spacing w:before="0" w:after="120"/>
      </w:pPr>
      <w:r>
        <w:rPr>
          <w:b/>
        </w:rPr>
        <w:t xml:space="preserve">Notes: </w:t>
      </w:r>
      <w:r>
        <w:t>abstract_source=rsc_html</w:t>
      </w:r>
    </w:p>
    <w:p>
      <w:pPr>
        <w:spacing w:before="0" w:after="80" w:lineRule="auto" w:line="276"/>
      </w:pPr>
      <w:r>
        <w:rPr>
          <w:b/>
        </w:rPr>
        <w:t xml:space="preserve">摘要（ZH）: </w:t>
      </w:r>
      <w:r>
        <w:t>湿气发电机（MEG）可以从环境水蒸气中获取电能，为可穿戴电子产品和物联网系统提供了一种有前景的自供电解决方案。然而，它们的实际应用受到输出功率有限的阻碍（</w:t>
      </w:r>
    </w:p>
    <w:p>
      <w:pPr>
        <w:spacing w:before="0" w:after="200" w:lineRule="auto" w:line="276"/>
      </w:pPr>
      <w:r>
        <w:rPr>
          <w:b/>
        </w:rPr>
        <w:t xml:space="preserve">Abstract (EN): </w:t>
      </w:r>
      <w:r>
        <w:t>Moisture-enabled generators (MEGs) can harvest electrical energy from ambient water vapor, offering a promising self-powered solution for wearable electronics and Internet-of-Things systems. However, their practical application is hindered by limited output power (</w:t>
      </w:r>
    </w:p>
    <w:p>
      <w:pPr>
        <w:spacing w:before="120" w:after="120"/>
      </w:pPr>
      <w:r>
        <w:rPr>
          <w:sz w:val="18"/>
        </w:rPr>
        <w:t>——————————————————————————————————————————————————————————————————————</w:t>
      </w:r>
    </w:p>
    <w:p>
      <w:pPr>
        <w:spacing w:before="160" w:after="40" w:line="240" w:lineRule="auto"/>
      </w:pPr>
      <w:r>
        <w:rPr>
          <w:b/>
        </w:rPr>
        <w:t xml:space="preserve">[142] </w:t>
      </w:r>
      <w:hyperlink r:id="rId548">
        <w:r>
          <w:rPr>
            <w:color w:val="1155CC"/>
            <w:u w:val="single"/>
          </w:rPr>
          <w:t>领先科学期刊的第一作者和最后作者更有可能是男性</w:t>
        </w:r>
      </w:hyperlink>
    </w:p>
    <w:p>
      <w:pPr>
        <w:spacing w:before="0" w:after="80"/>
      </w:pPr>
      <w:r>
        <w:rPr>
          <w:i/>
          <w:sz w:val="20"/>
        </w:rPr>
        <w:t>EN: First and last authors more likely to be men in leading science journals</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49">
        <w:r>
          <w:rPr>
            <w:color w:val="1155CC"/>
            <w:u w:val="single"/>
          </w:rPr>
          <w:t>10.1038/d41586-026-01495-8</w:t>
        </w:r>
      </w:hyperlink>
    </w:p>
    <w:p>
      <w:pPr>
        <w:spacing w:before="0" w:after="120"/>
      </w:pPr>
      <w:r>
        <w:rPr>
          <w:b/>
        </w:rPr>
        <w:t xml:space="preserve">Notes: </w:t>
      </w:r>
      <w:r>
        <w:t>abstract_source=nature_html</w:t>
      </w:r>
    </w:p>
    <w:p>
      <w:pPr>
        <w:spacing w:before="0" w:after="80" w:lineRule="auto" w:line="276"/>
      </w:pPr>
      <w:r>
        <w:rPr>
          <w:b/>
        </w:rPr>
        <w:t xml:space="preserve">摘要（ZH）: </w:t>
      </w:r>
      <w:r>
        <w:t>女性对科学的参与度急剧上升，但自然指数分析发现，第一作者和最后作者的性别差距（关键科学成就的标志）在过去十年中几乎没有变化。女性对科学的参与度急剧上升，但自然指数分析发现，第一作者和最后作者的性别差距（关键科学成就的标志）在过去十年中几乎没有变化。</w:t>
      </w:r>
    </w:p>
    <w:p>
      <w:pPr>
        <w:spacing w:before="0" w:after="200" w:lineRule="auto" w:line="276"/>
      </w:pPr>
      <w:r>
        <w:rPr>
          <w:b/>
        </w:rPr>
        <w:t xml:space="preserve">Abstract (EN): </w:t>
      </w:r>
      <w:r>
        <w:t>Women’s participation in science has risen sharply, but a Nature Index analysis finds that gender gaps in first and last authorship — markers of key scientific achievements — have barely shifted over the past decade. Women’s participation in science has risen sharply, but a Nature Index analysis finds that gender gaps in first and last authorship — markers of key scientific achievements — have barely shifted over the past decade.</w:t>
      </w:r>
    </w:p>
    <w:p>
      <w:pPr>
        <w:spacing w:before="120" w:after="120"/>
      </w:pPr>
      <w:r>
        <w:rPr>
          <w:sz w:val="18"/>
        </w:rPr>
        <w:t>——————————————————————————————————————————————————————————————————————</w:t>
      </w:r>
    </w:p>
    <w:p>
      <w:pPr>
        <w:spacing w:before="160" w:after="40" w:line="240" w:lineRule="auto"/>
      </w:pPr>
      <w:r>
        <w:rPr>
          <w:b/>
        </w:rPr>
        <w:t xml:space="preserve">[143] </w:t>
      </w:r>
      <w:hyperlink r:id="rId550">
        <w:r>
          <w:rPr>
            <w:color w:val="1155CC"/>
            <w:u w:val="single"/>
          </w:rPr>
          <w:t>更好的诊断可能会限制这次埃博拉疫情</w:t>
        </w:r>
      </w:hyperlink>
    </w:p>
    <w:p>
      <w:pPr>
        <w:spacing w:before="0" w:after="80"/>
      </w:pPr>
      <w:r>
        <w:rPr>
          <w:i/>
          <w:sz w:val="20"/>
        </w:rPr>
        <w:t>EN: Better diagnostics could have limited this Ebola outbreak</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51">
        <w:r>
          <w:rPr>
            <w:color w:val="1155CC"/>
            <w:u w:val="single"/>
          </w:rPr>
          <w:t>10.1038/d41586-026-01724-0</w:t>
        </w:r>
      </w:hyperlink>
    </w:p>
    <w:p>
      <w:pPr>
        <w:spacing w:before="0" w:after="120"/>
      </w:pPr>
      <w:r>
        <w:rPr>
          <w:b/>
        </w:rPr>
        <w:t xml:space="preserve">Notes: </w:t>
      </w:r>
      <w:r>
        <w:t>abstract_source=nature_html</w:t>
      </w:r>
    </w:p>
    <w:p>
      <w:pPr>
        <w:spacing w:before="0" w:after="80" w:lineRule="auto" w:line="276"/>
      </w:pPr>
      <w:r>
        <w:rPr>
          <w:b/>
        </w:rPr>
        <w:t xml:space="preserve">摘要（ZH）: </w:t>
      </w:r>
      <w:r>
        <w:t>快速识别病毒是最大限度减少其传播的关键。快速识别病毒是最大限度减少其传播的关键。</w:t>
      </w:r>
    </w:p>
    <w:p>
      <w:pPr>
        <w:spacing w:before="0" w:after="200" w:lineRule="auto" w:line="276"/>
      </w:pPr>
      <w:r>
        <w:rPr>
          <w:b/>
        </w:rPr>
        <w:t xml:space="preserve">Abstract (EN): </w:t>
      </w:r>
      <w:r>
        <w:t>Quick identification of viruses holds the key to minimizing their spread. Quick identification of viruses holds the key to minimizing their spread.</w:t>
      </w:r>
    </w:p>
    <w:p>
      <w:pPr>
        <w:spacing w:before="120" w:after="120"/>
      </w:pPr>
      <w:r>
        <w:rPr>
          <w:sz w:val="18"/>
        </w:rPr>
        <w:t>——————————————————————————————————————————————————————————————————————</w:t>
      </w:r>
    </w:p>
    <w:p>
      <w:pPr>
        <w:spacing w:before="160" w:after="40" w:line="240" w:lineRule="auto"/>
      </w:pPr>
      <w:r>
        <w:rPr>
          <w:b/>
        </w:rPr>
        <w:t xml:space="preserve">[144] </w:t>
      </w:r>
      <w:hyperlink r:id="rId552">
        <w:r>
          <w:rPr>
            <w:color w:val="1155CC"/>
            <w:u w:val="single"/>
          </w:rPr>
          <w:t>“虚拟细胞”旨在将原始数据转化为生物学预测模型</w:t>
        </w:r>
      </w:hyperlink>
    </w:p>
    <w:p>
      <w:pPr>
        <w:spacing w:before="0" w:after="80"/>
      </w:pPr>
      <w:r>
        <w:rPr>
          <w:i/>
          <w:sz w:val="20"/>
        </w:rPr>
        <w:t>EN: ‘Virtual cells’ aim to turn raw data into predictive models of biology</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53">
        <w:r>
          <w:rPr>
            <w:color w:val="1155CC"/>
            <w:u w:val="single"/>
          </w:rPr>
          <w:t>10.1038/d41586-026-01731-1</w:t>
        </w:r>
      </w:hyperlink>
    </w:p>
    <w:p>
      <w:pPr>
        <w:spacing w:before="0" w:after="120"/>
      </w:pPr>
      <w:r>
        <w:rPr>
          <w:b/>
        </w:rPr>
        <w:t xml:space="preserve">Notes: </w:t>
      </w:r>
      <w:r>
        <w:t>abstract_source=nature_html</w:t>
      </w:r>
    </w:p>
    <w:p>
      <w:pPr>
        <w:spacing w:before="0" w:after="80" w:lineRule="auto" w:line="276"/>
      </w:pPr>
      <w:r>
        <w:rPr>
          <w:b/>
        </w:rPr>
        <w:t xml:space="preserve">摘要（ZH）: </w:t>
      </w:r>
      <w:r>
        <w:t>生物系统的模拟可以改变生物医学研究，但研究人员仍在学习如何在不被数据淹没的情况下重现生命的复杂性。生物系统的模拟可以改变生物医学研究，但研究人员仍在学习如何在不被数据淹没的情况下重现生命的复杂性。</w:t>
      </w:r>
    </w:p>
    <w:p>
      <w:pPr>
        <w:spacing w:before="0" w:after="200" w:lineRule="auto" w:line="276"/>
      </w:pPr>
      <w:r>
        <w:rPr>
          <w:b/>
        </w:rPr>
        <w:t xml:space="preserve">Abstract (EN): </w:t>
      </w:r>
      <w:r>
        <w:t>Simulations of biological systems could transform biomedical research, but researchers are still learning how to reproduce life’s complexity without drowning in data. Simulations of biological systems could transform biomedical research, but researchers are still learning how to reproduce life’s complexity without drowning in data.</w:t>
      </w:r>
    </w:p>
    <w:p>
      <w:pPr>
        <w:spacing w:before="120" w:after="120"/>
      </w:pPr>
      <w:r>
        <w:rPr>
          <w:sz w:val="18"/>
        </w:rPr>
        <w:t>——————————————————————————————————————————————————————————————————————</w:t>
      </w:r>
    </w:p>
    <w:p>
      <w:pPr>
        <w:spacing w:before="160" w:after="40" w:line="240" w:lineRule="auto"/>
      </w:pPr>
      <w:r>
        <w:rPr>
          <w:b/>
        </w:rPr>
        <w:t xml:space="preserve">[145] </w:t>
      </w:r>
      <w:hyperlink r:id="rId554">
        <w:r>
          <w:rPr>
            <w:color w:val="1155CC"/>
            <w:u w:val="single"/>
          </w:rPr>
          <w:t>电子-电子相互作用的八极韦尔超导</w:t>
        </w:r>
      </w:hyperlink>
    </w:p>
    <w:p>
      <w:pPr>
        <w:spacing w:before="0" w:after="80"/>
      </w:pPr>
      <w:r>
        <w:rPr>
          <w:i/>
          <w:sz w:val="20"/>
        </w:rPr>
        <w:t>EN: Octupolar Weyl superconductivity from electron-electron interaction</w:t>
      </w:r>
    </w:p>
    <w:p>
      <w:pPr>
        <w:spacing w:before="0" w:after="120"/>
      </w:pPr>
      <w:r>
        <w:rPr>
          <w:b/>
        </w:rPr>
        <w:t xml:space="preserve">Source: </w:t>
      </w:r>
      <w:r>
        <w:t>National Science Review Advance Access</w:t>
      </w:r>
      <w:r>
        <w:t xml:space="preserve">    </w:t>
      </w:r>
      <w:r>
        <w:rPr>
          <w:b/>
        </w:rPr>
        <w:t xml:space="preserve">Pub date: </w:t>
      </w:r>
      <w:r>
        <w:t>2026-06-02 00:00:00+00:00</w:t>
      </w:r>
      <w:r>
        <w:t xml:space="preserve">    </w:t>
      </w:r>
      <w:r>
        <w:rPr>
          <w:b/>
        </w:rPr>
        <w:t xml:space="preserve">DOI: </w:t>
      </w:r>
      <w:hyperlink r:id="rId555">
        <w:r>
          <w:rPr>
            <w:color w:val="1155CC"/>
            <w:u w:val="single"/>
          </w:rPr>
          <w:t>10.1093/nsr/nwag326</w:t>
        </w:r>
      </w:hyperlink>
    </w:p>
    <w:p>
      <w:pPr>
        <w:spacing w:before="0" w:after="120"/>
      </w:pPr>
      <w:r>
        <w:rPr>
          <w:b/>
        </w:rPr>
        <w:t xml:space="preserve">Notes: </w:t>
      </w:r>
      <w:r>
        <w:t>abstract_source=rss_oup</w:t>
      </w:r>
    </w:p>
    <w:p>
      <w:pPr>
        <w:spacing w:before="0" w:after="80" w:lineRule="auto" w:line="276"/>
      </w:pPr>
      <w:r>
        <w:rPr>
          <w:b/>
        </w:rPr>
        <w:t xml:space="preserve">摘要（ZH）: </w:t>
      </w:r>
      <w:r>
        <w:t>外尔拓扑超导 (TSC) 是一种奇异的超导态，具有拓扑保护的点隙节点和 Bogoliubov-Majorana Fermi 弧。然而，它的实现仍然很少，通常需要复杂的能带结构或微调的自旋轨道耦合。在这里，我们提出了一种通用且稳健的机制来仅依赖于排斥电子-电子相互作用下的 3D 立方晶格对称性来生成 Weyl TSC。标准群论与 Ginzburg-Landau 分析相结合表明，将 2D 方晶格中的 $d_{x^2-y^2}$ 波配对（通常由排斥相互作用驱动）推广到 3D 立方晶格自然会产生手性 $d_{3z^2-r^2}+ i d_{x^2-y^2}$ 状态。与平面六角对称下的其他时间反演对称破缺配对如 px + ipy （例如 3He-A）和 $d_{x^2-y^2}+id_{xy}$ 不同，具有这种对称性的库珀对不具有净轨道角动量（OAM）。相反，他们开发了 OAM 的八极 Oxyz 分量，这导致沿体对角线方向有 8 个节点，表现出单极电荷 ±1 的交替分布。这自然构成了具有非平凡拓扑的八极 Weyl TSC。采用单轨道立方哈伯德模型作为原型，我们在随机相位近似中采用弱耦合方法，以及基于从玻色子平均场理论和变分蒙特卡罗模拟的强耦合分析。我们的数值结果一致证实了 d + id Weyl TSC 的出现，强调了这种相互作用的普遍性</w:t>
      </w:r>
    </w:p>
    <w:p>
      <w:pPr>
        <w:spacing w:before="0" w:after="200" w:lineRule="auto" w:line="276"/>
      </w:pPr>
      <w:r>
        <w:rPr>
          <w:b/>
        </w:rPr>
        <w:t xml:space="preserve">Abstract (EN): </w:t>
      </w:r>
      <w:r>
        <w:t>Weyl topological superconductivity (TSC) is an exotic superconducting state featuring topologically protected point gap nodes and Bogoliubov-Majorana Fermi arcs. However, its realization remains rare, often requiring complicated band structures or fine-tuned spin-orbit coupling. Here we propose a universal and robust mechanism to generate Weyl TSC relying solely on 3D cubic lattice symmetry under repulsive electron-electron interaction. Standard group theory combined with Ginzburg-Landau analysis reveals that generalizing the $d_{x^2-y^2}$-wave pairing in the 2D square lattice, typically driven by repulsive interactions, to a 3D cubic lattice naturally yields a chiral $d_{3z^2-r^2}+ i d_{x^2-y^2}$ state. Unlike other time-reversal symmetry breaking pairings such as px + ipy (e.g., 3He-A) and $d_{x^2-y^2}+id_{xy}$ under planar hexagonal symmetry, Cooper pairs with such a symmetry do not possess a net orbital angular momentum (OAM). Instead, they develop an octupolar Oxyz component of OAM, which results in eight nodal points along the body diagonal directions, exhibiting an alternating distribution of monopole charges ±1. This naturally constitutes an octupolar Weyl TSC with non-trivial topology. Employing the single-orbital cubic Hubbard model as a prototype, we utilize a weak-coupling approach within the random-phase approximation, along with a strong-coupling analysis based on slave-boson mean-field theory and variational Monte Carlo simulations. Our numerical results consistently confirm the emergence of the d + id Weyl TSC, highlighting the universality of this interaction-driven symmetry-protected mechanism. This finding simplifies the search for Weyl TSC, suggesting potential realization in cubic-lattice correlated superconductors and in cold-atom quantum simulation of the 3D Hubbard model upon suppression of its Néel antiferromagnetic phase.</w:t>
      </w:r>
    </w:p>
    <w:p>
      <w:pPr>
        <w:spacing w:before="120" w:after="120"/>
      </w:pPr>
      <w:r>
        <w:rPr>
          <w:sz w:val="18"/>
        </w:rPr>
        <w:t>——————————————————————————————————————————————————————————————————————</w:t>
      </w:r>
    </w:p>
    <w:p>
      <w:pPr>
        <w:spacing w:before="160" w:after="40" w:line="240" w:lineRule="auto"/>
      </w:pPr>
      <w:r>
        <w:rPr>
          <w:b/>
        </w:rPr>
        <w:t xml:space="preserve">[146] </w:t>
      </w:r>
      <w:hyperlink r:id="rId556">
        <w:r>
          <w:rPr>
            <w:color w:val="1155CC"/>
            <w:u w:val="single"/>
          </w:rPr>
          <w:t>反应诱导的 Co-N1O2 位点上有利于自旋选择的过一硫酸盐活化可实现 1O2 偏向且自由基平行的氧化</w:t>
        </w:r>
      </w:hyperlink>
    </w:p>
    <w:p>
      <w:pPr>
        <w:spacing w:before="0" w:after="80"/>
      </w:pPr>
      <w:r>
        <w:rPr>
          <w:i/>
          <w:sz w:val="20"/>
        </w:rPr>
        <w:t>EN: Spin-selection-favored peroxymonosulfate activation on reaction-induced Co–N1O2 sites enables 1O2-biased yet radical-parallel oxidation</w:t>
      </w:r>
    </w:p>
    <w:p>
      <w:pPr>
        <w:spacing w:before="0" w:after="120"/>
      </w:pPr>
      <w:r>
        <w:rPr>
          <w:b/>
        </w:rPr>
        <w:t xml:space="preserve">Source: </w:t>
      </w:r>
      <w:r>
        <w:t>National Science Review Advance Access</w:t>
      </w:r>
      <w:r>
        <w:t xml:space="preserve">    </w:t>
      </w:r>
      <w:r>
        <w:rPr>
          <w:b/>
        </w:rPr>
        <w:t xml:space="preserve">Pub date: </w:t>
      </w:r>
      <w:r>
        <w:t>2026-06-02 00:00:00+00:00</w:t>
      </w:r>
      <w:r>
        <w:t xml:space="preserve">    </w:t>
      </w:r>
      <w:r>
        <w:rPr>
          <w:b/>
        </w:rPr>
        <w:t xml:space="preserve">DOI: </w:t>
      </w:r>
      <w:hyperlink r:id="rId557">
        <w:r>
          <w:rPr>
            <w:color w:val="1155CC"/>
            <w:u w:val="single"/>
          </w:rPr>
          <w:t>10.1093/nsr/nwag334</w:t>
        </w:r>
      </w:hyperlink>
    </w:p>
    <w:p>
      <w:pPr>
        <w:spacing w:before="0" w:after="120"/>
      </w:pPr>
      <w:r>
        <w:rPr>
          <w:b/>
        </w:rPr>
        <w:t xml:space="preserve">Notes: </w:t>
      </w:r>
      <w:r>
        <w:t>abstract_source=rss_oup</w:t>
      </w:r>
    </w:p>
    <w:p>
      <w:pPr>
        <w:spacing w:before="0" w:after="80" w:lineRule="auto" w:line="276"/>
      </w:pPr>
      <w:r>
        <w:rPr>
          <w:b/>
        </w:rPr>
        <w:t xml:space="preserve">摘要（ZH）: </w:t>
      </w:r>
      <w:r>
        <w:t>在基于过一硫酸盐 (PMS) 的高级氧化工艺 (AOP) 中，金属配位环境的转变，特别是它们对自旋态转变的影响，仍未得到充分探索。在本研究中，我们采用配位重结晶策略和氩气热解合成了 Co1/C3N5 单原子催化剂。 PMS 激活后，Co-N2O1 位点演化为 Co-N1O2，从而实现有利于自旋选择的激活和有效的污染物降解。进化的位点能够实现有利于自旋选择的 PMS 激活，共同产生硫酸根 (·SO4⁻) 和单线态氧 (1O2)，在 1O2 偏向但自由基平行的状态下运行。在此范围内，在相同条件下，Co1/C3N5 的土霉素降解伪一级速率常数 (kapp) 相对于原始 C3N5 提高了 5.3 倍，并且其性能始终优于 30 多种最先进的基于 PMS 的催化剂。该催化剂进一步对结构多样的抗生素和染料表现出广谱活性，同时在富含基质的水中和连续流动操作下保持耐久性。总体而言，这项工作将反应诱导的单点演化与自旋感知氧转移联系起来，为选择性和稳健的 PMS 激活 AOP 催化剂提供了简洁的设计指导。</w:t>
      </w:r>
    </w:p>
    <w:p>
      <w:pPr>
        <w:spacing w:before="0" w:after="200" w:lineRule="auto" w:line="276"/>
      </w:pPr>
      <w:r>
        <w:rPr>
          <w:b/>
        </w:rPr>
        <w:t xml:space="preserve">Abstract (EN): </w:t>
      </w:r>
      <w:r>
        <w:t>Transformations in metal coordination environments, particularly their impact on spin-state transitions, remain underexplored in peroxymonosulfate (PMS)-based advanced oxidation processes (AOPs). In this study, we synthesize a Co1/C3N5 single-atom catalyst using a coordination–recrystallization strategy followed by argon pyrolysis. The Co–N2O1 sites evolve to Co–N1O2 upon PMS activation, enabling spin-selection-favored activation and efficient pollutant degradation. The evolved site enables spin-selection-favored PMS activation that co-generates sulfate radicals (·SO4⁻) and singlet oxygen (1O2), operating in a 1O2-biased yet radical-parallel regime. Within this regime, Co1/C3N5 achieves a 5.3-fold increase in the pseudo-first-order rate constant (kapp) for oxytetracycline degradation relative to pristine C3N5 under identical conditions, and it consistently outperforms more than 30 state-of-the-art PMS-based catalysts. The catalyst further exhibits broad-spectrum activity toward structurally diverse antibiotics and dyes, while maintaining durability in matrix-rich waters and under continuous-flow operation. Overall, this work links reaction-induced single-site evolution to spin-aware oxygen transfer, providing concise design guidance for selective and robust PMS-activated AOP catalysts.</w:t>
      </w:r>
    </w:p>
    <w:p>
      <w:pPr>
        <w:spacing w:before="120" w:after="120"/>
      </w:pPr>
      <w:r>
        <w:rPr>
          <w:sz w:val="18"/>
        </w:rPr>
        <w:t>——————————————————————————————————————————————————————————————————————</w:t>
      </w:r>
    </w:p>
    <w:p>
      <w:pPr>
        <w:spacing w:before="160" w:after="40" w:line="240" w:lineRule="auto"/>
      </w:pPr>
      <w:r>
        <w:rPr>
          <w:b/>
        </w:rPr>
        <w:t xml:space="preserve">[147] </w:t>
      </w:r>
      <w:hyperlink r:id="rId558">
        <w:r>
          <w:rPr>
            <w:color w:val="1155CC"/>
            <w:u w:val="single"/>
          </w:rPr>
          <w:t>2D晶体管变得更窄</w:t>
        </w:r>
      </w:hyperlink>
    </w:p>
    <w:p>
      <w:pPr>
        <w:spacing w:before="0" w:after="80"/>
      </w:pPr>
      <w:r>
        <w:rPr>
          <w:i/>
          <w:sz w:val="20"/>
        </w:rPr>
        <w:t>EN: 2D transistor goes narrower</w:t>
      </w:r>
    </w:p>
    <w:p>
      <w:pPr>
        <w:spacing w:before="0" w:after="120"/>
      </w:pPr>
      <w:r>
        <w:rPr>
          <w:b/>
        </w:rPr>
        <w:t xml:space="preserve">Source: </w:t>
      </w:r>
      <w:r>
        <w:t>Nature Nanotechnology</w:t>
      </w:r>
      <w:r>
        <w:t xml:space="preserve">    </w:t>
      </w:r>
      <w:r>
        <w:rPr>
          <w:b/>
        </w:rPr>
        <w:t xml:space="preserve">Pub date: </w:t>
      </w:r>
      <w:r>
        <w:t>2026-06-02 00:00:00+00:00</w:t>
      </w:r>
      <w:r>
        <w:t xml:space="preserve">    </w:t>
      </w:r>
      <w:r>
        <w:rPr>
          <w:b/>
        </w:rPr>
        <w:t xml:space="preserve">DOI: </w:t>
      </w:r>
      <w:hyperlink r:id="rId559">
        <w:r>
          <w:rPr>
            <w:color w:val="1155CC"/>
            <w:u w:val="single"/>
          </w:rPr>
          <w:t>10.1038/s41565-026-02162-9</w:t>
        </w:r>
      </w:hyperlink>
    </w:p>
    <w:p>
      <w:pPr>
        <w:spacing w:before="0" w:after="120"/>
      </w:pPr>
      <w:r>
        <w:rPr>
          <w:b/>
        </w:rPr>
        <w:t xml:space="preserve">Notes: </w:t>
      </w:r>
      <w:r>
        <w:t>abstract_source=nature_html</w:t>
      </w:r>
    </w:p>
    <w:p>
      <w:pPr>
        <w:spacing w:before="0" w:after="80" w:lineRule="auto" w:line="276"/>
      </w:pPr>
      <w:r>
        <w:rPr>
          <w:b/>
        </w:rPr>
        <w:t xml:space="preserve">摘要（ZH）: </w:t>
      </w:r>
      <w:r>
        <w:t>通过将沟道宽度缩小至 100 nm 以下，实现了高性能 2D 纳米带晶体管。</w:t>
      </w:r>
    </w:p>
    <w:p>
      <w:pPr>
        <w:spacing w:before="0" w:after="200" w:lineRule="auto" w:line="276"/>
      </w:pPr>
      <w:r>
        <w:rPr>
          <w:b/>
        </w:rPr>
        <w:t xml:space="preserve">Abstract (EN): </w:t>
      </w:r>
      <w:r>
        <w:t>High-performance 2D nanoribbon transistors are achieved with channel width scaling down to below 100 nm.</w:t>
      </w:r>
    </w:p>
    <w:p>
      <w:pPr>
        <w:spacing w:before="120" w:after="120"/>
      </w:pPr>
      <w:r>
        <w:rPr>
          <w:sz w:val="18"/>
        </w:rPr>
        <w:t>——————————————————————————————————————————————————————————————————————</w:t>
      </w:r>
    </w:p>
    <w:p>
      <w:pPr>
        <w:spacing w:before="160" w:after="40" w:line="240" w:lineRule="auto"/>
      </w:pPr>
      <w:r>
        <w:rPr>
          <w:b/>
        </w:rPr>
        <w:t xml:space="preserve">[148] </w:t>
      </w:r>
      <w:hyperlink r:id="rId560">
        <w:r>
          <w:rPr>
            <w:color w:val="1155CC"/>
            <w:u w:val="single"/>
          </w:rPr>
          <w:t>组胺塑造人类学习的神经计算动力学</w:t>
        </w:r>
      </w:hyperlink>
    </w:p>
    <w:p>
      <w:pPr>
        <w:spacing w:before="0" w:after="80"/>
      </w:pPr>
      <w:r>
        <w:rPr>
          <w:i/>
          <w:sz w:val="20"/>
        </w:rPr>
        <w:t>EN: Histamine shapes the neurocomputational dynamics of human learning</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组胺是在哺乳动物大脑中发现的第一个典型单胺，但在其对人类行为的机制贡献方面，可以说仍然是人们了解最少的。使用一流的因果探针（H3R反向激动剂pitolisant），我们展示了组胺的升高如何影响离线和在线时间-海马动态——维持情景学习相关活动和极化检索计算。除此之外，组胺在高工作记忆负载下自适应地改变神经计算策略，同时在厌恶强化学习期间稳定值更新。这些发现揭示了这种尚未充分探索的系统对人类神经计算的机械影响，支持其在精神病学中的治疗潜力。</w:t>
      </w:r>
    </w:p>
    <w:p>
      <w:pPr>
        <w:spacing w:before="0" w:after="200" w:lineRule="auto" w:line="276"/>
      </w:pPr>
      <w:r>
        <w:rPr>
          <w:b/>
        </w:rPr>
        <w:t xml:space="preserve">Abstract (EN): </w:t>
      </w:r>
      <w:r>
        <w:t>Histamine was the first canonical monoamine identified in the mammalian brain, yet arguably remains the least understood in its mechanistic contributions to human behaviour. Using a first-in-class causal probe (H3R inverse agonist pitolisant), we show how elevating histamine shapes offline and online temporal–hippocampal dynamics — sustaining episodic learning-related activity and polarising retrieval computations. Beyond this, histamine adaptively shifts neurocomputational strategy under high working memory load, while stabilising value updates during aversive reinforcement learning. These findings uncover a mechanistically grounded influence of this underexplored system on human neurocomputation, supporting its therapeutic potential in psychiatry.</w:t>
      </w:r>
    </w:p>
    <w:p>
      <w:pPr>
        <w:spacing w:before="120" w:after="120"/>
      </w:pPr>
      <w:r>
        <w:rPr>
          <w:sz w:val="18"/>
        </w:rPr>
        <w:t>——————————————————————————————————————————————————————————————————————</w:t>
      </w:r>
    </w:p>
    <w:p>
      <w:pPr>
        <w:spacing w:before="160" w:after="40" w:line="240" w:lineRule="auto"/>
      </w:pPr>
      <w:r>
        <w:rPr>
          <w:b/>
        </w:rPr>
        <w:t xml:space="preserve">[149] </w:t>
      </w:r>
      <w:hyperlink r:id="rId561">
        <w:r>
          <w:rPr>
            <w:color w:val="1155CC"/>
            <w:u w:val="single"/>
          </w:rPr>
          <w:t>花青修饰的 ssODN 通过染色质和化学调节增强干细胞胚胎模型中的 CRISPR-Cas9 HDR</w:t>
        </w:r>
      </w:hyperlink>
    </w:p>
    <w:p>
      <w:pPr>
        <w:spacing w:before="0" w:after="80"/>
      </w:pPr>
      <w:r>
        <w:rPr>
          <w:i/>
          <w:sz w:val="20"/>
        </w:rPr>
        <w:t>EN: Cyanine-modified ssODNs enhance CRISPR-Cas9 HDR in stem cell embryo models via chromatin and chemical modulation</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虽然 CRISPR-Cas9 已经改变了生物医学研究，但通过同源定向修复 (HDR) 进行的精确基因组编辑仍然受到低效率和细胞毒性的限制，特别是在敏感系统中。在这里，我们证明单链寡脱氧核苷酸 (ssODN) 的简单 5' 花青修饰可显着提高人类干细胞模型的 HDR 效率，提供 2-3 倍的生存优势。这种方法能够在 3D 人类胚胎模型（胚芽）中实现原位 HDR，实现高达 30% 的 HDR，比未修饰的 ssODN 提高 2.5-3 倍，而不会影响活力或发育潜力。编辑后的胚层概括了关键的植入特征，包括被下胚层和滋养层包围的外胚层生长。从机制上讲，增强的 HDR 与 HDR 相关基因的上调有关，包括连接组蛋白 H1.0，它结合 5'Cy5-ssODN 并促进 HDR。此外，5'Cy5 还提高了 ssODN 的稳定性和核可用性。分子动力学和自由能分析表明，5'Cy5 促进紧凑的圆形构象（经原子力显微镜验证），并增强供体-靶标双链体稳定性。总之，这些发现确立了花青修饰的 ssODN 作为一种简单的、生物相容性的策略，以提高精确的基因组编辑。</w:t>
      </w:r>
    </w:p>
    <w:p>
      <w:pPr>
        <w:spacing w:before="0" w:after="200" w:lineRule="auto" w:line="276"/>
      </w:pPr>
      <w:r>
        <w:rPr>
          <w:b/>
        </w:rPr>
        <w:t xml:space="preserve">Abstract (EN): </w:t>
      </w:r>
      <w:r>
        <w:t>While CRISPR–Cas9 has transformed biomedical research, precise genome editing via homology-directed repair (HDR) remains limited by low efficiency and cytotoxicity, particularly in sensitive systems. Here, we show that simple 5′ cyanine modifications of single-stranded oligodeoxynucleotides (ssODNs) markedly enhance HDR efficiency across human stem cell models, providing a 2–3-fold survival advantage. This approach enables in situ HDR in 3D human embryo models (blastoids), achieving up to 30% HDR—a 2.5–3-fold improvement over unmodified ssODNs—without compromising viability or developmental potential. Edited blastoids recapitulate key implantation features, including epiblast outgrowths surrounded by hypoblasts and trophoblasts. Mechanistically, enhanced HDR is associated with upregulation of HDR-related genes, including linker histone H1.0, which binds 5′Cy5-ssODNs and promotes HDR. Additionally, 5′Cy5 increases stability and nuclear availability of ssODNs. Molecular dynamics and free energy analyses suggest that 5′Cy5 promotes compact, circular-like conformations, validated by atomic force microscopy, and enhances donor–target duplex stability. Together, these findings establish cyanine-modified ssODNs as a simple, biocompatible strategy to improve precise genome editing.</w:t>
      </w:r>
    </w:p>
    <w:p>
      <w:pPr>
        <w:spacing w:before="120" w:after="120"/>
      </w:pPr>
      <w:r>
        <w:rPr>
          <w:sz w:val="18"/>
        </w:rPr>
        <w:t>——————————————————————————————————————————————————————————————————————</w:t>
      </w:r>
    </w:p>
    <w:p>
      <w:pPr>
        <w:spacing w:before="160" w:after="40" w:line="240" w:lineRule="auto"/>
      </w:pPr>
      <w:r>
        <w:rPr>
          <w:b/>
        </w:rPr>
        <w:t xml:space="preserve">[150] </w:t>
      </w:r>
      <w:hyperlink r:id="rId562">
        <w:r>
          <w:rPr>
            <w:color w:val="1155CC"/>
            <w:u w:val="single"/>
          </w:rPr>
          <w:t>scMEDAL：可解释的单细胞转录组学分析，通过深度混合效应自动编码器实现批量效应可视化</w:t>
        </w:r>
      </w:hyperlink>
    </w:p>
    <w:p>
      <w:pPr>
        <w:spacing w:before="0" w:after="80"/>
      </w:pPr>
      <w:r>
        <w:rPr>
          <w:i/>
          <w:sz w:val="20"/>
        </w:rPr>
        <w:t>EN: scMEDAL: interpretable single-cell transcriptomics analysis with batch effect visualization via deep mixed-effects autoencoder</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单细胞 RNA 测序能够对细胞异质性进行高分辨率分析，但将生物信号与批次效应分开仍然具有挑战性。现有的批次校正算法抑制或丢弃与批次相关的变化，而不是对其进行建模。我们提出了 scMEDAL（单细胞混合效应深度自动编码器学习），这是一个单独且独立地建模批次不变和批次特定效应的框架。主要创新 scMEDAL-RE 是一种随机效应贝叶斯自动编码器，它可以学习批次特定的表示，同时保留与批次效应混杂的具有生物学意义的信息，信号在标准校正下经常丢失。在不同的条件（自闭症、白血病、心血管）、细胞类型以及技术和生物效应中，scMEDAL-RE 产生可解释的、批次特定的嵌入，补充多批次校正方法，改善对疾病状态、供体组和组织的预测。 scMEDAL 还提供生成可视化，包括细胞表达的反事实重建，就像在另一批次中获得的一样。总体而言，scMEDAL 是一个多功能、可解释的框架，可以补充现有的校正，提供对细胞异质性和数据采集的洞察。</w:t>
      </w:r>
    </w:p>
    <w:p>
      <w:pPr>
        <w:spacing w:before="0" w:after="200" w:lineRule="auto" w:line="276"/>
      </w:pPr>
      <w:r>
        <w:rPr>
          <w:b/>
        </w:rPr>
        <w:t xml:space="preserve">Abstract (EN): </w:t>
      </w:r>
      <w:r>
        <w:t>Single-cell RNA sequencing enables high-resolution analysis of cellular heterogeneity, yet disentangling biological signal from batch effects remains challenging. Existing batch-correction algorithms suppress or discard batch-related variation rather than modeling it. We propose scMEDAL—single-cell Mixed Effects Deep Autoencoder Learning—a framework that separately and independently models batch-invariant and batch-specific effects. The principal innovation, scMEDAL-RE, is a random-effects Bayesian autoencoder that learns batch-specific representations while preserving biologically meaningful information confounded with batch effects, signal often lost under standard correction. Across diverse conditions (autism, leukemia, cardiovascular), cell types, and technical and biological effects, scMEDAL-RE produces interpretable, batch-specific embeddings that complement multiple batch correction methods, improving prediction of disease status, donor group, and tissue. scMEDAL also provides generative visualizations—including counterfactual reconstructions of a cell’s expression as if acquired in another batch. Overall, scMEDAL is a versatile, interpretable framework that complements existing correction, providing insight into cellular heterogeneity and data acquisition.</w:t>
      </w:r>
    </w:p>
    <w:p>
      <w:pPr>
        <w:spacing w:before="120" w:after="120"/>
      </w:pPr>
      <w:r>
        <w:rPr>
          <w:sz w:val="18"/>
        </w:rPr>
        <w:t>——————————————————————————————————————————————————————————————————————</w:t>
      </w:r>
    </w:p>
    <w:p>
      <w:pPr>
        <w:spacing w:before="160" w:after="40" w:line="240" w:lineRule="auto"/>
      </w:pPr>
      <w:r>
        <w:rPr>
          <w:b/>
        </w:rPr>
        <w:t xml:space="preserve">[151] </w:t>
      </w:r>
      <w:hyperlink r:id="rId563">
        <w:r>
          <w:rPr>
            <w:color w:val="1155CC"/>
            <w:u w:val="single"/>
          </w:rPr>
          <w:t>人工智能会毁掉社会科学——还是彻底改变社会科学？</w:t>
        </w:r>
      </w:hyperlink>
    </w:p>
    <w:p>
      <w:pPr>
        <w:spacing w:before="0" w:after="80"/>
      </w:pPr>
      <w:r>
        <w:rPr>
          <w:i/>
          <w:sz w:val="20"/>
        </w:rPr>
        <w:t>EN: Will AI ruin the social sciences — or revolutionize them?</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64">
        <w:r>
          <w:rPr>
            <w:color w:val="1155CC"/>
            <w:u w:val="single"/>
          </w:rPr>
          <w:t>10.1038/d41586-026-01726-y</w:t>
        </w:r>
      </w:hyperlink>
    </w:p>
    <w:p>
      <w:pPr>
        <w:spacing w:before="0" w:after="120"/>
      </w:pPr>
      <w:r>
        <w:rPr>
          <w:b/>
        </w:rPr>
        <w:t xml:space="preserve">Notes: </w:t>
      </w:r>
      <w:r>
        <w:t>abstract_source=nature_html</w:t>
      </w:r>
    </w:p>
    <w:p>
      <w:pPr>
        <w:spacing w:before="0" w:after="80" w:lineRule="auto" w:line="276"/>
      </w:pPr>
      <w:r>
        <w:rPr>
          <w:b/>
        </w:rPr>
        <w:t xml:space="preserve">摘要（ZH）: </w:t>
      </w:r>
      <w:r>
        <w:t>该技术可能会产生虚假的发现并污染调查结果，但它也可能使研究更加严格。该技术可能会产生虚假的发现并污染调查结果，但它也可能使研究更加严格。</w:t>
      </w:r>
    </w:p>
    <w:p>
      <w:pPr>
        <w:spacing w:before="0" w:after="200" w:lineRule="auto" w:line="276"/>
      </w:pPr>
      <w:r>
        <w:rPr>
          <w:b/>
        </w:rPr>
        <w:t xml:space="preserve">Abstract (EN): </w:t>
      </w:r>
      <w:r>
        <w:t>The technology can whip up spurious findings and pollute survey responses, but it could also make research more rigorous. The technology can whip up spurious findings and pollute survey responses, but it could also make research more rigorous.</w:t>
      </w:r>
    </w:p>
    <w:p>
      <w:pPr>
        <w:spacing w:before="120" w:after="120"/>
      </w:pPr>
      <w:r>
        <w:rPr>
          <w:sz w:val="18"/>
        </w:rPr>
        <w:t>——————————————————————————————————————————————————————————————————————</w:t>
      </w:r>
    </w:p>
    <w:p>
      <w:pPr>
        <w:spacing w:before="160" w:after="40" w:line="240" w:lineRule="auto"/>
      </w:pPr>
      <w:r>
        <w:rPr>
          <w:b/>
        </w:rPr>
        <w:t xml:space="preserve">[152] </w:t>
      </w:r>
      <w:hyperlink r:id="rId565">
        <w:r>
          <w:rPr>
            <w:color w:val="1155CC"/>
            <w:u w:val="single"/>
          </w:rPr>
          <w:t>MINTsC 从单细胞高通量染色质构象数据中学习多路染色质相互作用</w:t>
        </w:r>
      </w:hyperlink>
    </w:p>
    <w:p>
      <w:pPr>
        <w:spacing w:before="0" w:after="80"/>
      </w:pPr>
      <w:r>
        <w:rPr>
          <w:i/>
          <w:sz w:val="20"/>
        </w:rPr>
        <w:t>EN: MINTsC learns multi-way chromatin interactions from single cell high throughput chromatin conformation data</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scHi-C 数据集已经出现了许多基础分析方法，可以在单细胞或细胞核分辨率下通过成对测量来捕获基因组的 3D 组织；然而，这些数据集目前尚未得到充分利用。 scHi-C 数据的规范分析除了标准细胞类型识别之外，还包括染色体结构和成对相互作用的推断。然而，基因组元件之间的多向染色质相互作用常常被忽视。在这里，我们介绍 MINTsC，一个从 scHi-C 学习多路交互的框架。 MINTsC 建立在狄利克雷多项样条模型的基础上，通过聚合上下文单元之间的成对交互并使用成对测试统计的顺序统计来汇总它们，从而生成多路交互分数。 MINTsC 产生经过良好校准的 p 值，用于控制错误发现率。使用来自细胞系和复杂组织的 scHi-C 数据集（使用多个外部基因组和表观基因组数据集）对 MINTsC 进行评估，支持 MINTsC 推断的多向相互作用。将 MINTsC 应用到人类前额皮质的 scHi-C 数据中显示出多向染色质相互作用，表明多个增强子对基因进行调控。最值得注意的是，MINTsC 推断的多向相互作用证明了其通过大幅减少多重测试负担来探索分子 QTL 和上位 SNP 效应关联研究的潜力。</w:t>
      </w:r>
    </w:p>
    <w:p>
      <w:pPr>
        <w:spacing w:before="0" w:after="200" w:lineRule="auto" w:line="276"/>
      </w:pPr>
      <w:r>
        <w:rPr>
          <w:b/>
        </w:rPr>
        <w:t xml:space="preserve">Abstract (EN): </w:t>
      </w:r>
      <w:r>
        <w:t>A number of foundational analysis methods have emerged for scHi-C datasets capturing 3D organizations of genomes with pairwise measurements at the single cell or nuclei resolution; however, these datasets are currently under-utilized. The canonical analyses of scHi-C data encompass, beyond standard cell type identification, inference of chromosomal structures and pairwise interactions. However, multi-way chromatin interactions among genomic elements are often overlooked. Here, we introduce MINTsC, a framework to learn multi-way interactions from scHi-C. MINTsC builds on a dirichlet-multinomial spline model and yields multi-way interaction scores by aggregating pairwise interactions across cells of a context and summarizing them using order statistics of pairwise test statistics. MINTsC yields well-calibrated p-values for controlling the false discovery rate. Evaluation of MINTsC with scHi-C datasets from cell lines and complex tissues using multiple external genomic and epigenomic datasets support multi-way interactions inferred by MINTsC. Application of MINTsC to scHi-C data from human prefrontal cortex shows multi-way chromatin interactions, suggesting gene regulation by multiple enhancers. Most notably, MINTsC-inferred multi-way interactions demonstrate its potential for probing molecular QTL and association studies for epistatic SNP effects by substantially reducing the multiple-testing burden.</w:t>
      </w:r>
    </w:p>
    <w:p>
      <w:pPr>
        <w:spacing w:before="120" w:after="120"/>
      </w:pPr>
      <w:r>
        <w:rPr>
          <w:sz w:val="18"/>
        </w:rPr>
        <w:t>——————————————————————————————————————————————————————————————————————</w:t>
      </w:r>
    </w:p>
    <w:p>
      <w:pPr>
        <w:spacing w:before="160" w:after="40" w:line="240" w:lineRule="auto"/>
      </w:pPr>
      <w:r>
        <w:rPr>
          <w:b/>
        </w:rPr>
        <w:t xml:space="preserve">[153] </w:t>
      </w:r>
      <w:hyperlink r:id="rId566">
        <w:r>
          <w:rPr>
            <w:color w:val="1155CC"/>
            <w:u w:val="single"/>
          </w:rPr>
          <w:t>基因组引导的生成对抗性学习使纳米孔自适应测序成为可能</w:t>
        </w:r>
      </w:hyperlink>
    </w:p>
    <w:p>
      <w:pPr>
        <w:spacing w:before="0" w:after="80"/>
      </w:pPr>
      <w:r>
        <w:rPr>
          <w:i/>
          <w:sz w:val="20"/>
        </w:rPr>
        <w:t>EN: Genome-guided generative adversarial learning enables nanopore adaptive sequencing</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纳米孔自适应测序可以实现实时目标富集，但当前的深度学习方法需要昂贵的、特定样本的实验训练数据。为了解决这个问题，我们开发了 GANBase，这是一种基因组引导的生成对抗性学习框架，它专门针对参考序列进行训练，并结合了基于蒙特卡罗树搜索的 Rollout 策略进行模型训练。 GANBase 在不同场景中展示了目标富集和主机耗尽方面的强大性能。在实时自适应测序实验中，尽管存在显着的孔隙损失或流动池版本更新，它仍然有效，提供了一种独立于数据的解决方案，显着扩展了实时靶向测序的效用。</w:t>
      </w:r>
    </w:p>
    <w:p>
      <w:pPr>
        <w:spacing w:before="0" w:after="200" w:lineRule="auto" w:line="276"/>
      </w:pPr>
      <w:r>
        <w:rPr>
          <w:b/>
        </w:rPr>
        <w:t xml:space="preserve">Abstract (EN): </w:t>
      </w:r>
      <w:r>
        <w:t>Nanopore adaptive sequencing enables real-time target enrichment, yet current deep-learning methods require costly, sample-specific experimental training data. To address this, we developed GANBase, a genome-guided generative adversarial learning framework, which is trained exclusively on reference sequences and incorporates a Monte Carlo Tree Search-based Rollout strategy for model training. GANBase demonstrates robust performance in target enrichment and host depletion across diverse scenarios. In live adaptive sequencing experiments, it remains effective despite significant pore loss or flow cell version updates, providing a data-independent solution that significantly expands the utility of real-time targeted sequencing.</w:t>
      </w:r>
    </w:p>
    <w:p>
      <w:pPr>
        <w:spacing w:before="120" w:after="120"/>
      </w:pPr>
      <w:r>
        <w:rPr>
          <w:sz w:val="18"/>
        </w:rPr>
        <w:t>——————————————————————————————————————————————————————————————————————</w:t>
      </w:r>
    </w:p>
    <w:p>
      <w:pPr>
        <w:spacing w:before="160" w:after="40" w:line="240" w:lineRule="auto"/>
      </w:pPr>
      <w:r>
        <w:rPr>
          <w:b/>
        </w:rPr>
        <w:t xml:space="preserve">[154] </w:t>
      </w:r>
      <w:hyperlink r:id="rId567">
        <w:r>
          <w:rPr>
            <w:color w:val="1155CC"/>
            <w:u w:val="single"/>
          </w:rPr>
          <w:t>印度中长期电力需求预测——纳入电动汽车充电和空间冷却影响</w:t>
        </w:r>
      </w:hyperlink>
    </w:p>
    <w:p>
      <w:pPr>
        <w:spacing w:before="0" w:after="80"/>
      </w:pPr>
      <w:r>
        <w:rPr>
          <w:i/>
          <w:sz w:val="20"/>
        </w:rPr>
        <w:t>EN: Medium and long-term electricity demand forecasting for India – Incorporating EV charging and space cooling impacts</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[155] </w:t>
      </w:r>
      <w:hyperlink r:id="rId568">
        <w:r>
          <w:rPr>
            <w:color w:val="1155CC"/>
            <w:u w:val="single"/>
          </w:rPr>
          <w:t>会聚地幔流和板块运动学导致南海裂谷</w:t>
        </w:r>
      </w:hyperlink>
    </w:p>
    <w:p>
      <w:pPr>
        <w:spacing w:before="0" w:after="80"/>
      </w:pPr>
      <w:r>
        <w:rPr>
          <w:i/>
          <w:sz w:val="20"/>
        </w:rPr>
        <w:t>EN: Convergent mantle flow and plate kinematics contribute to South China Sea rifting</w:t>
      </w:r>
    </w:p>
    <w:p>
      <w:pPr>
        <w:spacing w:before="0" w:after="120"/>
      </w:pPr>
      <w:r>
        <w:rPr>
          <w:b/>
        </w:rPr>
        <w:t xml:space="preserve">Source: </w:t>
      </w:r>
      <w:r>
        <w:t>Earth and environmental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边缘海的大陆裂谷仍然存在争议，特别是关于地幔动力学在岩石圈伸展中的作用。南海作为西太平洋最大的边缘海，为探讨这一问题提供了很好的案例。地震观测揭示了从早古近纪分布式伸展到晚古近纪沿其北缘超伸展的重大转变，并伴有系统性的向西裂谷扩展。数值地幔流模型预测了东南亚下方的上地幔流，包括东部的西南太平洋流和西部的太平洋和特提斯/欧亚大陆的汇聚流，这些流与裂谷的向西迁移动态一致。化石沃顿岭向西南俯冲可能增强了地幔压力梯度，并影响了从分布式伸展到超伸展的转变。在这里，我们表明地幔流与板块运动学一起有助于裂谷的区域应力框架，有助于解释边缘海系统中伸展的时空组织。</w:t>
      </w:r>
    </w:p>
    <w:p>
      <w:pPr>
        <w:spacing w:before="0" w:after="200" w:lineRule="auto" w:line="276"/>
      </w:pPr>
      <w:r>
        <w:rPr>
          <w:b/>
        </w:rPr>
        <w:t xml:space="preserve">Abstract (EN): </w:t>
      </w:r>
      <w:r>
        <w:t>Continental rifting in marginal seas remains debated, particularly regarding the role of mantle dynamics in lithospheric extension. The South China Sea, the largest marginal sea in the western Pacific, provides a well-constrained case for exploring this issue. Seismic observations reveal a major transition from early Paleogene distributed extension to late Paleogene hyper-extension along its northern margin, with systematic westward rift propagation. Numerical mantle flow models predict upper-mantle flows beneath Southeast Asia, comprising southwestward Pacific flow in the east and converging Pacific and Tethyan/Eurasian flows in the west, which are dynamically consistent with the westward migration of rifting. Subduction of the fossil Wharton Ridge to the southwest may have enhanced mantle-pressure gradients and influenced the transition from distributed extension to hyper-extension. Here, we show that mantle flow, together with plate kinematics, contributes to the regional stress framework of rifting, helping to explain the spatiotemporal organization of extension in marginal sea systems.</w:t>
      </w:r>
    </w:p>
    <w:p>
      <w:pPr>
        <w:spacing w:before="120" w:after="120"/>
      </w:pPr>
      <w:r>
        <w:rPr>
          <w:sz w:val="18"/>
        </w:rPr>
        <w:t>——————————————————————————————————————————————————————————————————————</w:t>
      </w:r>
    </w:p>
    <w:p>
      <w:pPr>
        <w:spacing w:before="160" w:after="40" w:line="240" w:lineRule="auto"/>
      </w:pPr>
      <w:r>
        <w:rPr>
          <w:b/>
        </w:rPr>
        <w:t xml:space="preserve">[156] </w:t>
      </w:r>
      <w:hyperlink r:id="rId569">
        <w:r>
          <w:rPr>
            <w:color w:val="1155CC"/>
            <w:u w:val="single"/>
          </w:rPr>
          <w:t>砰!爆炸的免疫细胞将强效毒素溅得到处都是</w:t>
        </w:r>
      </w:hyperlink>
    </w:p>
    <w:p>
      <w:pPr>
        <w:spacing w:before="0" w:after="80"/>
      </w:pPr>
      <w:r>
        <w:rPr>
          <w:i/>
          <w:sz w:val="20"/>
        </w:rPr>
        <w:t>EN: Bang! Exploding immune cells splatter potent toxins everywhere</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70">
        <w:r>
          <w:rPr>
            <w:color w:val="1155CC"/>
            <w:u w:val="single"/>
          </w:rPr>
          <w:t>10.1038/d41586-026-01766-4</w:t>
        </w:r>
      </w:hyperlink>
    </w:p>
    <w:p>
      <w:pPr>
        <w:spacing w:before="0" w:after="120"/>
      </w:pPr>
      <w:r>
        <w:rPr>
          <w:b/>
        </w:rPr>
        <w:t xml:space="preserve">Notes: </w:t>
      </w:r>
      <w:r>
        <w:t>abstract_source=nature_html</w:t>
      </w:r>
    </w:p>
    <w:p>
      <w:pPr>
        <w:spacing w:before="0" w:after="80" w:lineRule="auto" w:line="276"/>
      </w:pPr>
      <w:r>
        <w:rPr>
          <w:b/>
        </w:rPr>
        <w:t xml:space="preserve">摘要（ZH）: </w:t>
      </w:r>
      <w:r>
        <w:t>在扁虫中发现的新发现的“成核细胞”爆炸后，会释放出化合物，在几分钟内杀死附近的细胞。在扁虫中发现的新发现的“成核细胞”爆炸后，会释放出化合物，在几分钟内杀死附近的细胞。</w:t>
      </w:r>
    </w:p>
    <w:p>
      <w:pPr>
        <w:spacing w:before="0" w:after="200" w:lineRule="auto" w:line="276"/>
      </w:pPr>
      <w:r>
        <w:rPr>
          <w:b/>
        </w:rPr>
        <w:t xml:space="preserve">Abstract (EN): </w:t>
      </w:r>
      <w:r>
        <w:t>Detonation of newly discovered ‘ruptoblasts’, found in flatworms, releases compounds that kill nearby cells in minutes. Detonation of newly discovered ‘ruptoblasts’, found in flatworms, releases compounds that kill nearby cells in minutes.</w:t>
      </w:r>
    </w:p>
    <w:p>
      <w:pPr>
        <w:spacing w:before="120" w:after="120"/>
      </w:pPr>
      <w:r>
        <w:rPr>
          <w:sz w:val="18"/>
        </w:rPr>
        <w:t>——————————————————————————————————————————————————————————————————————</w:t>
      </w:r>
    </w:p>
    <w:p>
      <w:pPr>
        <w:spacing w:before="160" w:after="40" w:line="240" w:lineRule="auto"/>
      </w:pPr>
      <w:r>
        <w:rPr>
          <w:b/>
        </w:rPr>
        <w:t xml:space="preserve">[157] </w:t>
      </w:r>
      <w:hyperlink r:id="rId571">
        <w:r>
          <w:rPr>
            <w:color w:val="1155CC"/>
            <w:u w:val="single"/>
          </w:rPr>
          <w:t>自然资本会计需要一种评估不确定性的方法</w:t>
        </w:r>
      </w:hyperlink>
    </w:p>
    <w:p>
      <w:pPr>
        <w:spacing w:before="0" w:after="80"/>
      </w:pPr>
      <w:r>
        <w:rPr>
          <w:i/>
          <w:sz w:val="20"/>
        </w:rPr>
        <w:t>EN: Natural capital accounting needs a way to assess uncertainty</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72">
        <w:r>
          <w:rPr>
            <w:color w:val="1155CC"/>
            <w:u w:val="single"/>
          </w:rPr>
          <w:t>10.1038/d41586-026-01778-0</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[158] </w:t>
      </w:r>
      <w:hyperlink r:id="rId573">
        <w:r>
          <w:rPr>
            <w:color w:val="1155CC"/>
            <w:u w:val="single"/>
          </w:rPr>
          <w:t>每日简报：糟糕的主管将早期职业研究人员赶出学术界</w:t>
        </w:r>
      </w:hyperlink>
    </w:p>
    <w:p>
      <w:pPr>
        <w:spacing w:before="0" w:after="80"/>
      </w:pPr>
      <w:r>
        <w:rPr>
          <w:i/>
          <w:sz w:val="20"/>
        </w:rPr>
        <w:t>EN: Daily briefing: Bad supervisors bump early-career researchers out of academia</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74">
        <w:r>
          <w:rPr>
            <w:color w:val="1155CC"/>
            <w:u w:val="single"/>
          </w:rPr>
          <w:t>10.1038/d41586-026-01791-3</w:t>
        </w:r>
      </w:hyperlink>
    </w:p>
    <w:p>
      <w:pPr>
        <w:spacing w:before="0" w:after="120"/>
      </w:pPr>
      <w:r>
        <w:rPr>
          <w:b/>
        </w:rPr>
        <w:t xml:space="preserve">Notes: </w:t>
      </w:r>
      <w:r>
        <w:t>abstract_source=nature_html</w:t>
      </w:r>
    </w:p>
    <w:p>
      <w:pPr>
        <w:spacing w:before="0" w:after="80" w:lineRule="auto" w:line="276"/>
      </w:pPr>
      <w:r>
        <w:rPr>
          <w:b/>
        </w:rPr>
        <w:t xml:space="preserve">摘要（ZH）: </w:t>
      </w:r>
      <w:r>
        <w:t>一项调查中，近 40% 的受访者表示，他们的主管组织混乱且沟通能力差。另外，针对难以治疗的癌症的有希望的结果以及人工智能是否会帮助或阻碍社会科学。一项调查中，近 40% 的受访者表示，他们的主管组织混乱且沟通能力差。另外，针对难以治疗的癌症的有希望的结果以及人工智能是否会帮助或阻碍社会科学。</w:t>
      </w:r>
    </w:p>
    <w:p>
      <w:pPr>
        <w:spacing w:before="0" w:after="200" w:lineRule="auto" w:line="276"/>
      </w:pPr>
      <w:r>
        <w:rPr>
          <w:b/>
        </w:rPr>
        <w:t xml:space="preserve">Abstract (EN): </w:t>
      </w:r>
      <w:r>
        <w:t>Almost 40% of respondents to a survey said that their supervisor was disorganized and a poor communicator. Plus, promising results against a hard-to-treat cancer and whether AI will help or hinder social sciences. Almost 40% of respondents to a survey said that their supervisor was disorganized and a poor communicator. Plus, promising results against a hard-to-treat cancer and whether AI will help or hinder social sciences.</w:t>
      </w:r>
    </w:p>
    <w:p>
      <w:pPr>
        <w:spacing w:before="120" w:after="120"/>
      </w:pPr>
      <w:r>
        <w:rPr>
          <w:sz w:val="18"/>
        </w:rPr>
        <w:t>——————————————————————————————————————————————————————————————————————</w:t>
      </w:r>
    </w:p>
    <w:p>
      <w:pPr>
        <w:spacing w:before="160" w:after="40" w:line="240" w:lineRule="auto"/>
      </w:pPr>
      <w:r>
        <w:rPr>
          <w:b/>
        </w:rPr>
        <w:t xml:space="preserve">[159] </w:t>
      </w:r>
      <w:hyperlink r:id="rId575">
        <w:r>
          <w:rPr>
            <w:color w:val="1155CC"/>
            <w:u w:val="single"/>
          </w:rPr>
          <w:t>GaSe 中的范德华应变硬化和大的均匀拉伸伸长率</w:t>
        </w:r>
      </w:hyperlink>
    </w:p>
    <w:p>
      <w:pPr>
        <w:spacing w:before="0" w:after="80"/>
      </w:pPr>
      <w:r>
        <w:rPr>
          <w:i/>
          <w:sz w:val="20"/>
        </w:rPr>
        <w:t>EN: Van der Waals strain hardening and large uniform tensile elongation in GaSe</w:t>
      </w:r>
    </w:p>
    <w:p>
      <w:pPr>
        <w:spacing w:before="0" w:after="120"/>
      </w:pPr>
      <w:r>
        <w:rPr>
          <w:b/>
        </w:rPr>
        <w:t xml:space="preserve">Source: </w:t>
      </w:r>
      <w:r>
        <w:t>Nature Materials</w:t>
      </w:r>
      <w:r>
        <w:t xml:space="preserve">    </w:t>
      </w:r>
      <w:r>
        <w:rPr>
          <w:b/>
        </w:rPr>
        <w:t xml:space="preserve">Pub date: </w:t>
      </w:r>
      <w:r>
        <w:t>2026-06-02 00:00:00+00:00</w:t>
      </w:r>
      <w:r>
        <w:t xml:space="preserve">    </w:t>
      </w:r>
      <w:r>
        <w:rPr>
          <w:b/>
        </w:rPr>
        <w:t xml:space="preserve">DOI: </w:t>
      </w:r>
      <w:hyperlink r:id="rId576">
        <w:r>
          <w:rPr>
            <w:color w:val="1155CC"/>
            <w:u w:val="single"/>
          </w:rPr>
          <w:t>10.1038/s41563-026-02614-6</w:t>
        </w:r>
      </w:hyperlink>
    </w:p>
    <w:p>
      <w:pPr>
        <w:spacing w:before="0" w:after="120"/>
      </w:pPr>
      <w:r>
        <w:rPr>
          <w:b/>
        </w:rPr>
        <w:t xml:space="preserve">Notes: </w:t>
      </w:r>
      <w:r>
        <w:t>abstract_source=nature_html</w:t>
      </w:r>
    </w:p>
    <w:p>
      <w:pPr>
        <w:spacing w:before="0" w:after="80" w:lineRule="auto" w:line="276"/>
      </w:pPr>
      <w:r>
        <w:rPr>
          <w:b/>
        </w:rPr>
        <w:t xml:space="preserve">摘要（ZH）: </w:t>
      </w:r>
      <w:r>
        <w:t>范德华 (vdW) 半导体是下一代电子设备的有希望的候选者。尽管在这些材料中观察到了塑性，但应变硬化和大的均匀拉伸伸长率仍然难以捉摸。在这里，我们报道了 GaSe 单晶在沿倾斜于 [0001] 区轴的方向加载时表现出优异的拉伸延展性，实现了超过 40% 的均匀拉伸伸长率以及显着的应变硬化。利用原子分辨率、应力量化实验，我们发现了一种离域层间剪切机制，其中相邻 vdW 层之间的交替滑移使拉伸应变均匀化并抑制局域化。这种协同滑移过程驱动 ε 相变到 γ 相变，并引入受约束的滑移路径，从而产生了以前未被识别的 vdW 应变硬化机制。在其他硫属化物（例如 InSe 和 SnSe2）中进一步观察到类似的拉伸延展性和应变硬化行为，表明该机制的普遍性。这些发现修正了 vdW 半导体的机械范例，并为其在柔性和可拉伸电子产品中的使用奠定了基础。</w:t>
      </w:r>
    </w:p>
    <w:p>
      <w:pPr>
        <w:spacing w:before="0" w:after="200" w:lineRule="auto" w:line="276"/>
      </w:pPr>
      <w:r>
        <w:rPr>
          <w:b/>
        </w:rPr>
        <w:t xml:space="preserve">Abstract (EN): </w:t>
      </w:r>
      <w:r>
        <w:t>Van der Waals (vdW) semiconductors are promising candidates for next-generation electronic devices. Although plasticity has been observed in these materials, strain hardening and large uniform tensile elongation remain elusive. Here we report that GaSe single crystals exhibit exceptional tensile ductility when loaded along directions inclined to the [0001] zone axis, achieving uniform tensile elongation exceeding 40% together with pronounced strain hardening. Using atomic-resolution, stress-quantified experiments, we uncover a delocalized interlayer shear mechanism in which alternating slip between adjacent vdW layers homogenizes tensile strain and suppresses localization. This cooperative slip process drives an ε-to-γ phase transformation and introduces constrained slip pathways, giving rise to a previously unrecognized vdW strain hardening mechanism. Comparable tensile ductility and strain hardening behaviour are further observed in other chalcogenides, such as InSe and SnSe2, suggesting the generality of this mechanism. These findings revise the mechanical paradigm of vdW semiconductors and establish a basis for their use in flexible and stretchable electronics.</w:t>
      </w:r>
    </w:p>
    <w:p>
      <w:pPr>
        <w:spacing w:before="120" w:after="120"/>
      </w:pPr>
      <w:r>
        <w:rPr>
          <w:sz w:val="18"/>
        </w:rPr>
        <w:t>——————————————————————————————————————————————————————————————————————</w:t>
      </w:r>
    </w:p>
    <w:p>
      <w:pPr>
        <w:spacing w:before="160" w:after="40" w:line="240" w:lineRule="auto"/>
      </w:pPr>
      <w:r>
        <w:rPr>
          <w:b/>
        </w:rPr>
        <w:t xml:space="preserve">[160] </w:t>
      </w:r>
      <w:hyperlink r:id="rId577">
        <w:r>
          <w:rPr>
            <w:color w:val="1155CC"/>
            <w:u w:val="single"/>
          </w:rPr>
          <w:t>网状框架中单电子光氧化还原催化的簇控制</w:t>
        </w:r>
      </w:hyperlink>
    </w:p>
    <w:p>
      <w:pPr>
        <w:spacing w:before="0" w:after="80"/>
      </w:pPr>
      <w:r>
        <w:rPr>
          <w:i/>
          <w:sz w:val="20"/>
        </w:rPr>
        <w:t>EN: Cluster-enabled control of single-electron photoredox catalysis in reticular frameworks</w:t>
      </w:r>
    </w:p>
    <w:p>
      <w:pPr>
        <w:spacing w:before="0" w:after="120"/>
      </w:pPr>
      <w:r>
        <w:rPr>
          <w:b/>
        </w:rPr>
        <w:t xml:space="preserve">Source: </w:t>
      </w:r>
      <w:r>
        <w:t>Chem</w:t>
      </w:r>
      <w:r>
        <w:t xml:space="preserve">    </w:t>
      </w:r>
      <w:r>
        <w:rPr>
          <w:b/>
        </w:rPr>
        <w:t xml:space="preserve">Pub date: </w:t>
      </w:r>
      <w:r>
        <w:t>2026-06-02 00:00:00+00:00</w:t>
      </w:r>
      <w:r>
        <w:t xml:space="preserve">    </w:t>
      </w:r>
      <w:r>
        <w:rPr>
          <w:b/>
        </w:rPr>
        <w:t xml:space="preserve">DOI: </w:t>
      </w:r>
      <w:hyperlink r:id="rId578">
        <w:r>
          <w:rPr>
            <w:color w:val="1155CC"/>
            <w:u w:val="single"/>
          </w:rPr>
          <w:t>10.1016/j.chempr.2026.103074</w:t>
        </w:r>
      </w:hyperlink>
    </w:p>
    <w:p>
      <w:pPr>
        <w:spacing w:before="0" w:after="120"/>
      </w:pPr>
      <w:r>
        <w:rPr>
          <w:b/>
        </w:rPr>
        <w:t xml:space="preserve">Notes: </w:t>
      </w:r>
      <w:r>
        <w:t>abstract_source=rss_cell</w:t>
      </w:r>
    </w:p>
    <w:p>
      <w:pPr>
        <w:spacing w:before="0" w:after="80" w:lineRule="auto" w:line="276"/>
      </w:pPr>
      <w:r>
        <w:rPr>
          <w:b/>
        </w:rPr>
        <w:t xml:space="preserve">摘要（ZH）: </w:t>
      </w:r>
      <w:r>
        <w:t>光氧化还原催化广泛应用于溶液中，但在固体材料中实施仍然具有挑战性。在这里，作者通过将所有关键功能集成在其金属簇内，设计了金属有机框架 MUV-1001(Fe) 作为独立的光氧化还原催化剂。这使得光驱动的碳-碳键形成无需添加剂或贵金属。这项工作建立了一个总体策略，通过精确控制簇的组成，将光氧化还原化学转化为可编程多孔结构。</w:t>
      </w:r>
    </w:p>
    <w:p>
      <w:pPr>
        <w:spacing w:before="0" w:after="200" w:lineRule="auto" w:line="276"/>
      </w:pPr>
      <w:r>
        <w:rPr>
          <w:b/>
        </w:rPr>
        <w:t xml:space="preserve">Abstract (EN): </w:t>
      </w:r>
      <w:r>
        <w:t>Photoredox catalysis is widely used in solution but remains challenging to implement in solid materials. Here, the authors design the metal-organic framework MUV-1001(Fe) as a self-contained photoredox catalyst by integrating all key functions within its metal cluster. This enables light-driven carbon-carbon bond formation without additives or noble metals. The work establishes a general strategy to translate photoredox chemistry into programmable porous architectures through precise control of cluster composition.</w:t>
      </w:r>
    </w:p>
    <w:p>
      <w:pPr>
        <w:spacing w:before="120" w:after="120"/>
      </w:pPr>
      <w:r>
        <w:rPr>
          <w:sz w:val="18"/>
        </w:rPr>
        <w:t>——————————————————————————————————————————————————————————————————————</w:t>
      </w:r>
    </w:p>
    <w:p>
      <w:pPr>
        <w:spacing w:before="160" w:after="40" w:line="240" w:lineRule="auto"/>
      </w:pPr>
      <w:r>
        <w:rPr>
          <w:b/>
        </w:rPr>
        <w:t xml:space="preserve">[161] </w:t>
      </w:r>
      <w:hyperlink r:id="rId579">
        <w:r>
          <w:rPr>
            <w:color w:val="1155CC"/>
            <w:u w:val="single"/>
          </w:rPr>
          <w:t>用于脊髓损伤再生的磁电微型机器人</w:t>
        </w:r>
      </w:hyperlink>
    </w:p>
    <w:p>
      <w:pPr>
        <w:spacing w:before="0" w:after="80"/>
      </w:pPr>
      <w:r>
        <w:rPr>
          <w:i/>
          <w:sz w:val="20"/>
        </w:rPr>
        <w:t>EN: Magnetoelectric microrobots for spinal cord injury regeneration</w:t>
      </w:r>
    </w:p>
    <w:p>
      <w:pPr>
        <w:spacing w:before="0" w:after="120"/>
      </w:pPr>
      <w:r>
        <w:rPr>
          <w:b/>
        </w:rPr>
        <w:t xml:space="preserve">Source: </w:t>
      </w:r>
      <w:r>
        <w:t>Nature Materials</w:t>
      </w:r>
      <w:r>
        <w:t xml:space="preserve">    </w:t>
      </w:r>
      <w:r>
        <w:rPr>
          <w:b/>
        </w:rPr>
        <w:t xml:space="preserve">Pub date: </w:t>
      </w:r>
      <w:r>
        <w:t>2026-06-02 00:00:00+00:00</w:t>
      </w:r>
      <w:r>
        <w:t xml:space="preserve">    </w:t>
      </w:r>
      <w:r>
        <w:rPr>
          <w:b/>
        </w:rPr>
        <w:t xml:space="preserve">DOI: </w:t>
      </w:r>
      <w:hyperlink r:id="rId580">
        <w:r>
          <w:rPr>
            <w:color w:val="1155CC"/>
            <w:u w:val="single"/>
          </w:rPr>
          <w:t>10.1038/s41563-026-02625-3</w:t>
        </w:r>
      </w:hyperlink>
    </w:p>
    <w:p>
      <w:pPr>
        <w:spacing w:before="0" w:after="120"/>
      </w:pPr>
      <w:r>
        <w:rPr>
          <w:b/>
        </w:rPr>
        <w:t xml:space="preserve">Notes: </w:t>
      </w:r>
      <w:r>
        <w:t>abstract_source=nature_html</w:t>
      </w:r>
    </w:p>
    <w:p>
      <w:pPr>
        <w:spacing w:before="0" w:after="80" w:lineRule="auto" w:line="276"/>
      </w:pPr>
      <w:r>
        <w:rPr>
          <w:b/>
        </w:rPr>
        <w:t xml:space="preserve">摘要（ZH）: </w:t>
      </w:r>
      <w:r>
        <w:t>由于神经元再生能力本质上有限，脊髓损伤仍然难以治疗。尽管神经祖细胞（NPC）疗法很有希望，但移植物存活率不足、分化失控和功能整合薄弱仍然限制着结果。在这里，我们报告了一种称为 NPCbot 的生物混合微型机器人，它是通过将人类诱导的多能干细胞衍生的 NPC 与磁电纳米粒子集成而制造的，能够实现无线磁导航和非侵入性神经元刺激。芯片实验室平台允许可扩展的制造并保持细胞活力和分化能力。在斑马鱼脊髓损伤模型中，NPCbot 的交变磁场刺激可诱导体内神经元和星形胶质细胞快速分化，增强病变部位的移植物整合，并在 3 天内几乎完全恢复游泳和探索行为。在完全脊髓横断的非再生小鼠模型中，NPCbots 具有良好的耐受性至少 28 天，有效定位于损伤部位，促进神经分化，并在 4 周内显着改善运动功能。这些结果表明，磁引导 NPC 机器人与非侵入性磁电刺激相结合，可促进临床前脊髓损伤模型中的神经修复和功能恢复。</w:t>
      </w:r>
    </w:p>
    <w:p>
      <w:pPr>
        <w:spacing w:before="0" w:after="200" w:lineRule="auto" w:line="276"/>
      </w:pPr>
      <w:r>
        <w:rPr>
          <w:b/>
        </w:rPr>
        <w:t xml:space="preserve">Abstract (EN): </w:t>
      </w:r>
      <w:r>
        <w:t>Spinal cord injury remains difficult to treat because of the intrinsically limited regenerative capacity of neurons. Although neural progenitor cell (NPC) therapies are promising, inadequate graft survival, uncontrolled differentiation and weak functional integration continue to restrict outcomes. Here we report biohybrid microrobots called NPCbots, fabricated by integrating human-induced pluripotent-stem-cell-derived NPCs with magnetoelectric nanoparticles, enabling wireless magnetic navigation and non-invasive neuronal stimulation. A lab-on-a-chip platform allows scalable fabrication and maintains cell viability and differentiation capacity. In a zebrafish spinal cord injury model, alternating magnetic field stimulation of NPCbots induced rapid in vivo neuronal and astrocytic differentiation, enhanced graft integration at the lesion site, and near-complete recovery of swimming and exploratory behaviours within 3 days. In a non-regenerating murine model of complete spinal cord transection, NPCbots were well tolerated for at least 28 days, localized effectively to the injury site, promoted neural differentiation and resulted in substantial improvements in motor function within 4 weeks. These results demonstrate that magnetically guided NPCbots combined with non-invasive magnetoelectric stimulation promote neural repair and functional recovery in preclinical spinal cord injury models.</w:t>
      </w:r>
    </w:p>
    <w:p>
      <w:pPr>
        <w:spacing w:before="120" w:after="120"/>
      </w:pPr>
      <w:r>
        <w:rPr>
          <w:sz w:val="18"/>
        </w:rPr>
        <w:t>——————————————————————————————————————————————————————————————————————</w:t>
      </w:r>
    </w:p>
    <w:p>
      <w:pPr>
        <w:spacing w:before="160" w:after="40" w:line="240" w:lineRule="auto"/>
      </w:pPr>
      <w:r>
        <w:rPr>
          <w:b/>
        </w:rPr>
        <w:t xml:space="preserve">[162] </w:t>
      </w:r>
      <w:hyperlink r:id="rId581">
        <w:r>
          <w:rPr>
            <w:color w:val="1155CC"/>
            <w:u w:val="single"/>
          </w:rPr>
          <w:t>西欧的鸟类迁徙和风能生产</w:t>
        </w:r>
      </w:hyperlink>
    </w:p>
    <w:p>
      <w:pPr>
        <w:spacing w:before="0" w:after="80"/>
      </w:pPr>
      <w:r>
        <w:rPr>
          <w:i/>
          <w:sz w:val="20"/>
        </w:rPr>
        <w:t>EN: Bird migration and wind-energy production across Western Europe</w:t>
      </w:r>
    </w:p>
    <w:p>
      <w:pPr>
        <w:spacing w:before="0" w:after="120"/>
      </w:pPr>
      <w:r>
        <w:rPr>
          <w:b/>
        </w:rPr>
        <w:t xml:space="preserve">Source: </w:t>
      </w:r>
      <w:r>
        <w:t>Nature Sustainability</w:t>
      </w:r>
      <w:r>
        <w:t xml:space="preserve">    </w:t>
      </w:r>
      <w:r>
        <w:rPr>
          <w:b/>
        </w:rPr>
        <w:t xml:space="preserve">Pub date: </w:t>
      </w:r>
      <w:r>
        <w:t>2026-06-02 00:00:00+00:00</w:t>
      </w:r>
      <w:r>
        <w:t xml:space="preserve">    </w:t>
      </w:r>
      <w:r>
        <w:rPr>
          <w:b/>
        </w:rPr>
        <w:t xml:space="preserve">DOI: </w:t>
      </w:r>
      <w:hyperlink r:id="rId582">
        <w:r>
          <w:rPr>
            <w:color w:val="1155CC"/>
            <w:u w:val="single"/>
          </w:rPr>
          <w:t>10.1038/s41893-026-01853-4</w:t>
        </w:r>
      </w:hyperlink>
    </w:p>
    <w:p>
      <w:pPr>
        <w:spacing w:before="0" w:after="120"/>
      </w:pPr>
      <w:r>
        <w:rPr>
          <w:b/>
        </w:rPr>
        <w:t xml:space="preserve">Notes: </w:t>
      </w:r>
      <w:r>
        <w:t>abstract_source=nature_html</w:t>
      </w:r>
    </w:p>
    <w:p>
      <w:pPr>
        <w:spacing w:before="0" w:after="80" w:lineRule="auto" w:line="276"/>
      </w:pPr>
      <w:r>
        <w:rPr>
          <w:b/>
        </w:rPr>
        <w:t xml:space="preserve">摘要（ZH）: </w:t>
      </w:r>
      <w:r>
        <w:t>随着全球能源系统脱碳的雄心，全球风电容量将继续大幅增加。这引发了人们对风能基础设施和运营对环境影响的担忧，特别是空中野生动物的碰撞。利用天气监视雷达网络，我们量化了西欧夜间和年度大规模鸟类活动的数量、时间和空间范围。我们还绘制了陆上风力涡轮机地图，并使用风速和分布数据计算了潜在的发电量。综合鸟类的运动模式、涡轮机特性和能源生产，我们估计了由于靠近风力涡轮机并在旋转叶片的高度飞行而可能面临碰撞风险的鸟类数量。为了展示设计减轻空中生物多样性风险的措施的潜力，我们得出了削减情景，并比较了能源生产和保护生物多样性的成本和效益，并表明出奇有效的权衡是可能的。我们的研究结果有助于更广泛地努力减少风能生产对候鸟种群的影响，同时努力确保充足的能源供应。</w:t>
      </w:r>
    </w:p>
    <w:p>
      <w:pPr>
        <w:spacing w:before="0" w:after="200" w:lineRule="auto" w:line="276"/>
      </w:pPr>
      <w:r>
        <w:rPr>
          <w:b/>
        </w:rPr>
        <w:t xml:space="preserve">Abstract (EN): </w:t>
      </w:r>
      <w:r>
        <w:t>With global ambitions to decarbonize the energy system, wind power capacity will continue to increase dramatically worldwide. This raises concerns about environmental impacts of wind energy infrastructure and operations, particularly for collision of aerial wildlife. Using a network of weather surveillance radars, we quantified numbers, timing and spatial extent of nightly and annual large-scale bird movements over Western Europe. We also mapped onshore wind turbines and calculated potential energy production using wind speed and distribution data. Integrating bird movement patterns, turbine characteristics and energy production, we estimated the number of birds that are potentially at risk of collision because they fly in proximity to wind turbines and at heights of rotating blades. To demonstrate potential for designing measures to mitigate risk to aerial biodiversity, we derive curtailment scenarios and compare costs and benefits for energy production and conserving biodiversity and show that surprisingly efficient trade-offs may be possible. Our findings contribute to broader efforts for minimizing impacts from wind energy production on migratory bird populations while endeavouring to ensure adequate energy supply.</w:t>
      </w:r>
    </w:p>
    <w:p>
      <w:pPr>
        <w:spacing w:before="120" w:after="120"/>
      </w:pPr>
      <w:r>
        <w:rPr>
          <w:sz w:val="18"/>
        </w:rPr>
        <w:t>——————————————————————————————————————————————————————————————————————</w:t>
      </w:r>
    </w:p>
    <w:p>
      <w:pPr>
        <w:spacing w:before="160" w:after="40" w:line="240" w:lineRule="auto"/>
      </w:pPr>
      <w:r>
        <w:rPr>
          <w:b/>
        </w:rPr>
        <w:t xml:space="preserve">[163] </w:t>
      </w:r>
      <w:hyperlink r:id="rId583">
        <w:r>
          <w:rPr>
            <w:color w:val="1155CC"/>
            <w:u w:val="single"/>
          </w:rPr>
          <w:t>用单层过渡金属二硫属化物缩放纳米带晶体管</w:t>
        </w:r>
      </w:hyperlink>
    </w:p>
    <w:p>
      <w:pPr>
        <w:spacing w:before="0" w:after="80"/>
      </w:pPr>
      <w:r>
        <w:rPr>
          <w:i/>
          <w:sz w:val="20"/>
        </w:rPr>
        <w:t>EN: Scaling nanoribbon transistors with monolayer transition metal dichalcogenides</w:t>
      </w:r>
    </w:p>
    <w:p>
      <w:pPr>
        <w:spacing w:before="0" w:after="120"/>
      </w:pPr>
      <w:r>
        <w:rPr>
          <w:b/>
        </w:rPr>
        <w:t xml:space="preserve">Source: </w:t>
      </w:r>
      <w:r>
        <w:t>Nature Nanotechnology</w:t>
      </w:r>
      <w:r>
        <w:t xml:space="preserve">    </w:t>
      </w:r>
      <w:r>
        <w:rPr>
          <w:b/>
        </w:rPr>
        <w:t xml:space="preserve">Pub date: </w:t>
      </w:r>
      <w:r>
        <w:t>2026-06-02 00:00:00+00:00</w:t>
      </w:r>
      <w:r>
        <w:t xml:space="preserve">    </w:t>
      </w:r>
      <w:r>
        <w:rPr>
          <w:b/>
        </w:rPr>
        <w:t xml:space="preserve">DOI: </w:t>
      </w:r>
      <w:hyperlink r:id="rId584">
        <w:r>
          <w:rPr>
            <w:color w:val="1155CC"/>
            <w:u w:val="single"/>
          </w:rPr>
          <w:t>10.1038/s41565-026-02161-w</w:t>
        </w:r>
      </w:hyperlink>
    </w:p>
    <w:p>
      <w:pPr>
        <w:spacing w:before="0" w:after="120"/>
      </w:pPr>
      <w:r>
        <w:rPr>
          <w:b/>
        </w:rPr>
        <w:t xml:space="preserve">Notes: </w:t>
      </w:r>
      <w:r>
        <w:t>abstract_source=nature_html</w:t>
      </w:r>
    </w:p>
    <w:p>
      <w:pPr>
        <w:spacing w:before="0" w:after="80" w:lineRule="auto" w:line="276"/>
      </w:pPr>
      <w:r>
        <w:rPr>
          <w:b/>
        </w:rPr>
        <w:t xml:space="preserve">摘要（ZH）: </w:t>
      </w:r>
      <w:r>
        <w:t>纳米级晶体管需要对所有通道尺寸（长度、宽度和厚度）进行积极的缩放。二维半导体（2DS）提供了最终的厚度限制，但良好的器件性能在很大程度上仍然局限于微米宽的通道。在这里，我们报告了具有 n 型和 p 型操作的单层 2DS 纳米带晶体管，该晶体管通过自上而下的多重图案化工艺制造，其中包括“锚定”接触以限制纳米带分层。这种方法可实现低至 25-30 nm 的通道长度和宽度，并通过纳米级表征（包括尖端增强光致发光）确认边缘退化最小。这些器件与薄型高 K 栅极电介质集成，对于 n 型 MoS2、n 型 WS2 和 p 型 WSe2，在漏极至源极电压为 1 V 时分别提供高达 560、420 ​​和 130 µA µm−1 的通态电流。这些结果超出了之前的单门控 2DS 纳米带报告，即使对于常闭（增强模式）操作，WS2 也提高了两个数量级以上。总体而言，这些发现将自上而下的图案化 2DS 纳米带定位为未来纳米片晶体管架构的有前途的构建块。</w:t>
      </w:r>
    </w:p>
    <w:p>
      <w:pPr>
        <w:spacing w:before="0" w:after="200" w:lineRule="auto" w:line="276"/>
      </w:pPr>
      <w:r>
        <w:rPr>
          <w:b/>
        </w:rPr>
        <w:t xml:space="preserve">Abstract (EN): </w:t>
      </w:r>
      <w:r>
        <w:t>Nanoscale transistors demand aggressive scaling of all channel dimensions—length, width and thickness. Two-dimensional semiconductors (2DS) provide the ultimate thickness limit, yet good device performance has largely remained restricted to micrometre-wide channels. Here we report monolayer 2DS nanoribbon transistors with both n- and p-type operation, fabricated by a top-down multipatterning process that includes ‘anchored’ contacts to limit nanoribbon delamination. This approach achieves channel lengths and widths down to 25–30 nm, with minimal edge degradation confirmed through nanoscale characterization, including tip-enhanced photoluminescence. Integrated with thin high-κ gate dielectrics, the devices deliver on-state currents up to 560, 420 and 130 µA µm−1 at a drain-to-source voltage of 1 V for n-type MoS2, n-type WS2 and p-type WSe2, respectively. These results exceed prior single-gated 2DS nanoribbon reports, with WS2 improving by more than two orders of magnitude, even for normally off (enhancement-mode) operation. Overall, these findings position top-down patterned 2DS nanoribbons as promising building blocks for future nanosheet transistor architectures.</w:t>
      </w:r>
    </w:p>
    <w:p>
      <w:pPr>
        <w:spacing w:before="120" w:after="120"/>
      </w:pPr>
      <w:r>
        <w:rPr>
          <w:sz w:val="18"/>
        </w:rPr>
        <w:t>——————————————————————————————————————————————————————————————————————</w:t>
      </w:r>
    </w:p>
    <w:p>
      <w:pPr>
        <w:spacing w:before="160" w:after="40" w:line="240" w:lineRule="auto"/>
      </w:pPr>
      <w:r>
        <w:rPr>
          <w:b/>
        </w:rPr>
        <w:t xml:space="preserve">[164] </w:t>
      </w:r>
      <w:hyperlink r:id="rId585">
        <w:r>
          <w:rPr>
            <w:color w:val="1155CC"/>
            <w:u w:val="single"/>
          </w:rPr>
          <w:t>用微光致发光照亮局部光电景观</w:t>
        </w:r>
      </w:hyperlink>
    </w:p>
    <w:p>
      <w:pPr>
        <w:spacing w:before="0" w:after="80"/>
      </w:pPr>
      <w:r>
        <w:rPr>
          <w:i/>
          <w:sz w:val="20"/>
        </w:rPr>
        <w:t>EN: Illuminating local optoelectronic landscapes with micro-photoluminescence</w:t>
      </w:r>
    </w:p>
    <w:p>
      <w:pPr>
        <w:spacing w:before="0" w:after="120"/>
      </w:pPr>
      <w:r>
        <w:rPr>
          <w:b/>
        </w:rPr>
        <w:t xml:space="preserve">Source: </w:t>
      </w:r>
      <w:r>
        <w:t>Nature Reviews Clean Technology</w:t>
      </w:r>
      <w:r>
        <w:t xml:space="preserve">    </w:t>
      </w:r>
      <w:r>
        <w:rPr>
          <w:b/>
        </w:rPr>
        <w:t xml:space="preserve">Pub date: </w:t>
      </w:r>
      <w:r>
        <w:t>2026-06-02 00:00:00+00:00</w:t>
      </w:r>
      <w:r>
        <w:t xml:space="preserve">    </w:t>
      </w:r>
      <w:r>
        <w:rPr>
          <w:b/>
        </w:rPr>
        <w:t xml:space="preserve">DOI: </w:t>
      </w:r>
      <w:hyperlink r:id="rId586">
        <w:r>
          <w:rPr>
            <w:color w:val="1155CC"/>
            <w:u w:val="single"/>
          </w:rPr>
          <w:t>10.1038/s44359-026-00183-0</w:t>
        </w:r>
      </w:hyperlink>
    </w:p>
    <w:p>
      <w:pPr>
        <w:spacing w:before="0" w:after="120"/>
      </w:pPr>
      <w:r>
        <w:rPr>
          <w:b/>
        </w:rPr>
        <w:t xml:space="preserve">Notes: </w:t>
      </w:r>
      <w:r>
        <w:t>abstract_source=nature_html</w:t>
      </w:r>
    </w:p>
    <w:p>
      <w:pPr>
        <w:spacing w:before="0" w:after="80" w:lineRule="auto" w:line="276"/>
      </w:pPr>
      <w:r>
        <w:rPr>
          <w:b/>
        </w:rPr>
        <w:t xml:space="preserve">摘要（ZH）: </w:t>
      </w:r>
      <w:r>
        <w:t>Smitakshi Goswami 解释了如何使用微光致发光光谱来研究清洁能源技术新兴半导体中的电荷复合。</w:t>
      </w:r>
    </w:p>
    <w:p>
      <w:pPr>
        <w:spacing w:before="0" w:after="200" w:lineRule="auto" w:line="276"/>
      </w:pPr>
      <w:r>
        <w:rPr>
          <w:b/>
        </w:rPr>
        <w:t xml:space="preserve">Abstract (EN): </w:t>
      </w:r>
      <w:r>
        <w:t>Smitakshi Goswami explains how microphotoluminesence spectroscopy can be used to study charge recombination in emerging semiconductors for clean energy technology.</w:t>
      </w:r>
    </w:p>
    <w:p>
      <w:pPr>
        <w:spacing w:before="120" w:after="120"/>
      </w:pPr>
      <w:r>
        <w:rPr>
          <w:sz w:val="18"/>
        </w:rPr>
        <w:t>——————————————————————————————————————————————————————————————————————</w:t>
      </w:r>
    </w:p>
    <w:p>
      <w:pPr>
        <w:spacing w:before="160" w:after="40" w:line="240" w:lineRule="auto"/>
      </w:pPr>
      <w:r>
        <w:rPr>
          <w:b/>
        </w:rPr>
        <w:t xml:space="preserve">[165] </w:t>
      </w:r>
      <w:hyperlink r:id="rId587">
        <w:r>
          <w:rPr>
            <w:color w:val="1155CC"/>
            <w:u w:val="single"/>
          </w:rPr>
          <w:t>能源和电力系统中的数字孪生：架构、应用程序、支持工具和公用事业规模实施的可行路线图</w:t>
        </w:r>
      </w:hyperlink>
    </w:p>
    <w:p>
      <w:pPr>
        <w:spacing w:before="0" w:after="80"/>
      </w:pPr>
      <w:r>
        <w:rPr>
          <w:i/>
          <w:sz w:val="20"/>
        </w:rPr>
        <w:t>EN: Digital Twins in energy and power systems: architectures, applications, enabling tools, and actionable roadmap for utility-scale implementation</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[166] </w:t>
      </w:r>
      <w:hyperlink r:id="rId588">
        <w:r>
          <w:rPr>
            <w:color w:val="1155CC"/>
            <w:u w:val="single"/>
          </w:rPr>
          <w:t>电力系统弹性储能综述：功能、指标和应用</w:t>
        </w:r>
      </w:hyperlink>
    </w:p>
    <w:p>
      <w:pPr>
        <w:spacing w:before="0" w:after="80"/>
      </w:pPr>
      <w:r>
        <w:rPr>
          <w:i/>
          <w:sz w:val="20"/>
        </w:rPr>
        <w:t>EN: A review of energy storage for power system resilience: Functions, metrics, and applications</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589">
        <w:r>
          <w:rPr>
            <w:color w:val="1155CC"/>
            <w:u w:val="single"/>
          </w:rPr>
          <w:t>作者更正：CHIT1 阳性小胶质细胞驱动灵长类脊髓运动神经元衰老</w:t>
        </w:r>
      </w:hyperlink>
    </w:p>
    <w:p>
      <w:pPr>
        <w:spacing w:before="0" w:after="80"/>
      </w:pPr>
      <w:r>
        <w:rPr>
          <w:i/>
          <w:sz w:val="20"/>
        </w:rPr>
        <w:t>EN: Author Correction: CHIT1-positive microglia drive motor neuron ageing in the primate spinal cord</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90">
        <w:r>
          <w:rPr>
            <w:color w:val="1155CC"/>
            <w:u w:val="single"/>
          </w:rPr>
          <w:t>10.1038/s41586-026-10728-9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591">
        <w:r>
          <w:rPr>
            <w:color w:val="1155CC"/>
            <w:u w:val="single"/>
          </w:rPr>
          <w:t>出版商更正：人类寿命的白质微观和宏观结构脑图</w:t>
        </w:r>
      </w:hyperlink>
    </w:p>
    <w:p>
      <w:pPr>
        <w:spacing w:before="0" w:after="80"/>
      </w:pPr>
      <w:r>
        <w:rPr>
          <w:i/>
          <w:sz w:val="20"/>
        </w:rPr>
        <w:t>EN: Publisher Correction: White matter micro- and macrostructure brain charts for the human lifespan</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92">
        <w:r>
          <w:rPr>
            <w:color w:val="1155CC"/>
            <w:u w:val="single"/>
          </w:rPr>
          <w:t>10.1038/s41586-026-10693-3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[169] </w:t>
      </w:r>
      <w:hyperlink r:id="rId593">
        <w:r>
          <w:rPr>
            <w:color w:val="1155CC"/>
            <w:u w:val="single"/>
          </w:rPr>
          <w:t>环保化学品在高处积聚</w:t>
        </w:r>
      </w:hyperlink>
    </w:p>
    <w:p>
      <w:pPr>
        <w:spacing w:before="0" w:after="80"/>
      </w:pPr>
      <w:r>
        <w:rPr>
          <w:i/>
          <w:sz w:val="20"/>
        </w:rPr>
        <w:t>EN: Chemicals meant to be eco-friendly accumulate aloft</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94">
        <w:r>
          <w:rPr>
            <w:color w:val="1155CC"/>
            <w:u w:val="single"/>
          </w:rPr>
          <w:t>10.1038/d41586-026-01763-7</w:t>
        </w:r>
      </w:hyperlink>
    </w:p>
    <w:p>
      <w:pPr>
        <w:spacing w:before="0" w:after="120"/>
      </w:pPr>
      <w:r>
        <w:rPr>
          <w:b/>
        </w:rPr>
        <w:t xml:space="preserve">Notes: </w:t>
      </w:r>
      <w:r>
        <w:t>abstract_source=nature_html</w:t>
      </w:r>
    </w:p>
    <w:p>
      <w:pPr>
        <w:spacing w:before="0" w:after="80" w:lineRule="auto" w:line="276"/>
      </w:pPr>
      <w:r>
        <w:rPr>
          <w:b/>
        </w:rPr>
        <w:t xml:space="preserve">摘要（ZH）: </w:t>
      </w:r>
      <w:r>
        <w:t>对大气中氢氟烯烃的大规模测量表明，其含量正在上升，但其影响尚不清楚。对大气中氢氟烯烃的大规模测量表明，其含量正在上升，但其影响尚不清楚。</w:t>
      </w:r>
    </w:p>
    <w:p>
      <w:pPr>
        <w:spacing w:before="0" w:after="200" w:lineRule="auto" w:line="276"/>
      </w:pPr>
      <w:r>
        <w:rPr>
          <w:b/>
        </w:rPr>
        <w:t xml:space="preserve">Abstract (EN): </w:t>
      </w:r>
      <w:r>
        <w:t>Large-scale measurements of atmospheric hydrofluoroolefins show that their levels are rising, but the implications are unclear. Large-scale measurements of atmospheric hydrofluoroolefins show that their levels are rising, but the implications are unclear.</w:t>
      </w:r>
    </w:p>
    <w:p>
      <w:pPr>
        <w:spacing w:before="120" w:after="120"/>
      </w:pPr>
      <w:r>
        <w:rPr>
          <w:sz w:val="18"/>
        </w:rPr>
        <w:t>——————————————————————————————————————————————————————————————————————</w:t>
      </w:r>
    </w:p>
    <w:p>
      <w:pPr>
        <w:spacing w:before="160" w:after="40" w:line="240" w:lineRule="auto"/>
      </w:pPr>
      <w:r>
        <w:rPr>
          <w:b/>
        </w:rPr>
        <w:t xml:space="preserve">[170] </w:t>
      </w:r>
      <w:hyperlink r:id="rId595">
        <w:r>
          <w:rPr>
            <w:color w:val="1155CC"/>
            <w:u w:val="single"/>
          </w:rPr>
          <w:t>用于波浪能转换器部署的电网信息多标准技术经济优化框架</w:t>
        </w:r>
      </w:hyperlink>
    </w:p>
    <w:p>
      <w:pPr>
        <w:spacing w:before="0" w:after="80"/>
      </w:pPr>
      <w:r>
        <w:rPr>
          <w:i/>
          <w:sz w:val="20"/>
        </w:rPr>
        <w:t>EN: A grid-informed multi-criteria techno-economic optimization framework for wave energy converter deployment</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596">
        <w:r>
          <w:rPr>
            <w:color w:val="1155CC"/>
            <w:u w:val="single"/>
          </w:rPr>
          <w:t>纪念发明家和活动家赫莎·艾尔顿</w:t>
        </w:r>
      </w:hyperlink>
    </w:p>
    <w:p>
      <w:pPr>
        <w:spacing w:before="0" w:after="80"/>
      </w:pPr>
      <w:r>
        <w:rPr>
          <w:i/>
          <w:sz w:val="20"/>
        </w:rPr>
        <w:t>EN: Remembering inventor and activist Hertha Ayrton</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97">
        <w:r>
          <w:rPr>
            <w:color w:val="1155CC"/>
            <w:u w:val="single"/>
          </w:rPr>
          <w:t>10.1038/d41586-026-01337-7</w:t>
        </w:r>
      </w:hyperlink>
    </w:p>
    <w:p>
      <w:pPr>
        <w:spacing w:before="0" w:after="120"/>
      </w:pPr>
      <w:r>
        <w:rPr>
          <w:b/>
        </w:rPr>
        <w:t xml:space="preserve">Notes: </w:t>
      </w:r>
      <w:r>
        <w:t>abstract_source=nature_html</w:t>
      </w:r>
    </w:p>
    <w:p>
      <w:pPr>
        <w:spacing w:before="0" w:after="80" w:lineRule="auto" w:line="276"/>
      </w:pPr>
      <w:r>
        <w:rPr>
          <w:b/>
        </w:rPr>
        <w:t xml:space="preserve">摘要（ZH）: </w:t>
      </w:r>
      <w:r>
        <w:t>在我们每周深入《自然》档案的文章中，我们将介绍一位先驱科学家和妇女参政论者的传记，并呼吁研究人员写下自己的故事。大自然过去的片段。</w:t>
      </w:r>
    </w:p>
    <w:p>
      <w:pPr>
        <w:spacing w:before="0" w:after="200" w:lineRule="auto" w:line="276"/>
      </w:pPr>
      <w:r>
        <w:rPr>
          <w:b/>
        </w:rPr>
        <w:t xml:space="preserve">Abstract (EN): </w:t>
      </w:r>
      <w:r>
        <w:t>The biography of a pioneering scientist and suffragist, and a call for researchers to write about themselves, in our weekly dip into Nature’s archive. Snippets from Nature’s past.</w:t>
      </w:r>
    </w:p>
    <w:p>
      <w:pPr>
        <w:spacing w:before="120" w:after="120"/>
      </w:pPr>
      <w:r>
        <w:rPr>
          <w:sz w:val="18"/>
        </w:rPr>
        <w:t>——————————————————————————————————————————————————————————————————————</w:t>
      </w:r>
    </w:p>
    <w:p>
      <w:pPr>
        <w:spacing w:before="160" w:after="40" w:line="240" w:lineRule="auto"/>
      </w:pPr>
      <w:r>
        <w:rPr>
          <w:b/>
        </w:rPr>
        <w:t xml:space="preserve">[172] </w:t>
      </w:r>
      <w:hyperlink r:id="rId598">
        <w:r>
          <w:rPr>
            <w:color w:val="1155CC"/>
            <w:u w:val="single"/>
          </w:rPr>
          <w:t>导师与学生关系中的权力失衡需要维护</w:t>
        </w:r>
      </w:hyperlink>
    </w:p>
    <w:p>
      <w:pPr>
        <w:spacing w:before="0" w:after="80"/>
      </w:pPr>
      <w:r>
        <w:rPr>
          <w:i/>
          <w:sz w:val="20"/>
        </w:rPr>
        <w:t>EN: Power imbalances in adviser–student relationships need safeguarding</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599">
        <w:r>
          <w:rPr>
            <w:color w:val="1155CC"/>
            <w:u w:val="single"/>
          </w:rPr>
          <w:t>10.1038/d41586-026-01776-2</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[173] </w:t>
      </w:r>
      <w:hyperlink r:id="rId600">
        <w:r>
          <w:rPr>
            <w:color w:val="1155CC"/>
            <w:u w:val="single"/>
          </w:rPr>
          <w:t>是时候对研究资助提案的学分进行“上限和交易”了吗？</w:t>
        </w:r>
      </w:hyperlink>
    </w:p>
    <w:p>
      <w:pPr>
        <w:spacing w:before="0" w:after="80"/>
      </w:pPr>
      <w:r>
        <w:rPr>
          <w:i/>
          <w:sz w:val="20"/>
        </w:rPr>
        <w:t>EN: Is it time to ‘cap and trade’ credits for research-funding proposals?</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601">
        <w:r>
          <w:rPr>
            <w:color w:val="1155CC"/>
            <w:u w:val="single"/>
          </w:rPr>
          <w:t>10.1038/d41586-026-01777-1</w:t>
        </w:r>
      </w:hyperlink>
    </w:p>
    <w:p>
      <w:pPr>
        <w:spacing w:before="0" w:after="120"/>
      </w:pPr>
      <w:r>
        <w:rPr>
          <w:b/>
        </w:rPr>
        <w:t xml:space="preserve">Notes: </w:t>
      </w:r>
      <w:r>
        <w:t>abstract_source=nature_html</w:t>
      </w:r>
    </w:p>
    <w:p>
      <w:pPr>
        <w:spacing w:before="0" w:after="80" w:lineRule="auto" w:line="276"/>
      </w:pPr>
      <w:r>
        <w:rPr>
          <w:b/>
        </w:rPr>
        <w:t xml:space="preserve">摘要（ZH）: </w:t>
      </w:r>
      <w:r>
        <w:t>给编辑的信</w:t>
      </w:r>
    </w:p>
    <w:p>
      <w:pPr>
        <w:spacing w:before="0" w:after="200" w:lineRule="auto" w:line="276"/>
      </w:pPr>
      <w:r>
        <w:rPr>
          <w:b/>
        </w:rPr>
        <w:t xml:space="preserve">Abstract (EN): </w:t>
      </w:r>
      <w:r>
        <w:t>Letter to the Editor</w:t>
      </w:r>
    </w:p>
    <w:p>
      <w:pPr>
        <w:spacing w:before="120" w:after="120"/>
      </w:pPr>
      <w:r>
        <w:rPr>
          <w:sz w:val="18"/>
        </w:rPr>
        <w:t>——————————————————————————————————————————————————————————————————————</w:t>
      </w:r>
    </w:p>
    <w:p>
      <w:pPr>
        <w:spacing w:before="160" w:after="40" w:line="240" w:lineRule="auto"/>
      </w:pPr>
      <w:r>
        <w:rPr>
          <w:b/>
        </w:rPr>
        <w:t xml:space="preserve">[174] </w:t>
      </w:r>
      <w:hyperlink r:id="rId602">
        <w:r>
          <w:rPr>
            <w:color w:val="1155CC"/>
            <w:u w:val="single"/>
          </w:rPr>
          <w:t>利用昆虫化石组合重建中侏罗世燕辽生物群植被生物量</w:t>
        </w:r>
      </w:hyperlink>
    </w:p>
    <w:p>
      <w:pPr>
        <w:spacing w:before="0" w:after="80"/>
      </w:pPr>
      <w:r>
        <w:rPr>
          <w:i/>
          <w:sz w:val="20"/>
        </w:rPr>
        <w:t>EN: Reconstructing vegetation biomass in the Middle Jurassic Yanliao Biota from insect fossil assemblages</w:t>
      </w:r>
    </w:p>
    <w:p>
      <w:pPr>
        <w:spacing w:before="0" w:after="120"/>
      </w:pPr>
      <w:r>
        <w:rPr>
          <w:b/>
        </w:rPr>
        <w:t xml:space="preserve">Source: </w:t>
      </w:r>
      <w:r>
        <w:t>National Science Review Advance Access</w:t>
      </w:r>
      <w:r>
        <w:t xml:space="preserve">    </w:t>
      </w:r>
      <w:r>
        <w:rPr>
          <w:b/>
        </w:rPr>
        <w:t xml:space="preserve">Pub date: </w:t>
      </w:r>
      <w:r>
        <w:t>2026-06-02 00:00:00+00:00</w:t>
      </w:r>
      <w:r>
        <w:t xml:space="preserve">    </w:t>
      </w:r>
      <w:r>
        <w:rPr>
          <w:b/>
        </w:rPr>
        <w:t xml:space="preserve">DOI: </w:t>
      </w:r>
      <w:hyperlink r:id="rId603">
        <w:r>
          <w:rPr>
            <w:color w:val="1155CC"/>
            <w:u w:val="single"/>
          </w:rPr>
          <w:t>10.1093/nsr/nwag329</w:t>
        </w:r>
      </w:hyperlink>
    </w:p>
    <w:p>
      <w:pPr>
        <w:spacing w:before="0" w:after="120"/>
      </w:pPr>
      <w:r>
        <w:rPr>
          <w:b/>
        </w:rPr>
        <w:t xml:space="preserve">Notes: </w:t>
      </w:r>
      <w:r>
        <w:t>abstract_source=rss_oup</w:t>
      </w:r>
    </w:p>
    <w:p>
      <w:pPr>
        <w:spacing w:before="0" w:after="80" w:lineRule="auto" w:line="276"/>
      </w:pPr>
      <w:r>
        <w:rPr>
          <w:b/>
        </w:rPr>
        <w:t xml:space="preserve">摘要（ZH）: </w:t>
      </w:r>
      <w:r>
        <w:t>量化植被生物量对于了解陆地生态系统的结构和能量平衡至关重要，但对深层生态系统的可靠估计仍然难以实现。大多数古植被代理提供定性或相对信号，缺乏与生态系统规模能量学的直接联系。在这里，我们提出了一个概率框架，利用化石昆虫组合重建古代植被生物量，将昆虫生物量视为主要的基于能量的状态变量。我们利用与现代昆虫校准的关系，根据昆虫化石的化石形态特征估计了个体昆虫的体重，并根据代谢尺度理论推断了种群密度。这些估计被整合以重建化石昆虫群落生物量，同时明确考虑抽样偏差。然后通过营养转移模型将草食昆虫生物量转化为植被生物量，该模型结合了实际的摄食率范围、营养效率和生物量积累比率。所有不确定性均通过蒙特卡罗模拟实现，以生成植被生物量的全概率分布。敏感性分析表明，昆虫生物量是重建植被生物量变化的主要贡献者，标准化回归系数大大超过营养转移参数的系数。生态参数主要在有限范围内调节植被生物量，但并不决定其数量级。与现代全球植被数据集的比较表明</w:t>
      </w:r>
    </w:p>
    <w:p>
      <w:pPr>
        <w:spacing w:before="0" w:after="200" w:lineRule="auto" w:line="276"/>
      </w:pPr>
      <w:r>
        <w:rPr>
          <w:b/>
        </w:rPr>
        <w:t xml:space="preserve">Abstract (EN): </w:t>
      </w:r>
      <w:r>
        <w:t>Quantifying vegetation biomass is essential for understanding the structure and energy balance of terrestrial ecosystems, yet robust estimates for deep-time ecosystems remain elusive. Most palaeovegetation proxies provide qualitative or relative signals and lack a direct connection to ecosystem-scale energetics. Here, we present a probabilistic framework to reconstruct ancient vegetation biomass using fossil insect assemblages, treating insect biomass as a primary energy-based state variable. We estimated individual insect body mass from fossil morphological traits of insect fossils using relationships calibrated with modern insects, and inferred population densities based on metabolic scaling theory. These estimates were integrated to reconstruct fossil insect community biomass while explicitly accounting for sampling bias. Herbivorous insect biomass was then translated into vegetation biomass through a trophic transfer model incorporating realistic ranges of feeding rates, trophic efficiencies, and biomass accumulation ratios. All uncertainties were implemented by Monte Carlo simulations to generate full probability distributions of vegetation biomass. Sensitivity analyses reveal that insect biomass is the dominant contributor to variance in reconstructed vegetation biomass, with standardized regression coefficients substantially exceeding those of trophic transfer parameters. Ecological parameters primarily modulate vegetation biomass within constrained bounds but do not determine its order of magnitude. Comparisons with modern global vegetation datasets indicate that the reconstructed biomass corresponds to productive terrestrial ecosystems with identifiable modern biome analogues. Our results demonstrate that fossil insect assemblages encode fundamental energy-based constraints of ancient ecosystems and provide a quantitative pathway for reconstructing palaeovegetation biomass.</w:t>
      </w:r>
    </w:p>
    <w:p>
      <w:pPr>
        <w:spacing w:before="120" w:after="120"/>
      </w:pPr>
      <w:r>
        <w:rPr>
          <w:sz w:val="18"/>
        </w:rPr>
        <w:t>——————————————————————————————————————————————————————————————————————</w:t>
      </w:r>
    </w:p>
    <w:p>
      <w:pPr>
        <w:spacing w:before="160" w:after="40" w:line="240" w:lineRule="auto"/>
      </w:pPr>
      <w:r>
        <w:rPr>
          <w:b/>
        </w:rPr>
        <w:t xml:space="preserve">[175] </w:t>
      </w:r>
      <w:hyperlink r:id="rId604">
        <w:r>
          <w:rPr>
            <w:color w:val="1155CC"/>
            <w:u w:val="single"/>
          </w:rPr>
          <w:t>科学传播的未来不是这样的文章</w:t>
        </w:r>
      </w:hyperlink>
    </w:p>
    <w:p>
      <w:pPr>
        <w:spacing w:before="0" w:after="80"/>
      </w:pPr>
      <w:r>
        <w:rPr>
          <w:i/>
          <w:sz w:val="20"/>
        </w:rPr>
        <w:t>EN: The future of science communication is not an article like this</w:t>
      </w:r>
    </w:p>
    <w:p>
      <w:pPr>
        <w:spacing w:before="0" w:after="120"/>
      </w:pPr>
      <w:r>
        <w:rPr>
          <w:b/>
        </w:rPr>
        <w:t xml:space="preserve">Source: </w:t>
      </w:r>
      <w:r>
        <w:t>Nature</w:t>
      </w:r>
      <w:r>
        <w:t xml:space="preserve">    </w:t>
      </w:r>
      <w:r>
        <w:rPr>
          <w:b/>
        </w:rPr>
        <w:t xml:space="preserve">Pub date: </w:t>
      </w:r>
      <w:r>
        <w:t>2026-06-02 00:00:00+00:00</w:t>
      </w:r>
      <w:r>
        <w:t xml:space="preserve">    </w:t>
      </w:r>
      <w:r>
        <w:rPr>
          <w:b/>
        </w:rPr>
        <w:t xml:space="preserve">DOI: </w:t>
      </w:r>
      <w:hyperlink r:id="rId605">
        <w:r>
          <w:rPr>
            <w:color w:val="1155CC"/>
            <w:u w:val="single"/>
          </w:rPr>
          <w:t>10.1038/d41586-026-01723-1</w:t>
        </w:r>
      </w:hyperlink>
    </w:p>
    <w:p>
      <w:pPr>
        <w:spacing w:before="0" w:after="120"/>
      </w:pPr>
      <w:r>
        <w:rPr>
          <w:b/>
        </w:rPr>
        <w:t xml:space="preserve">Notes: </w:t>
      </w:r>
      <w:r>
        <w:t>abstract_source=nature_html</w:t>
      </w:r>
    </w:p>
    <w:p>
      <w:pPr>
        <w:spacing w:before="0" w:after="80" w:lineRule="auto" w:line="276"/>
      </w:pPr>
      <w:r>
        <w:rPr>
          <w:b/>
        </w:rPr>
        <w:t xml:space="preserve">摘要（ZH）: </w:t>
      </w:r>
      <w:r>
        <w:t>研究人员和科学出版商需要抓住新闻生产方式巨大转变所提供的机遇——这也是《自然》杂志加入 TikTok 的原因之一。研究人员和科学出版商需要抓住新闻生产方式巨大转变所提供的机遇——这也是《自然》杂志加入 TikTok 的原因之一。</w:t>
      </w:r>
    </w:p>
    <w:p>
      <w:pPr>
        <w:spacing w:before="0" w:after="200" w:lineRule="auto" w:line="276"/>
      </w:pPr>
      <w:r>
        <w:rPr>
          <w:b/>
        </w:rPr>
        <w:t xml:space="preserve">Abstract (EN): </w:t>
      </w:r>
      <w:r>
        <w:t>Researchers and science publishers need to seize the opportunity offered by the drastic shifts in the way news is produced — one reason Nature has joined TikTok. Researchers and science publishers need to seize the opportunity offered by the drastic shifts in the way news is produced — one reason Nature has joined TikTok.</w:t>
      </w:r>
    </w:p>
    <w:p>
      <w:pPr>
        <w:spacing w:before="120" w:after="120"/>
      </w:pPr>
      <w:r>
        <w:rPr>
          <w:sz w:val="18"/>
        </w:rPr>
        <w:t>——————————————————————————————————————————————————————————————————————</w:t>
      </w:r>
    </w:p>
    <w:p>
      <w:pPr>
        <w:spacing w:before="160" w:after="40" w:line="240" w:lineRule="auto"/>
      </w:pPr>
      <w:r>
        <w:rPr>
          <w:b/>
        </w:rPr>
        <w:t xml:space="preserve">[176] </w:t>
      </w:r>
      <w:hyperlink r:id="rId606">
        <w:r>
          <w:rPr>
            <w:color w:val="1155CC"/>
            <w:u w:val="single"/>
          </w:rPr>
          <w:t>离子液体作为嵌段共聚物中 Frank-Kasper 相形成的结构导向剂</w:t>
        </w:r>
      </w:hyperlink>
    </w:p>
    <w:p>
      <w:pPr>
        <w:spacing w:before="0" w:after="80"/>
      </w:pPr>
      <w:r>
        <w:rPr>
          <w:i/>
          <w:sz w:val="20"/>
        </w:rPr>
        <w:t>EN: Ionic liquid as a structure-directing agent for Frank-Kasper phase formation in block copolymers</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传统上，在嵌段共聚物 (BCP) 中获得 Frank-Kasper (FK) 相需要复杂的分子设计或聚合物共混策略。在这项工作中，我们证明，将离子液体（IL）、1-乙基-3-甲基咪唑鎓双（三氟甲基磺酰基）亚胺（[EMIM][TFSI]）合并到圆柱体聚（环氧乙烷）-嵌段聚（1,2-丁二烯）（PEO-b-PB）中提供了一种简便且可调的替代方案，可显着扩展复杂球形胶束填料的相空间。在广泛的成分和温度范围内出现多种结构，包括 σ、A15 和 Laves C15 相。值得注意的是，我们观察到热致 A15 → σ → C15 和溶致 σ → A15 → C15 相变序列。分析揭示了 IL 的双重作用：它通过与 PEO 的热响应氢键增强有效的 Flory-Huggins χ 参数，并且在高温下重新分布以诱导部分干刷分离和胶束尺寸分散。这些协同效应稳定了 FK 晶格，从而在简单的二嵌段系统中实现了可重构的复杂球形组件。</w:t>
      </w:r>
    </w:p>
    <w:p>
      <w:pPr>
        <w:spacing w:before="0" w:after="200" w:lineRule="auto" w:line="276"/>
      </w:pPr>
      <w:r>
        <w:rPr>
          <w:b/>
        </w:rPr>
        <w:t xml:space="preserve">Abstract (EN): </w:t>
      </w:r>
      <w:r>
        <w:t>Accessing Frank-Kasper (FK) phases in block copolymers (BCPs) traditionally requires complex molecular designs or polymer blending strategies. In this work, we demonstrate that incorporating the ionic liquid (IL), 1-ethyl-3-methylimidazolium bis(trifluoromethylsulfonyl)imide ([EMIM][TFSI]), into a cylinder-forming poly(ethylene oxide)-block-poly(1,2-butadiene) (PEO-b-PB) provides a facile and tunable alternative that significantly expands the phase space for complex spherical micelle packings. A diverse array of structures, including σ, A15, and Laves C15 phases, emerges over broad composition and temperature ranges. Notably, we observe thermotropic A15 → σ → C15 and lyotropic σ → A15 → C15 phase transition sequences. Analysis reveals a dual role for the IL: it enhances the effective Flory-Huggins χ parameter through thermally responsive hydrogen bonding with PEO and, at elevated temperatures, redistributes to induce partially dry-brush segregation and micellar size dispersity. These synergistic effects stabilize the FK lattices, enabling reconfigurable complex spherical assemblies in a simple diblock system.</w:t>
      </w:r>
    </w:p>
    <w:p>
      <w:pPr>
        <w:spacing w:before="120" w:after="120"/>
      </w:pPr>
      <w:r>
        <w:rPr>
          <w:sz w:val="18"/>
        </w:rPr>
        <w:t>——————————————————————————————————————————————————————————————————————</w:t>
      </w:r>
    </w:p>
    <w:p>
      <w:pPr>
        <w:spacing w:before="160" w:after="40" w:line="240" w:lineRule="auto"/>
      </w:pPr>
      <w:r>
        <w:rPr>
          <w:b/>
        </w:rPr>
        <w:t xml:space="preserve">[177] </w:t>
      </w:r>
      <w:hyperlink r:id="rId607">
        <w:r>
          <w:rPr>
            <w:color w:val="1155CC"/>
            <w:u w:val="single"/>
          </w:rPr>
          <w:t>电磁理想流体的欧姆定律：复杂的近零折射率网络中的阻抗控制超耦合</w:t>
        </w:r>
      </w:hyperlink>
    </w:p>
    <w:p>
      <w:pPr>
        <w:spacing w:before="0" w:after="80"/>
      </w:pPr>
      <w:r>
        <w:rPr>
          <w:i/>
          <w:sz w:val="20"/>
        </w:rPr>
        <w:t>EN: Ohm’s law of electromagnetic ideal fluids: impedance-governed supercoupling in complex near-zero-index networks</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近零折射率 (NZI) 介质中的超耦合可实现几何不敏感的电磁 (EM) 通过狭窄通道的近零相位延迟传输。然而，大多数研究都集中在单通道、点对点配置上，而复杂结构中的电磁功率流分布在很大程度上尚未得到探索。在这里，我们将 NZI 超级耦合扩展到复杂结构，并表明电磁功率流遵循由边界条件和阻抗对比控制的无源、确定性和准静态分布，其中 PEC 终止分支不承载传播功率流。我们使用压力驱动流类比来解释这种行为，并在具有光子掺杂的波导模拟等离子体平台中直接将其可视化。这种准静态功率流分布遵循“理想电磁功率流欧姆定律”，其中电势由边界条件决定，有效阻抗由每个分支的长宽比决定。除了物理解释之外，我们的结果还提出了一种用于无源多端口 EM 互连的阻抗设计方法，为毫米波和太赫兹频率下的 NZI 物理和片上网络提供了见解。</w:t>
      </w:r>
    </w:p>
    <w:p>
      <w:pPr>
        <w:spacing w:before="0" w:after="200" w:lineRule="auto" w:line="276"/>
      </w:pPr>
      <w:r>
        <w:rPr>
          <w:b/>
        </w:rPr>
        <w:t xml:space="preserve">Abstract (EN): </w:t>
      </w:r>
      <w:r>
        <w:t>Supercoupling in near-zero-index (NZI) media enables geometry-insensitive electromagnetic (EM) transport through narrow channels with near-zero phase delay. However, most studies have focused on single-channel, point-to-point configurations, leaving EM power-flow distribution in complex structures largely unexplored. Here we extend NZI supercoupling to complex structures and show that EM power flow follows a passive, deterministic, and quasi-static distribution governed by boundary conditions and impedance contrasts, with PEC-terminated branches carrying no propagating power flow. We interpret this behavior using a pressure-driven flow analogy and directly visualize it in a waveguide-emulated plasmonic platform with photonic doping. This quasi-static power-flow distribution follows an “Ohm’s law of ideal EM power flow”, where the potential is set by boundary conditions and the effective impedance by each branch’s length-to-width ratio. Beyond the physical interpretation, our results suggest an impedance-designed approach to passive multi-port EM interconnects, offering insights for NZI physics and on-chip networks at millimeter-wave and terahertz frequencies.</w:t>
      </w:r>
    </w:p>
    <w:p>
      <w:pPr>
        <w:spacing w:before="120" w:after="120"/>
      </w:pPr>
      <w:r>
        <w:rPr>
          <w:sz w:val="18"/>
        </w:rPr>
        <w:t>——————————————————————————————————————————————————————————————————————</w:t>
      </w:r>
    </w:p>
    <w:p>
      <w:pPr>
        <w:spacing w:before="160" w:after="40" w:line="240" w:lineRule="auto"/>
      </w:pPr>
      <w:r>
        <w:rPr>
          <w:b/>
        </w:rPr>
        <w:t xml:space="preserve">[178] </w:t>
      </w:r>
      <w:hyperlink r:id="rId608">
        <w:r>
          <w:rPr>
            <w:color w:val="1155CC"/>
            <w:u w:val="single"/>
          </w:rPr>
          <w:t>定时分泌的蛋白质组揭示了肝脏生物钟对肝因子的调节</w:t>
        </w:r>
      </w:hyperlink>
    </w:p>
    <w:p>
      <w:pPr>
        <w:spacing w:before="0" w:after="80"/>
      </w:pPr>
      <w:r>
        <w:rPr>
          <w:i/>
          <w:sz w:val="20"/>
        </w:rPr>
        <w:t>EN: Timed secreted proteomes reveal regulation of hepatokines by the liver circadian clock</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在这里，我们使用与昼夜节律时间尺度兼容的离体方法来询问肝脏的蛋白质分泌，揭示了一些发现。对雄性和雌性小鼠的蛋白质组学分析鉴定出数百种蛋白质，这些蛋白质表现出与细胞外基质、免疫、氧化还原、异生素和脂肪酸功能相关的时间依赖性或时钟依赖性分泌。其中，肝脏在昼夜周期的非活动、禁食阶段分泌更多的内皮抑素，这是一种 XVIII 型 α1 型胶原蛋白 (COL18A1) 的裂解产物。 Bmal1 缺失后，COL18A1/内皮抑素的时间调节通过对 Col18a1 转录抑制和蛋白水解加工的综合影响而失调。体内和体外功能实验表明，内皮抑素以时间依赖性方式抑制白色脂肪组织中的线粒体基因表达，减少脂肪细胞中的线粒体呼吸，同时增强脂肪分解。这些结果支持了器官间串扰的机制，即肝源性、暂时限制的内皮抑素将脂肪细胞调节至禁食阶段所需的代谢活动。</w:t>
      </w:r>
    </w:p>
    <w:p>
      <w:pPr>
        <w:spacing w:before="0" w:after="200" w:lineRule="auto" w:line="276"/>
      </w:pPr>
      <w:r>
        <w:rPr>
          <w:b/>
        </w:rPr>
        <w:t xml:space="preserve">Abstract (EN): </w:t>
      </w:r>
      <w:r>
        <w:t>Here, we use an ex vivo approach compatible with the circadian timescale to interrogate protein secretion from liver, revealing several findings. Proteomic analyses in male and female mice identify hundreds of proteins that exhibit time-of-day-dependent or clock-dependent secretion involved in extracellular matrix, immune, redox, xenobiotic, and fatty acid functions. Among these, the liver secretes more endostatin, a cleavage product of collagen type XVIII alpha 1 (COL18A1), during the inactive, fasting phase of the diurnal cycle. Temporal regulation of COL18A1/endostatin is dysregulated upon loss of Bmal1 through combined effects on Col18a1 transcriptional repression and proteolytic processing. Functional experiments in vivo and in vitro reveal that endostatin suppresses mitochondrial gene expression in white adipose tissue in a time-dependent manner and reduces mitochondrial respiration in adipocytes, while enhancing lipolysis. These results support a mechanism of inter-organ crosstalk whereby hepatically derived, temporally-restricted endostatin tunes adipocytes toward metabolic activities required during the fasting phase.</w:t>
      </w:r>
    </w:p>
    <w:p>
      <w:pPr>
        <w:spacing w:before="120" w:after="120"/>
      </w:pPr>
      <w:r>
        <w:rPr>
          <w:sz w:val="18"/>
        </w:rPr>
        <w:t>——————————————————————————————————————————————————————————————————————</w:t>
      </w:r>
    </w:p>
    <w:p>
      <w:pPr>
        <w:spacing w:before="160" w:after="40" w:line="240" w:lineRule="auto"/>
      </w:pPr>
      <w:r>
        <w:rPr>
          <w:b/>
        </w:rPr>
        <w:t xml:space="preserve">[179] </w:t>
      </w:r>
      <w:hyperlink r:id="rId609">
        <w:r>
          <w:rPr>
            <w:color w:val="1155CC"/>
            <w:u w:val="single"/>
          </w:rPr>
          <w:t>合理设计基于咔唑的 STING 抑制剂，用于治疗 cGAS-STING 通路驱动的炎症性疾病</w:t>
        </w:r>
      </w:hyperlink>
    </w:p>
    <w:p>
      <w:pPr>
        <w:spacing w:before="0" w:after="80"/>
      </w:pPr>
      <w:r>
        <w:rPr>
          <w:i/>
          <w:sz w:val="20"/>
        </w:rPr>
        <w:t>EN: Rational design of carbazole-based STING inhibitors for treating cGAS-STING pathway-driven inflammatory disorders</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干扰素基因刺激子（STING）是先天免疫通路中关键的接头蛋白，其异常激活与自身免疫性疾病的发病机制密切相关。尽管它已成为炎症性疾病的有吸引力的治疗靶点，但目前的 STING 抑制剂仍面临挑战，包括脱靶毒性和对结合机制的了解有限。在此，通过基于Target &amp; Cell的级联筛选和合理设计，具有咔唑支架的DDO-88109被鉴定为STING抑制剂，在THP1-Dual和RAW-Lucia ISG细胞中的IC50值分别为1.76 μM和1.85 μM。此外，DDO-88109 对 hSTING 亚型（WT、HAQ 和 H232）表现出广泛的亲和力，并以良好的选择性抑制 cGAS-STING 信号通路的激活。在结构上，DDO-88109 通过共晶结构研究确定，以 2:1 的化学计量占据 STING 的 CDN 结合袋。在 TREX1 缺陷驱动的自身炎症和顺铂诱导的 AKI 雄性小鼠模型中，DDO-88109 (15 mg/kg) 治疗显着减少炎症因子的分泌并改善组织炎症。总的来说，DDO-88109 的发现为基于结构的 STING 抑制剂合理药物开发建立了范例，为 cGAS-STING 信号驱动的人类自身免疫性疾病提供潜在的小分子疗法。</w:t>
      </w:r>
    </w:p>
    <w:p>
      <w:pPr>
        <w:spacing w:before="0" w:after="200" w:lineRule="auto" w:line="276"/>
      </w:pPr>
      <w:r>
        <w:rPr>
          <w:b/>
        </w:rPr>
        <w:t xml:space="preserve">Abstract (EN): </w:t>
      </w:r>
      <w:r>
        <w:t>Stimulator of Interferon Genes (STING) is a pivotal adaptor protein in the innate immune pathway, and its aberrant activation is closely associated with the pathogenesis of autoimmune diseases. Although it has emerged as an attractive therapeutic target for inflammatory disorders, current STING inhibitors still face challenges including off-target toxicity and limited understanding of binding mechanism. Herein, through a Target &amp; Cell-based cascade screening and rational design, DDO-88109 with a carbazole scaffold is identified as a STING inhibitor, with IC50 values of 1.76 μM and 1.85 μM in THP1-Dual and RAW-Lucia ISG cells, respectively. Moreover, DDO-88109 shows broad affinity for hSTING isoforms (WT, HAQ, and H232) and suppresses the activation of the cGAS-STING signaling pathway with favorable selectivity. Structurally, DDO-88109 occupies the CDN-binding pocket of STING in a 2:1 stoichiometry determined by co-crystal structure study. In TREX1 deficiency driven autoinflammation and cisplatin-induced AKI male mice models, treatment with DDO-88109 (15 mg/kg) significantly reduces the secretion of inflammatory factors and ameliorates tissue inflammation. Collectively, the discovery of DDO-88109 establishes a paradigm for structure-based rational drug development of STING inhibitors to provide potential small-molecule therapeutics against cGAS-STING signaling driven human autoimmune diseases.</w:t>
      </w:r>
    </w:p>
    <w:p>
      <w:pPr>
        <w:spacing w:before="120" w:after="120"/>
      </w:pPr>
      <w:r>
        <w:rPr>
          <w:sz w:val="18"/>
        </w:rPr>
        <w:t>——————————————————————————————————————————————————————————————————————</w:t>
      </w:r>
    </w:p>
    <w:p>
      <w:pPr>
        <w:spacing w:before="160" w:after="40" w:line="240" w:lineRule="auto"/>
      </w:pPr>
      <w:r>
        <w:rPr>
          <w:b/>
        </w:rPr>
        <w:t xml:space="preserve">[180] </w:t>
      </w:r>
      <w:hyperlink r:id="rId610">
        <w:r>
          <w:rPr>
            <w:color w:val="1155CC"/>
            <w:u w:val="single"/>
          </w:rPr>
          <w:t>作者更正：基于蛋白质组学的质谱法对人类未注释微生物蛋白检测的社区基准测试和评估</w:t>
        </w:r>
      </w:hyperlink>
    </w:p>
    <w:p>
      <w:pPr>
        <w:spacing w:before="0" w:after="80"/>
      </w:pPr>
      <w:r>
        <w:rPr>
          <w:i/>
          <w:sz w:val="20"/>
        </w:rPr>
        <w:t>EN: Author Correction: Community benchmarking and evaluation of human unannotated microprotein detection by mass spectrometry based proteomics</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[181] </w:t>
      </w:r>
      <w:hyperlink r:id="rId611">
        <w:r>
          <w:rPr>
            <w:color w:val="1155CC"/>
            <w:u w:val="single"/>
          </w:rPr>
          <w:t>三价离子动力学门控用于生产高浓度且耐储存的质粒 DNA/PEI 颗粒</w:t>
        </w:r>
      </w:hyperlink>
    </w:p>
    <w:p>
      <w:pPr>
        <w:spacing w:before="0" w:after="80"/>
      </w:pPr>
      <w:r>
        <w:rPr>
          <w:i/>
          <w:sz w:val="20"/>
        </w:rPr>
        <w:t>EN: Trivalent ions kinetic-gating for producing high-concentration and shelf-stable plasmid DNA/PEI particles</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可扩展、具有成本效益的制造仍然是病毒载体介导的基因疗法临床转化的主要障碍。广泛使用的生产腺相关病毒（AAV）和慢病毒的转染方法使用负载多个质粒的质粒DNA（pDNA）/聚乙烯亚胺（PEI）颗粒；然而，这些颗粒必须以低浓度制备并立即使用，限制了可扩展性和再现性。在这里，我们展示了一种动力学门控策略，其中三价柠檬酸根离子的瞬时结合减缓了络合，调节电荷中和动力学并延迟颗粒成核，从而能够形成稳定、高度浓缩的 pDNA/PEI 颗粒。通过掺入柠檬酸盐，我们可以防止聚集并实现高浓度下的均匀组装，从而使 DNA 浓度增加十倍（至 0.2 mg/mL）并减少剂量体积。该方法在混合条件下都很稳健，与标准制造工作流程兼容，并在不同规模下保持 AAV 生产效率。这些结果建立了一种简单且可推广的方法来控制聚电解质组装动力学，提高病毒载体生产的可扩展性和可靠性。</w:t>
      </w:r>
    </w:p>
    <w:p>
      <w:pPr>
        <w:spacing w:before="0" w:after="200" w:lineRule="auto" w:line="276"/>
      </w:pPr>
      <w:r>
        <w:rPr>
          <w:b/>
        </w:rPr>
        <w:t xml:space="preserve">Abstract (EN): </w:t>
      </w:r>
      <w:r>
        <w:t>Scalable, cost-effective manufacturing remains a major barrier to the clinical translation of viral vector–mediated gene therapies. The widely used transfection method for producing adeno-associated virus (AAVs) and lentivirus uses plasmid DNA (pDNA)/polyethyleneimine (PEI) particles loaded with multiple plasmids; however, these particles must be prepared at low concentrations and used immediately, limiting scalability and reproducibility. Here we show a kinetic-gating strategy in which transient binding of trivalent citrate ions slows complexation, modulating charge-neutralization kinetics and delaying particle nucleation, enabling the formation of stable, highly concentrated pDNA/PEI particles. By incorporating citrate, we prevent aggregation and achieve uniform assembly at high concentrations, enabling a ten-fold increase in DNA concentration (to 0.2 mg/mL) and reduced dosing volumes. The method is robust across mixing conditions, compatible with standard manufacturing workflows, and maintains AAV production efficiency across scales. These results establish a simple and generalizable approach to control polyelectrolyte assembly kinetics, improving the scalability and reliability of viral vector production.</w:t>
      </w:r>
    </w:p>
    <w:p>
      <w:pPr>
        <w:spacing w:before="120" w:after="120"/>
      </w:pPr>
      <w:r>
        <w:rPr>
          <w:sz w:val="18"/>
        </w:rPr>
        <w:t>——————————————————————————————————————————————————————————————————————</w:t>
      </w:r>
    </w:p>
    <w:p>
      <w:pPr>
        <w:spacing w:before="160" w:after="40" w:line="240" w:lineRule="auto"/>
      </w:pPr>
      <w:r>
        <w:rPr>
          <w:b/>
        </w:rPr>
        <w:t xml:space="preserve">[182] </w:t>
      </w:r>
      <w:hyperlink r:id="rId612">
        <w:r>
          <w:rPr>
            <w:color w:val="1155CC"/>
            <w:u w:val="single"/>
          </w:rPr>
          <w:t>食蟹猴中的重组邦巴利埃博拉病毒作为埃博拉病毒病的生存模型</w:t>
        </w:r>
      </w:hyperlink>
    </w:p>
    <w:p>
      <w:pPr>
        <w:spacing w:before="0" w:after="80"/>
      </w:pPr>
      <w:r>
        <w:rPr>
          <w:i/>
          <w:sz w:val="20"/>
        </w:rPr>
        <w:t>EN: Recombinant Bombali ebolavirus in cynomolgus macaques as a survival model of Ebola virus disease</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已知埃博拉病毒会引起人类严重的出血热。最近在塞拉利昂、肯尼亚、几内亚、莫桑比克和坦桑尼亚的蝙蝠中发现了一种新的埃博拉病毒，即邦巴利正埃博拉病毒（BOMV）。尚未从现场样本中分离出感染性 BOMV，但最近建立了感染性重组 BOMV 克隆 (rBOMV)。为了估计人类患病的可能性，我们用 rBOMV 攻击食蟹猴。猕猴表现出埃博拉病毒病的标志性特征，包括血管渗漏、淋巴细胞减少、中性粒细胞增多和炎症标志物升高。与这些特征一致，我们在病毒血症高峰期的多个靶组织中检测到了 rBOMV，包括肝脏、淋巴结和肾上腺。所有动物都能在挑战中幸存下来并产生强大的适应性免疫反应，包括强 BOMV 特异性 IgG 和中和抗体滴度。这些数据表明，与埃博拉病毒、本迪布焦病毒、苏丹病毒或塔伊森林病毒等致病性更强的埃博拉病毒相比，BOMV 可能具有减毒疾病表型，并可能作为解决埃博拉病毒疾病的重要模型。</w:t>
      </w:r>
    </w:p>
    <w:p>
      <w:pPr>
        <w:spacing w:before="0" w:after="200" w:lineRule="auto" w:line="276"/>
      </w:pPr>
      <w:r>
        <w:rPr>
          <w:b/>
        </w:rPr>
        <w:t xml:space="preserve">Abstract (EN): </w:t>
      </w:r>
      <w:r>
        <w:t>Ebolaviruses are known to cause severe hemorrhagic fever in humans. A new ebolavirus species, Bombali orthoebolavirus (BOMV), was recently detected in bats from Sierra Leone, Kenya, Guinea, Mozambique, and Tanzania. No infectious BOMV has been isolated from field samples, but an infectious recombinant BOMV clone (rBOMV) was recently established. To estimate disease potential in humans, we challenged cynomolgus macaques with rBOMV. Macaques exhibit hallmark features of Ebola virus disease, including vascular leak, lymphopenia, neutrophilia, and elevated inflammation markers. Consistent with these hallmarks, we detected rBOMV in multiple target tissues at peak viremia, including the liver, lymph nodes, and adrenal gland. All animals survive challenge and develop robust adaptive immune responses, including strong BOMV-specific IgG and neutralizing antibody titers. These data suggest that BOMV may have an attenuated disease phenotype compared to more pathogenic ebolaviruses such as Ebola, Bundibugyo, Sudan, or Taï Forest and may serve as an important model of resolving Ebola Virus Disease.</w:t>
      </w:r>
    </w:p>
    <w:p>
      <w:pPr>
        <w:spacing w:before="120" w:after="120"/>
      </w:pPr>
      <w:r>
        <w:rPr>
          <w:sz w:val="18"/>
        </w:rPr>
        <w:t>——————————————————————————————————————————————————————————————————————</w:t>
      </w:r>
    </w:p>
    <w:p>
      <w:pPr>
        <w:spacing w:before="160" w:after="40" w:line="240" w:lineRule="auto"/>
      </w:pPr>
      <w:r>
        <w:rPr>
          <w:b/>
        </w:rPr>
        <w:t xml:space="preserve">[183] </w:t>
      </w:r>
      <w:hyperlink r:id="rId613">
        <w:r>
          <w:rPr>
            <w:color w:val="1155CC"/>
            <w:u w:val="single"/>
          </w:rPr>
          <w:t>MutLγ、Mus81-Mms4 和 STR 在减数分裂霍利迪连接体加工中的独特和重叠作用</w:t>
        </w:r>
      </w:hyperlink>
    </w:p>
    <w:p>
      <w:pPr>
        <w:spacing w:before="0" w:after="80"/>
      </w:pPr>
      <w:r>
        <w:rPr>
          <w:i/>
          <w:sz w:val="20"/>
        </w:rPr>
        <w:t>EN: Distinct and overlapping roles of MutLγ, Mus81-Mms4, and STR in meiotic Holliday junction processing</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大多数减数分裂交换源自重组中间体的溶核拆分，ZMM 蛋白将重组中间体稳定为双霍利迪连接 (dHJ)。 MutLγ 是一种核酸酶，被认为可以将这些 ZMM 结合的 dHJ 解析为交叉，但替代酶 - 包括 Mus81-Mms4 和 Sgs1-Top3-Rmi1 (STR) 复合物 - 也可以处理减数分裂 DNA 接头分子。 ZMM 结合的 dHJ 如何优先转向 MutLγ 介导的加工仍未解决，部分原因是实验系统无法将 dHJ 解析与上游重组事件和下游细胞周期进程分开。为了克服这一限制，我们设计了一个出芽酵母系统，该系统可以稳定预先存在的 ZMM 结合的 dHJ，消除上游重组事件的持续发生，并在没有细胞周期进展的情况下实现条件途径特异性解决。使用这种方法，我们表明 MutLγ 能够独特地对 ZMM 结合的 dHJ 施加交叉特异性分辨率。相比之下，Mus81-Mms4 和 STR 可以访问交叉指定的重组中间体，但生成混合或完全非交叉产物。我们进一步确定了 Top3-Rmi1 在维持 ZMM-dHJ 结构并防止其转化为异常的 MutLγ 难熔物种方面具有独立于 Sgs1 的作用。总之，我们的研究结果表明，ZMM 蛋白在 dHJ 处理中建立了一种层次结构，而不是绝对选择性，这种层次结构有利于 MutLγ 定向交叉，同时保留替代解析途径以保护染色体分离。</w:t>
      </w:r>
    </w:p>
    <w:p>
      <w:pPr>
        <w:spacing w:before="0" w:after="200" w:lineRule="auto" w:line="276"/>
      </w:pPr>
      <w:r>
        <w:rPr>
          <w:b/>
        </w:rPr>
        <w:t xml:space="preserve">Abstract (EN): </w:t>
      </w:r>
      <w:r>
        <w:t>Most meiotic crossovers arise from the nucleolytic resolution of recombination intermediates that ZMM proteins stabilize as double Holliday junctions (dHJs). MutLγ is the nuclease thought to resolve these ZMM-bound dHJs into crossovers, but alternative enzymes - including Mus81-Mms4 and the Sgs1-Top3-Rmi1 (STR) complex - can also process meiotic DNA joint molecules. How ZMM-bound dHJs are preferentially steered toward MutLγ-mediated processing has remained unresolved, in part because experimental systems have been unable to uncouple dHJ resolution from upstream recombination events and downstream cell-cycle progression. To overcome this limitation, we engineered a budding yeast system that stabilizes pre-existing ZMM-bound dHJs, eliminates the continued occurrence of upstream recombination events, and enables conditional pathway-specific resolution without cell-cycle advance. Using this approach, we show that MutLγ is uniquely capable of imposing crossover-specific resolution on ZMM-bound dHJs. In contrast, Mus81-Mms4 and STR can access crossover-designated recombination intermediates but generate mixed or exclusively noncrossover products. We further identify an Sgs1-independent role for Top3-Rmi1 in maintaining ZMM-dHJ architecture and preventing their conversion into aberrant, MutLγ-refractory species. Together, our findings reveal that ZMM proteins establish a hierarchy, rather than absolute selectivity, in dHJ processing, one that favours MutLγ-directed crossovers while preserving alternative resolution routes to safeguard chromosome segregation.</w:t>
      </w:r>
    </w:p>
    <w:p>
      <w:pPr>
        <w:spacing w:before="120" w:after="120"/>
      </w:pPr>
      <w:r>
        <w:rPr>
          <w:sz w:val="18"/>
        </w:rPr>
        <w:t>——————————————————————————————————————————————————————————————————————</w:t>
      </w:r>
    </w:p>
    <w:p>
      <w:pPr>
        <w:spacing w:before="160" w:after="40" w:line="240" w:lineRule="auto"/>
      </w:pPr>
      <w:r>
        <w:rPr>
          <w:b/>
        </w:rPr>
        <w:t xml:space="preserve">[184] </w:t>
      </w:r>
      <w:hyperlink r:id="rId614">
        <w:r>
          <w:rPr>
            <w:color w:val="1155CC"/>
            <w:u w:val="single"/>
          </w:rPr>
          <w:t>习得的统计规律可将预期的微扫视调节至受抑制的干扰位置</w:t>
        </w:r>
      </w:hyperlink>
    </w:p>
    <w:p>
      <w:pPr>
        <w:spacing w:before="0" w:after="80"/>
      </w:pPr>
      <w:r>
        <w:rPr>
          <w:i/>
          <w:sz w:val="20"/>
        </w:rPr>
        <w:t>EN: Learned statistical regularity modulates anticipatory micro-saccades toward suppressed distractor locations</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习得的统计规律使个体能够抑制与显着干扰因素相关的位置，但这种抑制的机制仍不清楚。主动性的说法认为，抑制的运作无需事先将注意力分配到干扰物位置，而反应性的说法则表明，抑制需要在干扰物位置之前隐蔽地注意它。为了解决这一持续的争论，当前的研究记录了刺激前间隔期间的微扫视（一种隐蔽注意力指数），以及视觉搜索任务期间收集的脑电图（EEG）数据。指示参与者忽略在特定位置更频繁出现的显着干扰因素，这会减少对该高概率位置出现的干扰因素的注意力捕获。值得注意的是，这种效应伴随着动眼神经标记：相对于对照条件，在刺激开始之前微扫视率降低。引人注目的是，这些预期的微扫视通常更多地指向高概率的干扰位置，而不是远离它们，这与反应性抑制机制一致。与此同时，α 波段活动（8-14 Hz）携带高概率干扰位置的可解码表示，表明准备性神经调谐。总的来说，这些发现提供了证据表明动眼神经系统密切参与编码和响应习得的空间规律。</w:t>
      </w:r>
    </w:p>
    <w:p>
      <w:pPr>
        <w:spacing w:before="0" w:after="200" w:lineRule="auto" w:line="276"/>
      </w:pPr>
      <w:r>
        <w:rPr>
          <w:b/>
        </w:rPr>
        <w:t xml:space="preserve">Abstract (EN): </w:t>
      </w:r>
      <w:r>
        <w:t>Learned statistical regularity enables individuals to suppress locations associated with salient distractors, yet the mechanisms underlying this suppression remain unclear. Proactive accounts propose that suppression operates without prior attentional allocation to distractor locations, whereas reactive accounts suggest that suppression requires covert attention to the distractor location before it can be engaged. To address this ongoing debate, the current study records micro-saccades—an index of covert attention—during the pre-stimulus interval, alongside electroencephalogram (EEG) data collected during a visual search task. Participants are instructed to ignore a salient distractor that occurred more frequently at a specific location, which reduces attentional capture for distractors presented at this high-probability location. Notably, this effect is accompanied by oculomotor markers: micro-saccade rates decrease before stimulus onset relative to a control condition. Strikingly, these anticipatory micro-saccades are more often directed toward high-probability distractor locations than away from them, consistent with a reactive suppression mechanism. In parallel, alpha-band activity (8–14 Hz) carries decodable representations of high-probability distractor locations, indicating preparatory neural tuning. Overall, these findings provide evidence that the oculomotor system is closely involved in encoding and responding to learned spatial regularities.</w:t>
      </w:r>
    </w:p>
    <w:p>
      <w:pPr>
        <w:spacing w:before="120" w:after="120"/>
      </w:pPr>
      <w:r>
        <w:rPr>
          <w:sz w:val="18"/>
        </w:rPr>
        <w:t>——————————————————————————————————————————————————————————————————————</w:t>
      </w:r>
    </w:p>
    <w:p>
      <w:pPr>
        <w:spacing w:before="160" w:after="40" w:line="240" w:lineRule="auto"/>
      </w:pPr>
      <w:r>
        <w:rPr>
          <w:b/>
        </w:rPr>
        <w:t xml:space="preserve">[185] </w:t>
      </w:r>
      <w:hyperlink r:id="rId615">
        <w:r>
          <w:rPr>
            <w:color w:val="1155CC"/>
            <w:u w:val="single"/>
          </w:rPr>
          <w:t>用于单细胞扰动筛选和 CRISPRi 的可调谐 Cas12a 平台</w:t>
        </w:r>
      </w:hyperlink>
    </w:p>
    <w:p>
      <w:pPr>
        <w:spacing w:before="0" w:after="80"/>
      </w:pPr>
      <w:r>
        <w:rPr>
          <w:i/>
          <w:sz w:val="20"/>
        </w:rPr>
        <w:t>EN: A tunable Cas12a platform for single-cell perturbation screening and CRISPRi</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单细胞扰动 (Perturb-seq) 筛选主要依赖 Cas9 来诱导功能丧失表型，而 Cas12a 尽管其对多重引导表达具有独特的有效性，但仍未得到充分探索。这可能是由于 Cas12a 的引导 RNA 阵列（pre-crRNA）自我处理活动以及随后在单细胞 RNA 测序文库制备过程中与 pre-crRNA 序列恢复相关的挑战所致。为了克服自我加工的限制，我们优化了 pre-crRNA 表达载体，并建立了基于降解决定子的增强型 Cas12a 基因敲除系统。正如跨细胞类型、靶基因和最小化指导 RNA 文库所证明的那样，该平台可以准确检测前 crRNA 和基因编辑诱导的对单细胞转录组的影响。此外，我们还发现 HyperLbCas12a 在多重基因抑制方面优于其他现有变体。虽然这种抑制子的快速可逆性突出了基于降解决定子的单细胞记录的特定动力学限制，但该系统为需要可调节的瞬时沉默的环境提供了一种有效的模块化工具。这套技术共同极大地扩展了未来 Perturb-seq 工作以及 Cas12a 大规模遗传破坏的更广泛应用的可能性。</w:t>
      </w:r>
    </w:p>
    <w:p>
      <w:pPr>
        <w:spacing w:before="0" w:after="200" w:lineRule="auto" w:line="276"/>
      </w:pPr>
      <w:r>
        <w:rPr>
          <w:b/>
        </w:rPr>
        <w:t xml:space="preserve">Abstract (EN): </w:t>
      </w:r>
      <w:r>
        <w:t>Single-cell perturbation (Perturb-seq) screens have primarily relied on Cas9 for inducing loss-of-function phenotypes, whereas Cas12a, despite its unique effectiveness for multiplex guide expression, remains underexplored. This may be due to Cas12a’s guide RNA array (pre-crRNA) self-processing activity and the subsequent challenges associated with pre-crRNA sequence recovery during single-cell RNA sequencing library preparation. To overcome the self-processing constraint, we optimized pre-crRNA expression vectors and established a degron-based, enhanced Cas12a system for gene knock-out. As demonstrated across cell types, target genes, and with a minimized guide RNA library, this platform allows for accurate detection of pre-crRNAs and gene editing-induced effects on the transcriptome in single cells. Additionally, we show that HyperLbCas12a outperforms other existing variants for multiplexed gene suppression. While the rapid reversibility of this repressor highlights specific kinetic constraints for degron-based single-cell recording, the system provides a potent, modular tool for contexts requiring tunable, transient silencing. Together, this suite of technologies greatly expands the possibilities for future Perturb-seq efforts and broader application of Cas12a for genetic disruption at scale.</w:t>
      </w:r>
    </w:p>
    <w:p>
      <w:pPr>
        <w:spacing w:before="120" w:after="120"/>
      </w:pPr>
      <w:r>
        <w:rPr>
          <w:sz w:val="18"/>
        </w:rPr>
        <w:t>——————————————————————————————————————————————————————————————————————</w:t>
      </w:r>
    </w:p>
    <w:p>
      <w:pPr>
        <w:spacing w:before="160" w:after="40" w:line="240" w:lineRule="auto"/>
      </w:pPr>
      <w:r>
        <w:rPr>
          <w:b/>
        </w:rPr>
        <w:t xml:space="preserve">[186] </w:t>
      </w:r>
      <w:hyperlink r:id="rId616">
        <w:r>
          <w:rPr>
            <w:color w:val="1155CC"/>
            <w:u w:val="single"/>
          </w:rPr>
          <w:t>绘制无序区域之间的相互作用揭示了生物分子凝聚体形成中的混杂性</w:t>
        </w:r>
      </w:hyperlink>
    </w:p>
    <w:p>
      <w:pPr>
        <w:spacing w:before="0" w:after="80"/>
      </w:pPr>
      <w:r>
        <w:rPr>
          <w:i/>
          <w:sz w:val="20"/>
        </w:rPr>
        <w:t>EN: Mapping interactions between disordered regions reveals promiscuity in biomolecular condensate formation</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本质无序区域（IDR）通过其序列中编码的相互作用驱动细胞内相分离和生物分子凝聚体形成。尽管凝结物在细胞中形成空间上不同的组装体，但 IDR 的高构象灵活性和缺乏明确的 3D 结构提出了它们如何编码凝结物特异性的问题。为了系统地表征 IDR-IDR 相互作用及其介导自我特异性分配的能力，我们开发了 micDROP，一种形成组成型液滴的多价 IDR 合成系统。我们检查了 micDROP 中相分离的十种天然 IDR，发现它们的体内饱和浓度与总序列粘性相关。与不同 micDROP 支架融合的 IDR 对的共表达揭示了广泛的混杂性，而 TDP43 和 UBQ2 始终形成自身特异性的缩合物。 TDP43 IDR 中的一个短的、保守的 α 螺旋片段控制着这种自我识别。我们的结果表明，IDR 通过序列组成来调节相分离倾向，而离散的凝聚体身份可能需要额外的结构决定因素。</w:t>
      </w:r>
    </w:p>
    <w:p>
      <w:pPr>
        <w:spacing w:before="0" w:after="200" w:lineRule="auto" w:line="276"/>
      </w:pPr>
      <w:r>
        <w:rPr>
          <w:b/>
        </w:rPr>
        <w:t xml:space="preserve">Abstract (EN): </w:t>
      </w:r>
      <w:r>
        <w:t>Intrinsically disordered regions (IDRs) drive intracellular phase separation and biomolecular condensate formation through interactions encoded in their sequence. Although condensates form spatially distinct assemblies in cells, the high conformational flexibility of IDRs and absence of well-defined 3D structures raise the question of how they could encode condensate specificity. To systematically characterize IDR–IDR interactions and their ability to mediate self-specific partitioning, we develop micDROP, a synthetic system of multivalent IDRs forming constitutive droplets. We examine ten natural IDRs that phase-separate in micDROP and find that their saturation concentrations in vivo correlate with total sequence stickiness. Co-expression of IDR pairs fused to distinct micDROP scaffolds reveals widespread promiscuity, whereas TDP43 and UBQ2 consistently form self-specific condensates. A short, conserved α-helical segment in the TDP43 IDR governs this self-recognition. Our results indicate that IDRs tune phase separation propensity through sequence composition, while discrete condensate identity likely requires additional structural determinants.</w:t>
      </w:r>
    </w:p>
    <w:p>
      <w:pPr>
        <w:spacing w:before="120" w:after="120"/>
      </w:pPr>
      <w:r>
        <w:rPr>
          <w:sz w:val="18"/>
        </w:rPr>
        <w:t>——————————————————————————————————————————————————————————————————————</w:t>
      </w:r>
    </w:p>
    <w:p>
      <w:pPr>
        <w:spacing w:before="160" w:after="40" w:line="240" w:lineRule="auto"/>
      </w:pPr>
      <w:r>
        <w:rPr>
          <w:b/>
        </w:rPr>
        <w:t xml:space="preserve">[187] </w:t>
      </w:r>
      <w:hyperlink r:id="rId617">
        <w:r>
          <w:rPr>
            <w:color w:val="1155CC"/>
            <w:u w:val="single"/>
          </w:rPr>
          <w:t>撒哈拉以南非洲的包容性电气化：成本与平等的权衡</w:t>
        </w:r>
      </w:hyperlink>
    </w:p>
    <w:p>
      <w:pPr>
        <w:spacing w:before="0" w:after="80"/>
      </w:pPr>
      <w:r>
        <w:rPr>
          <w:i/>
          <w:sz w:val="20"/>
        </w:rPr>
        <w:t>EN: Inclusive electrification in sub-saharan Africa: Cost–equality trade-offs</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[188] </w:t>
      </w:r>
      <w:hyperlink r:id="rId618">
        <w:r>
          <w:rPr>
            <w:color w:val="1155CC"/>
            <w:u w:val="single"/>
          </w:rPr>
          <w:t>靶向下丘脑 SIK3 促进小鼠减肥并改善血糖控制</w:t>
        </w:r>
      </w:hyperlink>
    </w:p>
    <w:p>
      <w:pPr>
        <w:spacing w:before="0" w:after="80"/>
      </w:pPr>
      <w:r>
        <w:rPr>
          <w:i/>
          <w:sz w:val="20"/>
        </w:rPr>
        <w:t>EN: Targeting hypothalamic SIK3 to promote weight loss and improve glycemic control in mice</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盐诱导激酶 3 (SIK3) 已成为外周代谢的关键调节因子，但其在调节体重和能量代谢（尤其是下丘脑神经元）中的细胞和分子功能仍不清楚，并且很大程度上尚未被探索。在这里，我们证明肥胖小鼠下丘脑中 SIK3 表达升高。 SIK3 的失活（特别是在促食欲 NPY 神经元中）会减少食物摄入，增加能量消耗，并增强白色脂肪组织褐变，从而导致小鼠对高脂肪饮食诱导的肥胖产生抵抗力。在饮食诱导的肥胖小鼠中，用抑制剂 GLPG3970 对 SIK3 进行药理学抑制，导致体重和肥胖显着减少，这主要是由于能量摄入减少，代谢健康状况显着改善。这些效应与中枢瘦素和胰岛素信号传导的增强以及关键转录代谢调节因子 CRTC1 和 HDAC5 的去磷酸化和核转位有关。这些发现揭示了一种先前未被识别的 SIK3 介导的途径，该途径可促进正能量平衡，并表明 SIK3 抑制可能为治疗肥胖和代谢紊乱提供治疗潜力。</w:t>
      </w:r>
    </w:p>
    <w:p>
      <w:pPr>
        <w:spacing w:before="0" w:after="200" w:lineRule="auto" w:line="276"/>
      </w:pPr>
      <w:r>
        <w:rPr>
          <w:b/>
        </w:rPr>
        <w:t xml:space="preserve">Abstract (EN): </w:t>
      </w:r>
      <w:r>
        <w:t>Salt-Inducible Kinase 3 (SIK3) has emerged as a key regulator of peripheral metabolism, however its cellular and molecular function in regulating body weight and energy metabolism, particularly in hypothalamic neurons, remains unclear and largely unexplored. Here, we demonstrate that SIK3 expression is elevated in the hypothalamus of obese mice. Inactivation of SIK3 specifically in orexigenic NPY neurons reduces food intake, increases energy expenditure, and enhances white adipose tissue browning, resulting in resistance to high-fat diet-induced obesity in mice. Pharmacological inhibition of SIK3 with the inhibitor GLPG3970 in diet-induced obese mice led to significant reductions in body weight and adiposity, primarily due to decreased energy intake, with notable improvements in metabolic health. These effects are linked to enhanced central leptin and insulin signaling, and the dephosphorylation and nuclear translocation of key transcriptional metabolic regulators, CRTC1 and HDAC5. These findings reveal a previously unidentified SIK3-mediated pathway that promotes positive energy balance and suggests SIK3 inhibition may offer therapeutic potential for treating obesity and metabolic disorders.</w:t>
      </w:r>
    </w:p>
    <w:p>
      <w:pPr>
        <w:spacing w:before="120" w:after="120"/>
      </w:pPr>
      <w:r>
        <w:rPr>
          <w:sz w:val="18"/>
        </w:rPr>
        <w:t>——————————————————————————————————————————————————————————————————————</w:t>
      </w:r>
    </w:p>
    <w:p>
      <w:pPr>
        <w:spacing w:before="160" w:after="40" w:line="240" w:lineRule="auto"/>
      </w:pPr>
      <w:r>
        <w:rPr>
          <w:b/>
        </w:rPr>
        <w:t xml:space="preserve">[189] </w:t>
      </w:r>
      <w:hyperlink r:id="rId619">
        <w:r>
          <w:rPr>
            <w:color w:val="1155CC"/>
            <w:u w:val="single"/>
          </w:rPr>
          <w:t>形态再生过程中动态细胞命运转变</w:t>
        </w:r>
      </w:hyperlink>
    </w:p>
    <w:p>
      <w:pPr>
        <w:spacing w:before="0" w:after="80"/>
      </w:pPr>
      <w:r>
        <w:rPr>
          <w:i/>
          <w:sz w:val="20"/>
        </w:rPr>
        <w:t>EN: Dynamic cell fate transitions during morphallactic regeneration</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再生可以通过外形态进行，涉及截肢部位丢失的结构以从近端到远端的顺序重新生长，或者通过形态轴进行，其特征是广泛的组织重塑和最小的细胞增殖。虽然外貌再生的机制得到了很好的研究，但形态轴的时空动力学仍然知之甚少。在这里，我们使用再生水螅组织的时程单细胞 RNA 测序 (scRNA-seq) 表明，形态轴涉及末端和亚末端细胞身份重新出现的时间序列，与近端结构相关的转录特征比远端结构出现得更早。我们进一步发现，在整个再生过程中，Wnt 信号在截肢部位保持动态活跃，其组成随时间变化，与瞬时调节状态一致。总之，这些发现提供了形态再生期间动态细胞状态转变和信号活动的高分辨率视图，并为探索九头蛇中如何重建组织者功能和轴向模式提供了框架。</w:t>
      </w:r>
    </w:p>
    <w:p>
      <w:pPr>
        <w:spacing w:before="0" w:after="200" w:lineRule="auto" w:line="276"/>
      </w:pPr>
      <w:r>
        <w:rPr>
          <w:b/>
        </w:rPr>
        <w:t xml:space="preserve">Abstract (EN): </w:t>
      </w:r>
      <w:r>
        <w:t>Regeneration can proceed through epimorphosis, involving regrowth of lost structures at the amputation site in a proximal-to-distal sequence, or through morphallaxis, which is characterized by extensive tissue remodeling with minimal cell proliferation. While the mechanisms underlying epimorphic regeneration are well studied, the spatiotemporal dynamics of morphallaxis remain less understood. Here we show, using time-course single-cell RNA sequencing (scRNA-seq) of regenerating Hydra tissue, that morphallaxis involves a temporal sequence in the re-emergence of terminal and subterminal cell identities, with transcriptional signatures associated with proximal structures appearing earlier than those of distal structures. We further find that Wnt signaling remains dynamically active at the amputation site throughout regeneration, with its composition changing over time, consistent with a transient regulatory state. Together, these findings provide a high-resolution view of dynamic cell state transitions and signaling activity during morphallactic regeneration and offer a framework for exploring how organizer function and axial patterning are re-established in Hydra.</w:t>
      </w:r>
    </w:p>
    <w:p>
      <w:pPr>
        <w:spacing w:before="120" w:after="120"/>
      </w:pPr>
      <w:r>
        <w:rPr>
          <w:sz w:val="18"/>
        </w:rPr>
        <w:t>——————————————————————————————————————————————————————————————————————</w:t>
      </w:r>
    </w:p>
    <w:p>
      <w:pPr>
        <w:spacing w:before="160" w:after="40" w:line="240" w:lineRule="auto"/>
      </w:pPr>
      <w:r>
        <w:rPr>
          <w:b/>
        </w:rPr>
        <w:t xml:space="preserve">[190] </w:t>
      </w:r>
      <w:hyperlink r:id="rId620">
        <w:r>
          <w:rPr>
            <w:color w:val="1155CC"/>
            <w:u w:val="single"/>
          </w:rPr>
          <w:t>用于评估同地浮动风波发电场的空间明确的技术经济框架</w:t>
        </w:r>
      </w:hyperlink>
    </w:p>
    <w:p>
      <w:pPr>
        <w:spacing w:before="0" w:after="80"/>
      </w:pPr>
      <w:r>
        <w:rPr>
          <w:i/>
          <w:sz w:val="20"/>
        </w:rPr>
        <w:t>EN: A spatially explicit techno-economic framework for assessing co-located floating wind-wave energy farms</w:t>
      </w:r>
    </w:p>
    <w:p>
      <w:pPr>
        <w:spacing w:before="0" w:after="120"/>
      </w:pPr>
      <w:r>
        <w:rPr>
          <w:b/>
        </w:rPr>
        <w:t xml:space="preserve">Source: </w:t>
      </w:r>
      <w:r>
        <w:t>ScienceDirect Publication: Applied Energy</w:t>
      </w:r>
      <w:r>
        <w:t xml:space="preserve">    </w:t>
      </w:r>
      <w:r>
        <w:rPr>
          <w:b/>
        </w:rPr>
        <w:t xml:space="preserve">Pub date: </w:t>
      </w:r>
      <w:r>
        <w:t>2026-06-02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[191] </w:t>
      </w:r>
      <w:hyperlink r:id="rId621">
        <w:r>
          <w:rPr>
            <w:color w:val="1155CC"/>
            <w:u w:val="single"/>
          </w:rPr>
          <w:t>啮齿动物模型对人类内侧颞叶癫痫保真度的跨物种转录组分析</w:t>
        </w:r>
      </w:hyperlink>
    </w:p>
    <w:p>
      <w:pPr>
        <w:spacing w:before="0" w:after="80"/>
      </w:pPr>
      <w:r>
        <w:rPr>
          <w:i/>
          <w:sz w:val="20"/>
        </w:rPr>
        <w:t>EN: Cross-species transcriptomic analysis of rodent model fidelity to human mesial temporal lobe epilepsy</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内侧颞叶癫痫（MTLE）是一种常见的耐药性癫痫，需要可靠的啮齿动物模型进行转化研究。尽管许多啮齿动物模型再现了海马癫痫发生，但它们与人类 MTLE 的分子保真度仍不清楚。在这项研究中，我们对人类 MTLE 转录组数据进行了综合分析，并通过将啮齿动物癫痫模型的转录组谱与人类 MTLE 的转录组谱进行比较来评估啮齿动物癫痫模型。通过整合 694 个人类样本（平均年龄 39.6 岁，40.3% 女性，12 个数据集）和 362 个啮齿类动物样本（出生后和成年小鼠和大鼠，13 个数据集），我们发现了慢性耐药 MTLE 中突触功能障碍以及神经炎症和胶质生成的增加。随后的跨物种相关性分析表明，海马内红藻氨酸诱导的模型最能模仿具有海马硬化（HS）的 MTLE，其特征是神经炎症和胶质细胞生成。相比之下，穿通路径刺激诱导的模型表现出与没有 HS 的 MTLE 高度相关，强调突触重塑是该模型中的独特机制。总体而言，这种跨物种分析阐明了人类 MTLE 的转录组学景观，并为选择合适的癫痫模型提供了框架。</w:t>
      </w:r>
    </w:p>
    <w:p>
      <w:pPr>
        <w:spacing w:before="0" w:after="200" w:lineRule="auto" w:line="276"/>
      </w:pPr>
      <w:r>
        <w:rPr>
          <w:b/>
        </w:rPr>
        <w:t xml:space="preserve">Abstract (EN): </w:t>
      </w:r>
      <w:r>
        <w:t>Mesial temporal lobe epilepsy (MTLE) is a common form of drug-resistant epilepsy, necessitating reliable rodent models for translational research. Although numerous rodent models reproduce hippocampal epileptogenesis, their molecular fidelity to human MTLE remains unclear. In this study, we conducted an integrative analysis of human MTLE transcriptomic data and evaluated rodent epilepsy models by comparing their transcriptomic profiles with those of human MTLE. By integrating 694 human samples (mean age 39.6 years, 40.3% female, 12 datasets) and 362 rodent samples (postnatal and adult mice and rats, 13 datasets), we identified synaptic dysfunction alongside elevated neuroinflammation and gliogenesis in chronic drug-resistant MTLE. Subsequent cross-species correlation analysis revealed that the intrahippocampal kainate-induced model best mimicked MTLE with hippocampal sclerosis (HS), characterized by neuroinflammation and gliogenesis. In contrast, the perforant path stimulation-induced model exhibited a high correlation with MTLE without HS, highlighting synaptic remodeling as distinct mechanism in this model. Overall, this cross-species analysis clarifies the transcriptomic landscape of human MTLE and provides a framework for selecting appropriate epilepsy models.</w:t>
      </w:r>
    </w:p>
    <w:p>
      <w:pPr>
        <w:spacing w:before="120" w:after="120"/>
      </w:pPr>
      <w:r>
        <w:rPr>
          <w:sz w:val="18"/>
        </w:rPr>
        <w:t>——————————————————————————————————————————————————————————————————————</w:t>
      </w:r>
    </w:p>
    <w:p>
      <w:pPr>
        <w:spacing w:before="160" w:after="40" w:line="240" w:lineRule="auto"/>
      </w:pPr>
      <w:r>
        <w:rPr>
          <w:b/>
        </w:rPr>
        <w:t xml:space="preserve">[192] </w:t>
      </w:r>
      <w:hyperlink r:id="rId622">
        <w:r>
          <w:rPr>
            <w:color w:val="1155CC"/>
            <w:u w:val="single"/>
          </w:rPr>
          <w:t>HPV16 遗传变异提供了 HLA I 类驱动的积极自然选择的证据</w:t>
        </w:r>
      </w:hyperlink>
    </w:p>
    <w:p>
      <w:pPr>
        <w:spacing w:before="0" w:after="80"/>
      </w:pPr>
      <w:r>
        <w:rPr>
          <w:i/>
          <w:sz w:val="20"/>
        </w:rPr>
        <w:t>EN: HPV16 genetic variation provides evidence of positive natural selection driven by HLA class I</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人乳头瘤病毒 16 型 (HPV16) 比任何其他病毒都更容易引发癌症。然而，大多数 HPV16 感染是由宿主的免疫系统控制的，目前尚不清楚病毒和宿主的遗传变异如何影响感染结果。在这里，我们分析了 4704 个 HPV16 全基因组，以确定在正自然选择下推定的 56 个病毒密码子，以改变其氨基酸，证据包括 dN/dS &gt; 1、进化趋同和蛋白质的结构重要性。我们发现，正向选择下的密码子与细胞毒性 T 淋巴细胞识别的已知 HPV16 免疫表位不成比例地重叠，特别是那些受之前报道的风险等位基因 HLA-B*07:02 限制的密码子（比值比 [OR] = 4.9；95%CI = 2.1–10.3；PFisher = 0.00015），以 E6 癌蛋白的 10 位为例。积极选择的密码子还与 HPV16 的进化亚型/谱系分化的 158 个核苷酸位点不成比例地重叠（OR = 19.1；95%CI = 10.5–34.7；PFisher -16），并且在 E1 蛋白中显示出比对照（良性或清除的 HPV16 感染）更罕见的宫颈癌前病变/癌症变异（OR = 9.34， 95%CI = 1.4–402.5；PFisher = 0.0084)。我们的结果表明，一小部分 HPV16 变体可以通过逃避 HLA 相关免疫识别来提高病毒持久性。 HPV16 和 HLA 变异的相互作用可能有助于解释相似或相同的病毒分离株为何会产生如此不同的感染结果。</w:t>
      </w:r>
    </w:p>
    <w:p>
      <w:pPr>
        <w:spacing w:before="0" w:after="200" w:lineRule="auto" w:line="276"/>
      </w:pPr>
      <w:r>
        <w:rPr>
          <w:b/>
        </w:rPr>
        <w:t xml:space="preserve">Abstract (EN): </w:t>
      </w:r>
      <w:r>
        <w:t>Human papillomavirus type 16 (HPV16) causes more cancer than any other virus. However, most HPV16 infections are controlled by the host’s immune system and it remains unclear how viral and host genetic variation contribute to infection outcomes. Here, we analyze 4704 HPV16 whole genomes to identify 56 viral codons putatively under positive natural selection to change their amino acids, with evidence including dN/dS &gt; 1, evolutionary convergence, and structural importance in the protein. We find that codons under positive selection disproportionately overlap known HPV16 immune epitopes recognized by cytotoxic T lymphocytes, particularly those restricted by the previously reported risk allele HLA-B*07:02 (odds ratio [OR] = 4.9; 95%CI = 2.1–10.3; PFisher = 0.00015), exemplified by position 10 of the E6 oncoprotein. Positively selected codons also disproportionately overlap 158 nucleotide sites at which the evolutionary sub/lineages of HPV16 have diverged (OR = 19.1; 95%CI = 10.5–34.7; PFisher −16), and show more rare variation in cervical precancers/cancers than controls (benign or cleared HPV16 infections) in the E1 protein (OR = 9.34, 95%CI = 1.4–402.5; PFisher = 0.0084). Our results suggest that a small subset of HPV16 variants can improve viral persistence through escape of HLA-related immune recognition. The interaction of HPV16 and HLA variation may help to explain how similar or identical viral isolates can have such disparate infection outcomes.</w:t>
      </w:r>
    </w:p>
    <w:p>
      <w:pPr>
        <w:spacing w:before="120" w:after="120"/>
      </w:pPr>
      <w:r>
        <w:rPr>
          <w:sz w:val="18"/>
        </w:rPr>
        <w:t>——————————————————————————————————————————————————————————————————————</w:t>
      </w:r>
    </w:p>
    <w:p>
      <w:pPr>
        <w:spacing w:before="160" w:after="40" w:line="240" w:lineRule="auto"/>
      </w:pPr>
      <w:r>
        <w:rPr>
          <w:b/>
        </w:rPr>
        <w:t xml:space="preserve">[193] </w:t>
      </w:r>
      <w:hyperlink r:id="rId623">
        <w:r>
          <w:rPr>
            <w:color w:val="1155CC"/>
            <w:u w:val="single"/>
          </w:rPr>
          <w:t>通过深度分辨电子衍射成像揭示埋藏铁电拓扑</w:t>
        </w:r>
      </w:hyperlink>
    </w:p>
    <w:p>
      <w:pPr>
        <w:spacing w:before="0" w:after="80"/>
      </w:pPr>
      <w:r>
        <w:rPr>
          <w:i/>
          <w:sz w:val="20"/>
        </w:rPr>
        <w:t>EN: Revealing buried ferroelectric topologies by depth-resolved electron diffraction imaging</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纳米级拓扑极性纹理有望为铁电存储器和逻辑提供新功能，但其三维结构和介观组织在实验上仍然无法实现。在这里，我们介绍深度分辨电子衍射成像 (DREDI)，这是一种快速、非破坏性的方法，可以用 3 层薄膜映射偏振，DREDI 揭示了极性纹理的隐藏深度演化：表面 71° 条纹演化为地下通量闭合涡流，在底部界面附近分叉成三重顶点。横截面多层电子叠层成像和相场建模证实了这些掩埋结构，并将其归因于 SrRuO3 电极中的应变不均匀性和铁弹性孪晶。大面积分析进一步表明，类似顶点的挫折在 4 µm 的临界长度尺度之上形成了中尺度渗透网络。 DREDI 能够对铁纳米材料中的埋藏拓扑结构进行实时体积研究。</w:t>
      </w:r>
    </w:p>
    <w:p>
      <w:pPr>
        <w:spacing w:before="0" w:after="200" w:lineRule="auto" w:line="276"/>
      </w:pPr>
      <w:r>
        <w:rPr>
          <w:b/>
        </w:rPr>
        <w:t xml:space="preserve">Abstract (EN): </w:t>
      </w:r>
      <w:r>
        <w:t>Nanoscale topological polar textures promise new functionalities for ferroelectric memories and logic, yet their three-dimensional structure and mesoscale organization remain experimentally inaccessible. Here we introduce depth-resolved electron diffraction imaging (DREDI), a fast, non-destructive, method that maps polarization with 3 films, DREDI reveals a hidden depth evolution of polar textures: surface 71˚ stripes evolve into subsurface flux-closure vortices that bifurcate into three-fold vertices near the bottom interface. Cross-sectional multi-slice electron ptychography and phase-field modeling confirm these buried configurations and attribute them to strain heterogeneity and ferroelastic twinning in the SrRuO3 electrode. Large-area analysis further shows that vertex-like frustration forms a mesoscale percolating network above a critical length scale of 4 µm. DREDI enables real-time, volumetric studies of buried topological textures in ferroic nanomaterials.</w:t>
      </w:r>
    </w:p>
    <w:p>
      <w:pPr>
        <w:spacing w:before="120" w:after="120"/>
      </w:pPr>
      <w:r>
        <w:rPr>
          <w:sz w:val="18"/>
        </w:rPr>
        <w:t>——————————————————————————————————————————————————————————————————————</w:t>
      </w:r>
    </w:p>
    <w:p>
      <w:pPr>
        <w:spacing w:before="160" w:after="40" w:line="240" w:lineRule="auto"/>
      </w:pPr>
      <w:r>
        <w:rPr>
          <w:b/>
        </w:rPr>
        <w:t xml:space="preserve">[194] </w:t>
      </w:r>
      <w:hyperlink r:id="rId624">
        <w:r>
          <w:rPr>
            <w:color w:val="1155CC"/>
            <w:u w:val="single"/>
          </w:rPr>
          <w:t>探索半晶聚合物中从界面电荷转移到本体传输的接触起电过程</w:t>
        </w:r>
      </w:hyperlink>
    </w:p>
    <w:p>
      <w:pPr>
        <w:spacing w:before="0" w:after="80"/>
      </w:pPr>
      <w:r>
        <w:rPr>
          <w:i/>
          <w:sz w:val="20"/>
        </w:rPr>
        <w:t>EN: Probing contact electrification processes from interfacial charge transfer to bulk transport in semicrystalline polymers</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接触电气化（CE）是一种普遍存在的机械驱动发电现象，已成为可持续能源转换的一种有前途的方法。然而，由于缺乏定量表征工具以及与材料特性之间明确的相关性，人们对接触引起的机电转换（MEC）的动态过程和潜在机制仍然知之甚少。在此，我们开发了一种标准化的多尺度定量方法来表征接触感应电荷，从而实现 MEC 的精确测量和原位观察。此外，我们系统地研究了常见半晶聚合物的关键特性（例如能带结构和聚集状态）如何控制 MEC 行为，建立材料特性和 MEC 性能之间的内在关系。在此基础上，我们提出了一个连贯的两步CE模型，涉及界面电荷转移和体电荷传输，该模型描述了接触感应电荷从产生到收集的完整生命周期。我们进一步揭示，界面能级排列的差异是电子从供体转移到受体的基本驱动力，而注入的电荷载流子通过局域态陷阱之间的跳跃传导机制进行传输。这项研究为CE研究建立了范例，加深了对接触诱导MEC的基本理解，并为下一代高性能聚合物电介质的设计奠定了基础。</w:t>
      </w:r>
    </w:p>
    <w:p>
      <w:pPr>
        <w:spacing w:before="0" w:after="200" w:lineRule="auto" w:line="276"/>
      </w:pPr>
      <w:r>
        <w:rPr>
          <w:b/>
        </w:rPr>
        <w:t xml:space="preserve">Abstract (EN): </w:t>
      </w:r>
      <w:r>
        <w:t>Contact electrification (CE), a ubiquitous phenomenon enabling mechanical-driven power generation, has emerged as a promising approach for sustainable energy conversion. However, due to the lack of quantitative characterization tools and well-defined correlations with material properties, the dynamic processes and underlying mechanisms of contact-induced mechano-electric conversion (MEC) remain poorly understood. Herein, we develop a standardized multiscale quantitative method for characterizing contact-induced charges, enabling precise measurement and in-situ observation of MEC. Furthermore, we systematically investigate how key properties of common semicrystalline polymers (such as band structure and aggregation state) govern MEC behaviors, establishing an intrinsic relationship between material properties and MEC performance. Building up this, we propose a coherent two-step CE model involving interfacial charge transfer followed by bulk charge transport, which describes the complete lifecycle of contact-induced charges from generation to collection. We further reveal that differences in interfacial energy-level alignment serve as the fundamental driving force for electron transfer from donors to acceptors, while injected charge carriers are transported via a hopping conduction mechanism between localized state traps. This study establishes a paradigm for CE research, deepening the fundamental understanding of contact-induced MEC and laying a foundation for the design of next-generation high-performance polymer dielectrics.</w:t>
      </w:r>
    </w:p>
    <w:p>
      <w:pPr>
        <w:spacing w:before="120" w:after="120"/>
      </w:pPr>
      <w:r>
        <w:rPr>
          <w:sz w:val="18"/>
        </w:rPr>
        <w:t>——————————————————————————————————————————————————————————————————————</w:t>
      </w:r>
    </w:p>
    <w:p>
      <w:pPr>
        <w:spacing w:before="160" w:after="40" w:line="240" w:lineRule="auto"/>
      </w:pPr>
      <w:r>
        <w:rPr>
          <w:b/>
        </w:rPr>
        <w:t xml:space="preserve">[195] </w:t>
      </w:r>
      <w:hyperlink r:id="rId625">
        <w:r>
          <w:rPr>
            <w:color w:val="1155CC"/>
            <w:u w:val="single"/>
          </w:rPr>
          <w:t>单个 25 级原子 qdit 中的量子逻辑运算和算法</w:t>
        </w:r>
      </w:hyperlink>
    </w:p>
    <w:p>
      <w:pPr>
        <w:spacing w:before="0" w:after="80"/>
      </w:pPr>
      <w:r>
        <w:rPr>
          <w:i/>
          <w:sz w:val="20"/>
        </w:rPr>
        <w:t>EN: Quantum logic operations and algorithms in a single 25-level atomic qudit</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扩展量子计算机仍然是一项重大的科学和技术挑战。利用量子系统的全部固有自由度为增强算法性能和硬件效率提供了一条有希望的途径。我们实验研究了利用137Ba+离子进行量子信息处理，实现了高达25个内部能级的高保真状态准备和读出，从而形成了25维俘获离子量子。通过探测多达 24 种状态的叠加，我们研究了误差如何随量子维数 d 缩放，并确定了影响量子相干性的主要误差源。此外，我们通过实施 3 量子位 Bernstein-Vazirani 算法和具有单个捕获离子的 4 量子位 Toffoli 门来演示高维 qudit 操作。我们的研究结果表明，基于大维量子的量子计算架构具有重大前景。</w:t>
      </w:r>
    </w:p>
    <w:p>
      <w:pPr>
        <w:spacing w:before="0" w:after="200" w:lineRule="auto" w:line="276"/>
      </w:pPr>
      <w:r>
        <w:rPr>
          <w:b/>
        </w:rPr>
        <w:t xml:space="preserve">Abstract (EN): </w:t>
      </w:r>
      <w:r>
        <w:t>Scaling quantum computers remains a substantial scientific and technological challenge. Leveraging the full range of intrinsic degrees of freedom in quantum systems offers a promising route towards enhanced algorithmic performance and hardware efficiency. We experimentally study the use of 137Ba+ ions for quantum information processing, achieving high-fidelity state preparation and readout of up to 25 internal levels, thus forming a 25-dimensional trapped-ion qudit. By probing superpositions of up to 24 states, we investigate how errors scale with qudit dimension d and identify the primary error sources affecting quantum coherence. Additionally, we demonstrate high-dimensional qudit operations by implementing a 3-qubit Bernstein-Vazirani algorithm and a 4-qubit Toffoli gate with a single trapped-ion. Our findings suggest that quantum computing architectures based on large-dimensional qudits hold significant promise.</w:t>
      </w:r>
    </w:p>
    <w:p>
      <w:pPr>
        <w:spacing w:before="120" w:after="120"/>
      </w:pPr>
      <w:r>
        <w:rPr>
          <w:sz w:val="18"/>
        </w:rPr>
        <w:t>——————————————————————————————————————————————————————————————————————</w:t>
      </w:r>
    </w:p>
    <w:p>
      <w:pPr>
        <w:spacing w:before="160" w:after="40" w:line="240" w:lineRule="auto"/>
      </w:pPr>
      <w:r>
        <w:rPr>
          <w:b/>
        </w:rPr>
        <w:t xml:space="preserve">[196] </w:t>
      </w:r>
      <w:hyperlink r:id="rId626">
        <w:r>
          <w:rPr>
            <w:color w:val="1155CC"/>
            <w:u w:val="single"/>
          </w:rPr>
          <w:t>双波长光图案化解锁了液晶弹性体的空间可编程异质性</w:t>
        </w:r>
      </w:hyperlink>
    </w:p>
    <w:p>
      <w:pPr>
        <w:spacing w:before="0" w:after="80"/>
      </w:pPr>
      <w:r>
        <w:rPr>
          <w:i/>
          <w:sz w:val="20"/>
        </w:rPr>
        <w:t>EN: Dual-wavelength photopatterning unlocks spatially programmable heterogeneity in liquid crystal elastomers</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液晶弹性体（LCE）由于其可逆和各向异性变形而在软机器人和智能设备中蓬勃发展。为了模仿复杂的生物系统，光图案化由于其高分辨率和非接触式操作简单性，在将可编程空间异质性引入 LCE 方面发挥着至关重要的作用。然而，当前的光调节方法要么修改预先形成的均质网络，提供有限的可调性，要么不可避免地依赖热固化和专门设计的单体/反应，这会损害空间分辨率、灵活性和通用性。在这里，我们引入了一种双波长光图案化策略，该策略使用两种波长的光和 LCE 中最广泛使用的硫醇丙烯酸酯配方，在合成过程中直接实现空间可编程异质性。通过选择性触发自由基介导（365 nm）或碱催化聚合（450 nm），我们创建了具有不同特性的硬网络和软网络。通过灵活调节触发顺序和持续时间，我们在单个LCE内实现了连续梯度的无缝集成：实现了模量（1.3-14.8 MPa）、驱动应变（54-93%）的连续调谐以及向列相各向同性转变温度（Ti，55-110 °C）的最宽调谐范围。研究表明，即使是传统的 LCE 配方也可以实现多级加密、机械分化和仿生顺序驱动。该策略建立了一个多功能平台，用于设计下一代功能异构 LCE 设备</w:t>
      </w:r>
    </w:p>
    <w:p>
      <w:pPr>
        <w:spacing w:before="0" w:after="200" w:lineRule="auto" w:line="276"/>
      </w:pPr>
      <w:r>
        <w:rPr>
          <w:b/>
        </w:rPr>
        <w:t xml:space="preserve">Abstract (EN): </w:t>
      </w:r>
      <w:r>
        <w:t>Liquid crystal elastomers (LCEs) are blooming in soft robotics and intelligent devices due to their reversible and anisotropic deformation. To imitate sophisticated biological systems, photopatterning plays a crucial role in introducing programmable spatial heterogeneity into LCEs, due to its high resolution and non-contact operational simplicity. However, current photo-regulation methods either modify pre-formed homogeneous networks, offering limited tunability, or inevitably rely on thermal curing and specially designed monomers/reactions, which compromises spatial resolution, flexibility, and generality. Here, we introduce a dual-wavelength photopatterning strategy that enables spatially programmable heterogeneity directly during synthesis, using two wavelength of lights and the most widely accessible thiol-acrylate formulation in LCEs. By selectively triggering radical-mediated (365 nm) or base-catalyzed polymerization (450 nm), we create hard and soft networks with distinct properties. By flexibly regulating the triggering sequence and duration, we achieved seamless integration of continuous gradients within a single LCE: achieving the continuous tuning of modulus (1.3-14.8 MPa), actuation strain (54-93%) and, the broadest tuning range of nematic-isotropic transition temperature (Ti, 55-110 °C). It is indicated that even conventional LCE formulations can achieve multilevel encryption, mechanical differentiation, and bio‑inspired sequential actuation. This strategy establishes a versatile platform for designing functionally heterogeneous LCE devices for next-generation soft materials.</w:t>
      </w:r>
    </w:p>
    <w:p>
      <w:pPr>
        <w:spacing w:before="120" w:after="120"/>
      </w:pPr>
      <w:r>
        <w:rPr>
          <w:sz w:val="18"/>
        </w:rPr>
        <w:t>——————————————————————————————————————————————————————————————————————</w:t>
      </w:r>
    </w:p>
    <w:p>
      <w:pPr>
        <w:spacing w:before="160" w:after="40" w:line="240" w:lineRule="auto"/>
      </w:pPr>
      <w:r>
        <w:rPr>
          <w:b/>
        </w:rPr>
        <w:t xml:space="preserve">[197] </w:t>
      </w:r>
      <w:hyperlink r:id="rId627">
        <w:r>
          <w:rPr>
            <w:color w:val="1155CC"/>
            <w:u w:val="single"/>
          </w:rPr>
          <w:t>竞争的结构顺序阻碍金属玻璃中的结晶</w:t>
        </w:r>
      </w:hyperlink>
    </w:p>
    <w:p>
      <w:pPr>
        <w:spacing w:before="0" w:after="80"/>
      </w:pPr>
      <w:r>
        <w:rPr>
          <w:i/>
          <w:sz w:val="20"/>
        </w:rPr>
        <w:t>EN: Competing structural orders frustrate crystallization in a metallic glass</w:t>
      </w:r>
    </w:p>
    <w:p>
      <w:pPr>
        <w:spacing w:before="0" w:after="120"/>
      </w:pPr>
      <w:r>
        <w:rPr>
          <w:b/>
        </w:rPr>
        <w:t xml:space="preserve">Source: </w:t>
      </w:r>
      <w:r>
        <w:t>Physical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结构挫败被认为在抑制结晶和促进玻璃形成方面发挥着关键作用，但通过实验量化和理解玻璃中的结构挫败仍然极具挑战性。在这里，我们利用原位高温高能同步加速器 X 射线衍射结合传统和超快差示扫描量热法，系统地研究了原型金属玻璃形成体 Cu46Zr42Al7Y5 在玻璃化转变和加热结晶过程中的结构演化。通过探讨玻璃化转变和结晶之间在较宽的加热速率范围内的动力学相互作用，我们在第一放热过程的性质中确定了与加热速率相关的交叉：在高速率下，它与类似常规的结晶相关，而在低速率下，它对应于类似多非晶的非晶-非晶转变。对不断演化的中短程有序的定量分析表明，这些结构演化路径是由局部有利有序和扩展类晶体有序之间的竞争控制的，这提供了直接的实验证据，表明这种结构竞争可以抑制结晶并稳定玻璃态。这些发现为金属玻璃结构挫败与结构稳定性之间的复杂关系提供了基本见解。</w:t>
      </w:r>
    </w:p>
    <w:p>
      <w:pPr>
        <w:spacing w:before="0" w:after="200" w:lineRule="auto" w:line="276"/>
      </w:pPr>
      <w:r>
        <w:rPr>
          <w:b/>
        </w:rPr>
        <w:t xml:space="preserve">Abstract (EN): </w:t>
      </w:r>
      <w:r>
        <w:t>Structural frustration is believed to play a key role in suppressing crystallization and promoting glass formation, yet experimentally quantifying and understanding the structural frustration in glasses remains highly challenging. Here, we systematically investigate the structural evolution of a prototypical metallic glass-former, Cu46Zr42Al7Y5, during its glass transition and crystallization upon heating, using in-situ high-temperature high-energy synchrotron x-ray diffraction in combination with conventional and ultrafast differential scanning calorimetry. By probing the kinetic interplay between glass transition and crystallization over a broad range of heating rates, we identify a heating-rate-dependent crossover in the nature of the first exothermic process: at high rates it is associated with conventional-like crystallization, whereas at low rates it corresponds to a polyamorphic-like amorphous-amorphous transition. Quantitative analysis of the evolving medium- and short-range order reveals that these structural evolution pathways are governed by the competition between locally favored ordering and extended crystal-like ordering, providing direct experimental evidence that such structural competition can frustrate crystallization and stabilize the glassy state. These findings provide fundamental insights into the intricate relationship between structural frustration and structural stability in metallic glasses.</w:t>
      </w:r>
    </w:p>
    <w:p>
      <w:pPr>
        <w:spacing w:before="120" w:after="120"/>
      </w:pPr>
      <w:r>
        <w:rPr>
          <w:sz w:val="18"/>
        </w:rPr>
        <w:t>——————————————————————————————————————————————————————————————————————</w:t>
      </w:r>
    </w:p>
    <w:p>
      <w:pPr>
        <w:spacing w:before="160" w:after="40" w:line="240" w:lineRule="auto"/>
      </w:pPr>
      <w:r>
        <w:rPr>
          <w:b/>
        </w:rPr>
        <w:t xml:space="preserve">[198] </w:t>
      </w:r>
      <w:hyperlink r:id="rId628">
        <w:r>
          <w:rPr>
            <w:color w:val="1155CC"/>
            <w:u w:val="single"/>
          </w:rPr>
          <w:t>光敏色素 B 通过分级成核剂状态和播种位点功效设定凝结物数量</w:t>
        </w:r>
      </w:hyperlink>
    </w:p>
    <w:p>
      <w:pPr>
        <w:spacing w:before="0" w:after="80"/>
      </w:pPr>
      <w:r>
        <w:rPr>
          <w:i/>
          <w:sz w:val="20"/>
        </w:rPr>
        <w:t>EN: Phytochrome B sets condensate number through graded nucleator states and seeding-site efficacy</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光体 (PB) 是由光敏色素 B (phyB) 组织的核凝聚物，在确定的亚核播种位点成核，并随着变暖而减少数量。细胞如何设定 PB 数（更广泛地说，冷凝物数）仍然知之甚少。在这里，我们展示了 phyB 的输出模块 (OPM) 作为所有位点定义的 PB 类型的通用成核剂，而光传感模块 (PSM) 减弱了这种活动，从而实现环境控制。一致地，OPM 中的错义取代在基因上将内在成核能力与 PSM 介导的调节分开。出乎意料的是，组成性活跃的 phyBY276H 等位基因定义了低活性成核状态，支持具有不同成核效力的分级活性构象。温度通过两个可分离的输入（phyB 热回复（成核状态）和温度响应的播种位点功效）调节 PB 数，其贡献因位点和细胞类型而异。总之，这些结果区分了成核控制（数量）和生长控制（尺寸），并表明凝结物数量由成核剂状态和晶种位点功效共同决定。</w:t>
      </w:r>
    </w:p>
    <w:p>
      <w:pPr>
        <w:spacing w:before="0" w:after="200" w:lineRule="auto" w:line="276"/>
      </w:pPr>
      <w:r>
        <w:rPr>
          <w:b/>
        </w:rPr>
        <w:t xml:space="preserve">Abstract (EN): </w:t>
      </w:r>
      <w:r>
        <w:t>Photobodies (PBs) are phytochrome B (phyB)-organized nuclear condensates that nucleate at defined subnuclear seeding sites and decrease in number with warming. How cells set PB number—and, more broadly, condensate number—remains poorly understood. Here we show that phyB’s output module (OPM) functions as a universal nucleator for all site-defined PB types, whereas the photosensory module (PSM) attenuates this activity, enabling environmental control. Consistently, missense substitutions in OPM genetically separate intrinsic nucleation potency from PSM-mediated regulation. Unexpectedly, the constitutively active phyBY276H allele defines a hypoactive nucleation state, supporting graded active conformations with distinct nucleation potency. Temperature tunes PB number through two separable inputs—phyB thermal reversion (nucleator state) and temperature-responsive seeding-site efficacy—whose contributions vary across sites and cell types. Together, these results distinguish nucleation control (number) from growth control (size) and show that condensate number is jointly determined by nucleator state and seeding-site efficacy.</w:t>
      </w:r>
    </w:p>
    <w:p>
      <w:pPr>
        <w:spacing w:before="120" w:after="120"/>
      </w:pPr>
      <w:r>
        <w:rPr>
          <w:sz w:val="18"/>
        </w:rPr>
        <w:t>——————————————————————————————————————————————————————————————————————</w:t>
      </w:r>
    </w:p>
    <w:p>
      <w:pPr>
        <w:spacing w:before="160" w:after="40" w:line="240" w:lineRule="auto"/>
      </w:pPr>
      <w:r>
        <w:rPr>
          <w:b/>
        </w:rPr>
        <w:t xml:space="preserve">[199] </w:t>
      </w:r>
      <w:hyperlink r:id="rId629">
        <w:r>
          <w:rPr>
            <w:color w:val="1155CC"/>
            <w:u w:val="single"/>
          </w:rPr>
          <w:t>预处理细菌细胞状态影响抗生素诱导的转录重编程和存活</w:t>
        </w:r>
      </w:hyperlink>
    </w:p>
    <w:p>
      <w:pPr>
        <w:spacing w:before="0" w:after="80"/>
      </w:pPr>
      <w:r>
        <w:rPr>
          <w:i/>
          <w:sz w:val="20"/>
        </w:rPr>
        <w:t>EN: Pre-treatment bacterial cell states shape antibiotic-induced transcriptional reprogramming and survival</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细菌可以通过表型适应在抗生素治疗中存活下来，这一过程通常是短暂的，并且涉及异质转录重编程。然而，这种转录异质性是如何产生的以及它如何影响抗生素的存活仍不清楚。在这里，我们使用肺炎克雷伯菌的细菌单细胞 RNA 测序和功能测定来表征转录异质性，并检查治疗前的细胞状态与抗生素诱导的反应和生存结果之间的关系。使用生长期作为转录变异的生物学意义轴，我们发现即使在同基因群体中，也可以诱导不同的转录反应并共同促进生存。这些反应是由细胞治疗前的转录状态和抗生素作用机制决定的。遗传和环境扰动，例如 rpoS 缺失和营养补充，会改变治疗前的细胞状态并改变存活频率。我们的研究结果确立了由预处理细胞状态形成的转录异质性的生物学意义，为理解细菌抗生素反应提供了系统级框架，并提出了通过调节细胞状态来增强抗生素功效的策略。</w:t>
      </w:r>
    </w:p>
    <w:p>
      <w:pPr>
        <w:spacing w:before="0" w:after="200" w:lineRule="auto" w:line="276"/>
      </w:pPr>
      <w:r>
        <w:rPr>
          <w:b/>
        </w:rPr>
        <w:t xml:space="preserve">Abstract (EN): </w:t>
      </w:r>
      <w:r>
        <w:t>Bacteria can survive antibiotic treatment through phenotypic adaptation, a process that is often transient and involves heterogeneous transcriptional reprogramming. However, how this transcriptional heterogeneity is generated and how it influences antibiotic survival remains unclear. Here, we use bacterial single-cell RNA sequencing and functional assays in Klebsiella pneumoniae to characterize transcriptional heterogeneity and examine how pre-treatment cell states are associated with antibiotic-induced responses and survival outcomes. Using growth phase as a biologically meaningful axis of transcriptional variation, we reveal that even within an isogenic population, distinct transcriptional responses can be induced and co-contribute to survival. These responses are shaped by the cell’s pre-treatment transcriptional state and the mechanism of antibiotic action. Genetic and environmental perturbations, such as rpoS deletion and nutrient supplementation, shift pre-treatment cell states and alter survival frequencies. Our findings establish the biological significance of transcriptional heterogeneity shaped by pre-treatment cell states, providing a systems-level framework for understanding bacterial antibiotic response and suggesting strategies to enhance antibiotic efficacy by modulating cell states.</w:t>
      </w:r>
    </w:p>
    <w:p>
      <w:pPr>
        <w:spacing w:before="120" w:after="120"/>
      </w:pPr>
      <w:r>
        <w:rPr>
          <w:sz w:val="18"/>
        </w:rPr>
        <w:t>——————————————————————————————————————————————————————————————————————</w:t>
      </w:r>
    </w:p>
    <w:p>
      <w:pPr>
        <w:spacing w:before="160" w:after="40" w:line="240" w:lineRule="auto"/>
      </w:pPr>
      <w:r>
        <w:rPr>
          <w:b/>
        </w:rPr>
        <w:t xml:space="preserve">[200] </w:t>
      </w:r>
      <w:hyperlink r:id="rId630">
        <w:r>
          <w:rPr>
            <w:color w:val="1155CC"/>
            <w:u w:val="single"/>
          </w:rPr>
          <w:t>枯草芽孢杆菌中应激诱导的核糖体降解是由 RNase Y 特异性复合物介导的</w:t>
        </w:r>
      </w:hyperlink>
    </w:p>
    <w:p>
      <w:pPr>
        <w:spacing w:before="0" w:after="80"/>
      </w:pPr>
      <w:r>
        <w:rPr>
          <w:i/>
          <w:sz w:val="20"/>
        </w:rPr>
        <w:t>EN: Stress-induced ribosome degradation in Bacillus subtilis is mediated by the RNase Y-specificity complex</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限制核糖体合成和活性对于适应应激（例如热或营养饥饿）至关重要。在枯草芽孢杆菌中，这可以通过警报素 (p)ppGpp 和转录因子 Spx 的协调作用来实现。在这里，我们进行了遗传筛选，以确定有助于枯草芽孢杆菌热休克反应的新因素。我们确定了 Y 复合物，它赋予核酸内切酶 RNase Y 特异性，在应激条件下（例如热或进入稳定期）发挥关键作用。这种蛋白质复合物是多种 RNA 的靶向和加工所必需的，特别是编码参与翻译和代谢的蛋白质的 mRNA 的成熟。我们进一步证明 Y 复合物和 RNase Y 启动成熟核糖体 rRNA 的降解，降低其丰度。我们认为Y复合体是调节基因表达、调整蛋白质合成和资源分配的调节中心。</w:t>
      </w:r>
    </w:p>
    <w:p>
      <w:pPr>
        <w:spacing w:before="0" w:after="200" w:lineRule="auto" w:line="276"/>
      </w:pPr>
      <w:r>
        <w:rPr>
          <w:b/>
        </w:rPr>
        <w:t xml:space="preserve">Abstract (EN): </w:t>
      </w:r>
      <w:r>
        <w:t>Limiting ribosome synthesis and activity is crucial for adaptation to stresses, such as heat or nutrient starvation. In Bacillus subtilis, this can be achieved through the coordinated action of the alarmones (p)ppGpp and the transcription factor Spx. Here, we performed a genetic screen to identify novel factors that contribute to the heat shock response in B. subtilis. We identified the Y-complex, which confers specificity to the endonuclease RNase Y, as a critical player under stress conditions, such as heat or transition into the stationary phase. This protein complex is required for the targeting and processing of diverse RNAs, notably the maturation of mRNAs encoding proteins involved in translation and metabolism. We further demonstrate that the Y-complex and RNase Y initiate the degradation of rRNAs of mature ribosomes, lowering their abundance. We propose that the Y-complex is a regulatory hub that modulates gene expression, adjusts protein synthesis and resource allocation.</w:t>
      </w:r>
    </w:p>
    <w:p>
      <w:pPr>
        <w:spacing w:before="120" w:after="120"/>
      </w:pPr>
      <w:r>
        <w:rPr>
          <w:sz w:val="18"/>
        </w:rPr>
        <w:t>——————————————————————————————————————————————————————————————————————</w:t>
      </w:r>
    </w:p>
    <w:p>
      <w:pPr>
        <w:spacing w:before="160" w:after="40" w:line="240" w:lineRule="auto"/>
      </w:pPr>
      <w:r>
        <w:rPr>
          <w:b/>
        </w:rPr>
        <w:t xml:space="preserve">[201] </w:t>
      </w:r>
      <w:hyperlink r:id="rId631">
        <w:r>
          <w:rPr>
            <w:color w:val="1155CC"/>
            <w:u w:val="single"/>
          </w:rPr>
          <w:t>拮抗多效性基因调节脊椎动物的生长、成熟和寿命</w:t>
        </w:r>
      </w:hyperlink>
    </w:p>
    <w:p>
      <w:pPr>
        <w:spacing w:before="0" w:after="80"/>
      </w:pPr>
      <w:r>
        <w:rPr>
          <w:i/>
          <w:sz w:val="20"/>
        </w:rPr>
        <w:t>EN: An antagonistically pleiotropic gene regulates vertebrate growth, maturity, and lifespan</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衰老的拮抗多效性理论预测了早年健康和晚年健康之间的遗传权衡。然而，脊椎动物中这种权衡的经验证据仍然很少，特别是来自因果遗传实验的证据。在这里，将绿松石鳉鱼（Nothobranchius Furzeri）的遗传扰动与纵向表型分析相结合，我们鉴定出类退化基因 3 (vgll3)，该基因先前通过 GWAS 与人类和雄性大西洋鲑鱼的成熟年龄联系起来，是一种具有拮抗多效性效应的基因。选择性破坏 vgll3 同工型以剂量依赖性方式加速雄性生长和成熟。转录组和细胞分析表明细胞分裂增加，体内种系和肠道干细胞增殖增加证实了这一点。然而，生命早期的成熟会带来晚年的代价，这与 DNA 损伤反应的改变有关。老年突变男性会发展出黑色素瘤样肿瘤，通过移植到免疫缺陷的 rag2 模型中得到验证，并表现出缩短的寿命。因此，我们将 vgll3 确定为生活史变异的关键调节因子，具有跨年龄的拮抗作用，平衡早期健康与晚期死亡率。</w:t>
      </w:r>
    </w:p>
    <w:p>
      <w:pPr>
        <w:spacing w:before="0" w:after="200" w:lineRule="auto" w:line="276"/>
      </w:pPr>
      <w:r>
        <w:rPr>
          <w:b/>
        </w:rPr>
        <w:t xml:space="preserve">Abstract (EN): </w:t>
      </w:r>
      <w:r>
        <w:t>The antagonistic pleiotropy theory of aging predicts genetic trade-offs between early-life and late-life fitness. However, empirical evidence for such trade-offs in vertebrates remains scarce, particularly from causal genetic experiments. Here, combining genetic perturbation with longitudinal phenotyping in the turquoise killifish (Nothobranchius furzeri), we identify vestigial-like 3 (vgll3), previously linked by GWAS to age at maturity in humans and male Atlantic salmon, as a gene with antagonistically pleiotropic effects. Selective disruption of vgll3 isoforms accelerates male growth and maturation in a dose-dependent manner. Transcriptomic and cellular analyses indicated increased cell division, corroborated in vivo by elevated germline and intestinal stem-cell proliferation. However, early-life maturation incurs a late-life cost, linked to altered DNA damage response. Older mutant males develop melanoma-like tumors, validated via transplantation into immunodeficient rag2 models, and exhibit a shortened lifespan. Thus, we identify vgll3 as a key regulator of life-history variation with antagonistic effects across ages, balancing early-life fitness against late-life mortality.</w:t>
      </w:r>
    </w:p>
    <w:p>
      <w:pPr>
        <w:spacing w:before="120" w:after="120"/>
      </w:pPr>
      <w:r>
        <w:rPr>
          <w:sz w:val="18"/>
        </w:rPr>
        <w:t>——————————————————————————————————————————————————————————————————————</w:t>
      </w:r>
    </w:p>
    <w:p>
      <w:pPr>
        <w:spacing w:before="160" w:after="40" w:line="240" w:lineRule="auto"/>
      </w:pPr>
      <w:r>
        <w:rPr>
          <w:b/>
        </w:rPr>
        <w:t xml:space="preserve">[202] </w:t>
      </w:r>
      <w:hyperlink r:id="rId632">
        <w:r>
          <w:rPr>
            <w:color w:val="1155CC"/>
            <w:u w:val="single"/>
          </w:rPr>
          <w:t>人 SMUG1 从 DNA 中去除尿嘧啶的结构基础</w:t>
        </w:r>
      </w:hyperlink>
    </w:p>
    <w:p>
      <w:pPr>
        <w:spacing w:before="0" w:after="80"/>
      </w:pPr>
      <w:r>
        <w:rPr>
          <w:i/>
          <w:sz w:val="20"/>
        </w:rPr>
        <w:t>EN: Structural basis for uracil removal from DNA by human SMUG1</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人单链选择性单功能尿嘧啶 DNA 糖基化酶 1 (hSMUG1) 可从 DNA 中去除尿嘧啶、5-羟甲基尿嘧啶 (5hmU) 和 5-氟尿嘧啶 (5FU)，从而启动碱基切除修复 (BER) 过程。 hSMUG1 对于维持基因组完整性很重要，并且在癌症生物学中发挥着重要作用。在这里，我们展示了 hSMUG1 的结构，包括与产物（尿嘧啶和 5FU）的复合物以及 hSMUG1 与双链 DNA（dsDNA）的酶产物复合物。对 hSMUG1-dsDNA 复合物的分析揭示了尿嘧啶如何从 dsDNA 中翻转出来进行切除，并鉴定了我们确认对 DNA 结合和酶活性至关重要的关键残基。此外，我们的 hSMUG1 底物复合物、分子动力学模拟和中子衍射数据表明底物尿嘧啶在碱基切除后旋转的机制。这里提供的结构和功能信息对于未来开发针对 hSMUG1 的抑制剂和/或激活剂非常有用。</w:t>
      </w:r>
    </w:p>
    <w:p>
      <w:pPr>
        <w:spacing w:before="0" w:after="200" w:lineRule="auto" w:line="276"/>
      </w:pPr>
      <w:r>
        <w:rPr>
          <w:b/>
        </w:rPr>
        <w:t xml:space="preserve">Abstract (EN): </w:t>
      </w:r>
      <w:r>
        <w:t>Human single-strand-selective monofunctional uracil DNA glycosylase 1 (hSMUG1) removes uracil, 5-hydroxymethyluracil (5hmU) and 5-fluorouracil (5FU) from DNA, thereby initiating the base excision repair (BER) process. hSMUG1 is important for maintaining genomic integrity and plays a significant role in cancer biology. Here, we present the structures of hSMUG1, including complexes with products (uracil and 5FU) and an enzyme-product complex of hSMUG1 with double-stranded DNA (dsDNA). Analysis of our hSMUG1-dsDNA complex reveals how uracil is flipped out of the dsDNA for excision and identifies key residues that we confirm to be critical for both DNA binding and enzymatic activity. Furthermore, our hSMUG1 substrate complexes, molecular dynamics simulations and neutron diffraction data suggest a mechanism by which the substrate uracil rotates following base excision. The structural and functional information presented here will be highly useful for the future development of inhibitors and/or activators targeting hSMUG1.</w:t>
      </w:r>
    </w:p>
    <w:p>
      <w:pPr>
        <w:spacing w:before="120" w:after="120"/>
      </w:pPr>
      <w:r>
        <w:rPr>
          <w:sz w:val="18"/>
        </w:rPr>
        <w:t>——————————————————————————————————————————————————————————————————————</w:t>
      </w:r>
    </w:p>
    <w:p>
      <w:pPr>
        <w:spacing w:before="160" w:after="40" w:line="240" w:lineRule="auto"/>
      </w:pPr>
      <w:r>
        <w:rPr>
          <w:b/>
        </w:rPr>
        <w:t xml:space="preserve">[203] </w:t>
      </w:r>
      <w:hyperlink r:id="rId633">
        <w:r>
          <w:rPr>
            <w:color w:val="1155CC"/>
            <w:u w:val="single"/>
          </w:rPr>
          <w:t>自组装类室心脏类器官，用于模拟心室形成和心脏毒性评估</w:t>
        </w:r>
      </w:hyperlink>
    </w:p>
    <w:p>
      <w:pPr>
        <w:spacing w:before="0" w:after="80"/>
      </w:pPr>
      <w:r>
        <w:rPr>
          <w:i/>
          <w:sz w:val="20"/>
        </w:rPr>
        <w:t>EN: Self-assembled chamber-like cardiac organoids for modeling cardiac chamber formation and cardiotoxicity assessment</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人类心脏仍然是生物医学研究的中心焦点，但在体外捕获早期心室形态发生的结构和功能保真度仍然具有挑战性。在这里，我们展示了从人类多能干细胞生成心室样心脏类器官（CCO），它再现了心室发育的关键特征。 CCO 的形成由 FGF、WNT、BMP、RA 和 AA 信号传导协调协调，并受 HAND1、TFAP2B 和 NR2F2 等转录因子调节。这些 CCO 表现出稳定的自组织结构，包括心肌、内皮层和内室，表现出自发收缩和钙瞬变。单细胞转录组学揭示了 WNT2B 介导的内皮细胞与心肌细胞的相互作用，表明协调的组织模式。我们进一步验证了 RA 和 AA 在调节腔室扩大和稳定性方面的重要作用。此外，CCO 通过直接可视化药物引起的变化，能够有效评估心脏毒性和致畸性。总之，该平台为研究心脏发育、机制研究和药理学筛选提供了一个强大的模型。</w:t>
      </w:r>
    </w:p>
    <w:p>
      <w:pPr>
        <w:spacing w:before="0" w:after="200" w:lineRule="auto" w:line="276"/>
      </w:pPr>
      <w:r>
        <w:rPr>
          <w:b/>
        </w:rPr>
        <w:t xml:space="preserve">Abstract (EN): </w:t>
      </w:r>
      <w:r>
        <w:t>The human heart remains a central focus of biomedical research, yet capturing early chamber morphogenesis in vitro with structural and functional fidelity remains challenging. Here we show the generation of chamber-like cardiac organoids (CCOs) from human pluripotent stem cells that reproduce key features of heart chamber development. CCO formation is orchestrated by coordinated FGF, WNT, BMP, RA, and AA signaling, and regulated by transcription factors including HAND1, TFAP2B and NR2F2. These CCOs exhibit stable self-organized architectures with myocardial, endothelial layers and inner chamber, displaying spontaneous contraction and calcium transients. Single-cell transcriptomics revealed endothelium-to-cardiomyocyte interactions mediated by WNT2B, suggesting coordinated tissue patterning. We further validated the essential roles of RA and AA in modulating chamber enlargement and stability. Furthermore, CCOs enable efficient evaluation of cardiotoxicity and teratogenicity through direct visualization of drug-induced changes. Together, this platform provides a robust model for studying cardiac development, mechanistic research, and pharmacological screening.</w:t>
      </w:r>
    </w:p>
    <w:p>
      <w:pPr>
        <w:spacing w:before="120" w:after="120"/>
      </w:pPr>
      <w:r>
        <w:rPr>
          <w:sz w:val="18"/>
        </w:rPr>
        <w:t>——————————————————————————————————————————————————————————————————————</w:t>
      </w:r>
    </w:p>
    <w:p>
      <w:pPr>
        <w:spacing w:before="160" w:after="40" w:line="240" w:lineRule="auto"/>
      </w:pPr>
      <w:r>
        <w:rPr>
          <w:b/>
        </w:rPr>
        <w:t xml:space="preserve">[204] </w:t>
      </w:r>
      <w:hyperlink r:id="rId634">
        <w:r>
          <w:rPr>
            <w:color w:val="1155CC"/>
            <w:u w:val="single"/>
          </w:rPr>
          <w:t>共生细菌产生含有核酸货物的非裂解性囊泡</w:t>
        </w:r>
      </w:hyperlink>
    </w:p>
    <w:p>
      <w:pPr>
        <w:spacing w:before="0" w:after="80"/>
      </w:pPr>
      <w:r>
        <w:rPr>
          <w:i/>
          <w:sz w:val="20"/>
        </w:rPr>
        <w:t>EN: Symbiotic bacteria produce non-lytic vesicles with nucleic acid cargo</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肠道中的共生细菌对其宿主具有重要的生理影响，但分子信号交换的机制仍知之甚少。膜囊泡被认为可以介导核酸（NA）等细胞质内容物的直接交换，但其研究因其类型和组成的相互矛盾和不精确的报道而变得复杂。在这里，我们证明蜜蜂肠道共生体产生富含 NA 的非溶解膜囊泡 (MV)，这可能解释了蜜蜂中工程化的 Snodgrassella alvi 的 RNAi 活性。使用低温电子显微镜 (cryo-EM)，我们开发了一种区分革兰氏阴性细菌中裂解性和非裂解性 MV 产生的方法，并根据膜超微结构区分外膜囊泡 (OMV) 和外膜囊泡 (OIMV)。在研究的菌株中，S. alvi、Gilliamella apicola 和 Gilliamella apis 表现出清晰的 OMV 和 OIMV 出芽，而大肠杆菌和肠沙门氏菌则显示出膜碎片和自组装囊泡，表明裂解释放。来自共生体的 MV 比非共生体携带更多的 NA。对 DNA 和 RNA 含量的分析证实了 S. alvi 中 MV 货物的细胞质起源，表明其在介导 NA 向昆虫宿主的传递中发挥作用。这些发现增强了我们对共生囊泡的理解，并强调了工程共生体增强蜜蜂免疫力并通过囊泡运输提供基于 NA 的治疗的潜力。</w:t>
      </w:r>
    </w:p>
    <w:p>
      <w:pPr>
        <w:spacing w:before="0" w:after="200" w:lineRule="auto" w:line="276"/>
      </w:pPr>
      <w:r>
        <w:rPr>
          <w:b/>
        </w:rPr>
        <w:t xml:space="preserve">Abstract (EN): </w:t>
      </w:r>
      <w:r>
        <w:t>Symbiotic bacteria in the gut have an important physiological impact on their hosts, but the mechanisms that underlie the exchange of molecular signals remain poorly understood. Membrane vesicles have been suggested to mediate the direct exchange of cytoplasmic content like nucleic acids (NAs), but their study is complicated by conflicting and imprecise reports of their type and composition. Here, we show that honeybee gut symbionts produce non-lytic membrane vesicles (MVs) enriched in NA, potentially explaining the RNAi activity of engineered Snodgrassella alvi in honeybees. Using cryogenic electron microscopy (cryo-EM), we developed a method to distinguish lytic from non-lytic MV production in Gram-negative bacteria and to differentiate outer membrane vesicles (OMVs) from outer-inner membrane vesicles (OIMVs) based on membrane ultrastructure. Among the strains studied, S. alvi, Gilliamella apicola, and Gilliamella apis exhibit clear OMV and OIMV budding, while Escherichia coli and Salmonella enterica show membrane debris and self-assembled vesicles, indicating lytic release. MVs from the symbionts carry significantly more NAs than non-symbionts. Assays on DNA and RNA contents confirm the cytoplasmic origin of MV cargo in S. alvi, suggesting a role in mediating NA delivery to the insect host. These findings enhance our understanding of symbiotic vesiculation and highlight the potential for engineering symbionts to boost honeybee immunity and deliver NA-based therapeutics via vesicular transport.</w:t>
      </w:r>
    </w:p>
    <w:p>
      <w:pPr>
        <w:spacing w:before="120" w:after="120"/>
      </w:pPr>
      <w:r>
        <w:rPr>
          <w:sz w:val="18"/>
        </w:rPr>
        <w:t>——————————————————————————————————————————————————————————————————————</w:t>
      </w:r>
    </w:p>
    <w:p>
      <w:pPr>
        <w:spacing w:before="160" w:after="40" w:line="240" w:lineRule="auto"/>
      </w:pPr>
      <w:r>
        <w:rPr>
          <w:b/>
        </w:rPr>
        <w:t xml:space="preserve">[205] </w:t>
      </w:r>
      <w:hyperlink r:id="rId635">
        <w:r>
          <w:rPr>
            <w:color w:val="1155CC"/>
            <w:u w:val="single"/>
          </w:rPr>
          <w:t>ARID1A缺失通过调节粘蛋白的产生和分泌而导致胃印戒细胞癌</w:t>
        </w:r>
      </w:hyperlink>
    </w:p>
    <w:p>
      <w:pPr>
        <w:spacing w:before="0" w:after="80"/>
      </w:pPr>
      <w:r>
        <w:rPr>
          <w:i/>
          <w:sz w:val="20"/>
        </w:rPr>
        <w:t>EN: ARID1A loss drives gastric signet ring cell carcinoma by regulating mucin production and secretion</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印戒细胞癌（SRCC）是一种具有独特组织学特征的致命恶性肿瘤，其特征是细胞质中积累的粘蛋白压缩细胞核。胃SRCC是最常见的SRCC，近年来发病率呈上升趋势。组织病理学的分子机制仍然知之甚少。在这里，我们报道了富含 AT 的相互作用结构域蛋白 1 A (ARID1A)，胃 SRCC 中最常见的突变基因之一，具有真正的肿瘤抑制因子的功能。它的缺失与 Trp53 和 Pten 的缺失一起，导致小鼠出现 SRCC。从机制上讲，Arid1a 缺失通过竞争性的含有 BRD9 的 ncBAF 复合物上调粘蛋白的表达。 Scin 的下调会损害粘蛋白分泌，Scin 是 SRCC 中 Arid1a 的直接靶标。抑制 Brd9 可改善 SRCC 的恶性程度。因此，我们的研究揭示了 ARID1A 在粘蛋白产生和分泌中的双重作用，为 SRCC 提供了新的机制见解和潜在的治疗漏洞。</w:t>
      </w:r>
    </w:p>
    <w:p>
      <w:pPr>
        <w:spacing w:before="0" w:after="200" w:lineRule="auto" w:line="276"/>
      </w:pPr>
      <w:r>
        <w:rPr>
          <w:b/>
        </w:rPr>
        <w:t xml:space="preserve">Abstract (EN): </w:t>
      </w:r>
      <w:r>
        <w:t>Signet ring cell carcinoma (SRCC) is a lethal malignancy with distinct histologic features, characterized by accumulated mucins in the cytoplasm which compress nuclei. Gastric SRCC is the most common SRCC whose incidence is increasing in recent years. The molecular mechanisms underlying the histopathology remain poorly understood. Here, we report that AT-rich interactive domain-containing protein 1 A (ARID1A), one of the most frequently mutated genes in gastric SRCC, functions as a bona fide tumor suppressor. Its loss, together with Trp53 and Pten loss, drives SRCC in mice. Mechanistically, Arid1a loss upregulates the expressions of mucins through the competing BRD9-containing ncBAF complex. And mucin secretion is impaired by the downregulation of Scin, a direct target of Arid1a in SRCC. Inhibition of Brd9 ameliorates the malignancy of SRCC. Thus, our study reveals dual roles of ARID1A in both mucin production and secretion, providing new mechanistic insights and potential therapeutic vulnerabilities in SRCC.</w:t>
      </w:r>
    </w:p>
    <w:p>
      <w:pPr>
        <w:spacing w:before="120" w:after="120"/>
      </w:pPr>
      <w:r>
        <w:rPr>
          <w:sz w:val="18"/>
        </w:rPr>
        <w:t>——————————————————————————————————————————————————————————————————————</w:t>
      </w:r>
    </w:p>
    <w:p>
      <w:pPr>
        <w:spacing w:before="160" w:after="40" w:line="240" w:lineRule="auto"/>
      </w:pPr>
      <w:r>
        <w:rPr>
          <w:b/>
        </w:rPr>
        <w:t xml:space="preserve">[206] </w:t>
      </w:r>
      <w:hyperlink r:id="rId636">
        <w:r>
          <w:rPr>
            <w:color w:val="1155CC"/>
            <w:u w:val="single"/>
          </w:rPr>
          <w:t>鞘氨醇激酶 2 抑制通过乙酰辅酶 A 羧化酶 - 磷脂酰胆碱轴促进骨髓源性抑制细胞的免疫原性分化</w:t>
        </w:r>
      </w:hyperlink>
    </w:p>
    <w:p>
      <w:pPr>
        <w:spacing w:before="0" w:after="80"/>
      </w:pPr>
      <w:r>
        <w:rPr>
          <w:i/>
          <w:sz w:val="20"/>
        </w:rPr>
        <w:t>EN: Sphingosine kinase-2 inhibition promotes immunogenic differentiation of myeloid-derived suppressor cells through an Acetyl-CoA carboxylase-phosphatidylcholine axis</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肿瘤微环境 (TME) 中的骨髓源性抑制细胞 (MDSC) 限制了过继性 T 细胞疗法的疗效，凸显了克服肿瘤相关免疫抑制的必要性。 1-磷酸鞘氨醇 (S1P) 是 TME 中丰富的信号脂质。在这里，我们发现，抑制鞘氨醇激酶-2 (SphK2)（MDSC 中产生 S1P 的酶）会降低单核 MDSC (M-MDSC) 的抑制活性，同时促进其分化为成熟的免疫原性表型，其特征是抗原呈递增强。药理学 SphK2 抑制通过减轻 MDSC 介导的抑制和限制肿瘤进展，增强检查点耐药性乳腺癌、膀胱癌和黑色素瘤临床前模型中对抗 PD-1 治疗的反应。从机制上讲，S1P 直接结合乙酰辅酶 A 羧化酶 1 (ACC1) 以抑制其活性，从而重新连接脂肪酸代谢。降低细胞内 S1P 可恢复 ACC 活性，促进磷脂酰胆碱合成，并减少 MDSC 免疫抑制。这些发现将 SphK2-ACC-磷脂轴确定为控制 MDSC 免疫原性的代谢检查点和增强癌症免疫治疗的潜在治疗靶点。</w:t>
      </w:r>
    </w:p>
    <w:p>
      <w:pPr>
        <w:spacing w:before="0" w:after="200" w:lineRule="auto" w:line="276"/>
      </w:pPr>
      <w:r>
        <w:rPr>
          <w:b/>
        </w:rPr>
        <w:t xml:space="preserve">Abstract (EN): </w:t>
      </w:r>
      <w:r>
        <w:t>Myeloid-derived suppressor cells (MDSCs) in the tumor microenvironment (TME) limit the efficacy of adoptive T cell therapies, highlighting the need to overcome tumor-associated immunosuppression. Sphingosine-1-phosphate (S1P), is an abundant signaling lipid in the TME. Here, we show that inhibition of sphingosine kinase-2 (SphK2), the enzyme generating S1P in MDSCs, reduces the suppressive activity of monocytic MDSCs (M-MDSCs) while promoting their differentiation toward a mature, immunogenic phenotype characterized by enhanced antigen presentation. Pharmacological SphK2 inhibition enhances the response to anti–PD–1 therapy in preclinical models of checkpoint-resistant breast, bladder, and melanoma cancers by mitigating MDSC-mediated suppression and limiting tumor progression. Mechanistically, S1P directly binds acetyl-CoA carboxylase-1 (ACC1) to inhibit its activity, thereby rewiring fatty-acid metabolism. Lowering intracellular S1P restores ACC activity, promotes phosphatidylcholine synthesis, and reduces MDSC immunosuppression. These findings identify the SphK2–ACC–phospholipid axis as a metabolic checkpoint controlling the immunogenicity of MDSCs and a potential therapeutic target for enhancing cancer immunotherapy.</w:t>
      </w:r>
    </w:p>
    <w:p>
      <w:pPr>
        <w:spacing w:before="120" w:after="120"/>
      </w:pPr>
      <w:r>
        <w:rPr>
          <w:sz w:val="18"/>
        </w:rPr>
        <w:t>——————————————————————————————————————————————————————————————————————</w:t>
      </w:r>
    </w:p>
    <w:p>
      <w:pPr>
        <w:spacing w:before="160" w:after="40" w:line="240" w:lineRule="auto"/>
      </w:pPr>
      <w:r>
        <w:rPr>
          <w:b/>
        </w:rPr>
        <w:t xml:space="preserve">[207] </w:t>
      </w:r>
      <w:hyperlink r:id="rId637">
        <w:r>
          <w:rPr>
            <w:color w:val="1155CC"/>
            <w:u w:val="single"/>
          </w:rPr>
          <w:t>Rras2–BMPR2 反馈环路维持骨生成并代表骨质疏松症的治疗靶点</w:t>
        </w:r>
      </w:hyperlink>
    </w:p>
    <w:p>
      <w:pPr>
        <w:spacing w:before="0" w:after="80"/>
      </w:pPr>
      <w:r>
        <w:rPr>
          <w:i/>
          <w:sz w:val="20"/>
        </w:rPr>
        <w:t>EN: A Rras2–BMPR2 feedback loop sustains osteogenesis and represents a therapeutic target for osteoporosis</w:t>
      </w:r>
    </w:p>
    <w:p>
      <w:pPr>
        <w:spacing w:before="0" w:after="120"/>
      </w:pPr>
      <w:r>
        <w:rPr>
          <w:b/>
        </w:rPr>
        <w:t xml:space="preserve">Source: </w:t>
      </w:r>
      <w:r>
        <w:t>Biological sciences : Nature Communications subject feeds</w:t>
      </w:r>
      <w:r>
        <w:t xml:space="preserve">    </w:t>
      </w:r>
      <w:r>
        <w:rPr>
          <w:b/>
        </w:rPr>
        <w:t xml:space="preserve">Pub date: </w:t>
      </w:r>
      <w:r>
        <w:t>2026-06-02 00:00:00+00:00</w:t>
      </w:r>
    </w:p>
    <w:p>
      <w:pPr>
        <w:spacing w:before="0" w:after="120"/>
      </w:pPr>
      <w:r>
        <w:rPr>
          <w:b/>
        </w:rPr>
        <w:t xml:space="preserve">Notes: </w:t>
      </w:r>
      <w:r>
        <w:t>abstract_source=nature_html</w:t>
      </w:r>
    </w:p>
    <w:p>
      <w:pPr>
        <w:spacing w:before="0" w:after="80" w:lineRule="auto" w:line="276"/>
      </w:pPr>
      <w:r>
        <w:rPr>
          <w:b/>
        </w:rPr>
        <w:t xml:space="preserve">摘要（ZH）: </w:t>
      </w:r>
      <w:r>
        <w:t>Ras 相关蛋白 2 (Rras2) 突变与努南综合征有关，努南综合征是一种以骨骼发育不良和生长缺陷为特征的疾病。然而，Rras2 在骨稳态中的作用仍不清楚，阻碍了临床干预措施的发展。在这里，我们发现小鼠中 Rras2 缺陷会导致骨质减少、骨强度降低和成骨受损，这再现了人类患者的临床特征。从机制上讲，Rras2 促进骨髓间充质干细胞的成骨分化并支持骨再生。在分子水平上，Rras2 通过阻断 Smurf1 依赖性泛素化和 BMPR2 降解来维持 BMP 信号传导；反过来，BMP 信号传导增强 Rras2 转录。骨质疏松小鼠的骨中 Rras2 表达显着降低，腺相关病毒 9 (AAV9) 介导的 Rras2 恢复可挽救骨质流失。我们的研究结果确定了 Rras2-BMPR2 正反馈环路，该环路对于骨稳态至关重要，并为骨质疏松症和努南综合征提供了治疗途径。</w:t>
      </w:r>
    </w:p>
    <w:p>
      <w:pPr>
        <w:spacing w:before="0" w:after="200" w:lineRule="auto" w:line="276"/>
      </w:pPr>
      <w:r>
        <w:rPr>
          <w:b/>
        </w:rPr>
        <w:t xml:space="preserve">Abstract (EN): </w:t>
      </w:r>
      <w:r>
        <w:t>Ras-related protein 2 (Rras2) mutations are linked to Noonan syndrome, a disorder characterized by skeletal dysplasia and growth deficits. However, the role of Rras2 in bone homeostasis remains poorly defined, hindering the development of clinical interventions. Here, we show that Rras2 deficiency in mice leads to osteopenia, reduced bone strength, and impaired osteogenesis, recapitulating the clinical features of human patients. Mechanistically, Rras2 promotes osteogenic differentiation of bone marrow mesenchymal stem cells and supports bone regeneration. At the molecular level, Rras2 sustains BMP signaling by blocking Smurf1-dependent ubiquitination and degradation of BMPR2; in turn, BMP signaling enhances Rras2 transcription. Osteoporotic mice exhibit marked reduction in Rras2 expression in bone, and adeno-associated virus 9 (AAV9)-mediated restoration of Rras2 rescues bone loss. Our findings identify a Rras2-BMPR2 positive feedback loop that is critical for bone homeostasis and provide a therapeutic avenue for osteoporosis and Noonan syndrome.</w:t>
      </w:r>
    </w:p>
    <w:p>
      <w:pPr>
        <w:spacing w:before="120" w:after="120"/>
      </w:pPr>
      <w:r>
        <w:rPr>
          <w:sz w:val="18"/>
        </w:rPr>
        <w:t>——————————————————————————————————————————————————————————————————————</w:t>
      </w:r>
    </w:p>
    <w:p>
      <w:pPr>
        <w:spacing w:before="160" w:after="40" w:line="240" w:lineRule="auto"/>
      </w:pPr>
      <w:r>
        <w:rPr>
          <w:b/>
        </w:rPr>
        <w:t xml:space="preserve">[208] </w:t>
      </w:r>
      <w:hyperlink r:id="rId638">
        <w:r>
          <w:rPr>
            <w:color w:val="1155CC"/>
            <w:u w:val="single"/>
          </w:rPr>
          <w:t>用于重塑糖尿病感染伤口的自级联免疫调节水凝胶</w:t>
        </w:r>
      </w:hyperlink>
    </w:p>
    <w:p>
      <w:pPr>
        <w:spacing w:before="0" w:after="80"/>
      </w:pPr>
      <w:r>
        <w:rPr>
          <w:i/>
          <w:sz w:val="20"/>
        </w:rPr>
        <w:t>EN: A Self‐Cascading Immunomodulatory Hydrogel for Remodeling Infected Diabetic Wounds</w:t>
      </w:r>
    </w:p>
    <w:p>
      <w:pPr>
        <w:spacing w:before="0" w:after="120"/>
      </w:pPr>
      <w:r>
        <w:rPr>
          <w:b/>
        </w:rPr>
        <w:t xml:space="preserve">Source: </w:t>
      </w:r>
      <w:r>
        <w:t>Wiley: Advanced Materials: Table of Contents</w:t>
      </w:r>
      <w:r>
        <w:t xml:space="preserve">    </w:t>
      </w:r>
      <w:r>
        <w:rPr>
          <w:b/>
        </w:rPr>
        <w:t xml:space="preserve">Pub date: </w:t>
      </w:r>
      <w:r>
        <w:t>2026-06-02 05:45:13+00:00</w:t>
      </w:r>
      <w:r>
        <w:t xml:space="preserve">    </w:t>
      </w:r>
      <w:r>
        <w:rPr>
          <w:b/>
        </w:rPr>
        <w:t xml:space="preserve">DOI: </w:t>
      </w:r>
      <w:hyperlink r:id="rId639">
        <w:r>
          <w:rPr>
            <w:color w:val="1155CC"/>
            <w:u w:val="single"/>
          </w:rPr>
          <w:t>10.1002/adma.73560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甲氧西林耐药</w:t>
      </w:r>
      <w:r>
        <w:t xml:space="preserve"> </w:t>
      </w:r>
      <w:r>
        <w:t>金黄色葡萄球菌</w:t>
      </w:r>
      <w:r>
        <w:t xml:space="preserve"> </w:t>
      </w:r>
      <w:r>
        <w:t>由于持续炎症、高血糖和组织再生受损，MRSA 感染的糖尿病足溃疡 (DFU) 仍然难以愈合。目前的抗菌策略主要消除活细菌，但忽略了细菌死亡时释放的病原体相关分子模式 (PAMP)，这些模式维持 NF-κB/NLRP3 激活并阻止免疫消退。然而，抑制微生物负荷而不中和 PAMP 驱动的炎症无法恢复再生伤口微环境。在这里，我们报告了一种整合 Fe 的自级联降血糖免疫调节水凝胶</w:t>
      </w:r>
      <w:r>
        <w:rPr>
          <w:vertAlign w:val="subscript"/>
        </w:rPr>
        <w:t>3</w:t>
      </w:r>
      <w:r>
        <w:t>氧</w:t>
      </w:r>
      <w:r>
        <w:rPr>
          <w:vertAlign w:val="subscript"/>
        </w:rPr>
        <w:t>4</w:t>
      </w:r>
      <w:r>
        <w:t>@Au纳米酶与苯基硼酸修饰的透明质酸和多巴胺功能化的丝素蛋白。该平台利用内源性葡萄糖驱动级联催化，以有效根除 MRSA（近红外辅助下可达 99.99%），同时动态暴露儿茶酚和硼酸基序以隔离 PAMP 并抑制炎症信号传导。因此，巨噬细胞从促炎 M1 重新编程为促愈合 M2 表型，从而实现免疫微环境重塑。在 MRSA 感染的 DFU 模型中，这种协调的抗菌免疫调节策略显着加速伤口闭合，14 天后仅留下约 13.97% 的残留面积。这些结果建立了一种将生物催化与免疫调节结合起来的设计范式</w:t>
      </w:r>
    </w:p>
    <w:p>
      <w:pPr>
        <w:spacing w:before="0" w:after="200" w:lineRule="auto" w:line="276"/>
      </w:pPr>
      <w:r>
        <w:rPr>
          <w:b/>
        </w:rPr>
        <w:t xml:space="preserve">Abstract (EN): </w:t>
      </w:r>
      <w:r>
        <w:t>Methicillin‐resistant</w:t>
      </w:r>
      <w:r>
        <w:t xml:space="preserve"> </w:t>
      </w:r>
      <w:r>
        <w:t>Staphylococcus aureus</w:t>
      </w:r>
      <w:r>
        <w:t xml:space="preserve"> </w:t>
      </w:r>
      <w:r>
        <w:t>(MRSA)‐infected diabetic foot ulcers (DFUs) remain refractory to healing owing to persistent inflammation, hyperglycemia, and impaired tissue regeneration. Current antimicrobial strategies primarily eliminate viable bacteria but overlook pathogen‐associated molecular patterns (PAMPs) released upon bacterial death, which sustain NF‐κB/NLRP3 activation and prevent immune resolution. However, suppressing microbial burden without neutralizing PAMP‐driven inflammation fails to restore the regenerative wound microenvironment. Here, we report a self‐cascading hypoglycemic immunomodulatory hydrogel integrating Fe</w:t>
      </w:r>
      <w:r>
        <w:rPr>
          <w:vertAlign w:val="subscript"/>
        </w:rPr>
        <w:t>3</w:t>
      </w:r>
      <w:r>
        <w:t>O</w:t>
      </w:r>
      <w:r>
        <w:rPr>
          <w:vertAlign w:val="subscript"/>
        </w:rPr>
        <w:t>4</w:t>
      </w:r>
      <w:r>
        <w:t>@Au nanozymes with phenylboronic acid‐modified hyaluronic acid and dopamine‐functionalized silk fibroin. The platform exploits endogenous glucose to drive cascade catalysis for efficient MRSA eradication (∼99.99% with near‐infrared assistance), while dynamically exposing catechol and boronic acid motifs to sequester PAMPs and suppress inflammatory signaling. Consequently, macrophages are reprogrammed from pro‐inflammatory M1 to pro‐healing M2 phenotypes, enabling immune microenvironment remodeling. In MRSA‐infected DFU models, this coordinated antibacterial‐immunomodulatory strategy markedly accelerates wound closure, leaving only ∼13.97% residual area after 14 days. These results establish a design paradigm that couples biocatalysis with immune regulation for treating complex infected wounds.</w:t>
      </w:r>
    </w:p>
    <w:p>
      <w:pPr>
        <w:spacing w:before="120" w:after="120"/>
      </w:pPr>
      <w:r>
        <w:rPr>
          <w:sz w:val="18"/>
        </w:rPr>
        <w:t>——————————————————————————————————————————————————————————————————————</w:t>
      </w:r>
    </w:p>
    <w:p>
      <w:pPr>
        <w:spacing w:before="160" w:after="40" w:line="240" w:lineRule="auto"/>
      </w:pPr>
      <w:r>
        <w:rPr>
          <w:b/>
        </w:rPr>
        <w:t xml:space="preserve">[209] </w:t>
      </w:r>
      <w:hyperlink r:id="rId640">
        <w:r>
          <w:rPr>
            <w:color w:val="1155CC"/>
            <w:u w:val="single"/>
          </w:rPr>
          <w:t>在中心对称范德华磁体中观察到的偶极斯格明子袋库</w:t>
        </w:r>
      </w:hyperlink>
    </w:p>
    <w:p>
      <w:pPr>
        <w:spacing w:before="0" w:after="80"/>
      </w:pPr>
      <w:r>
        <w:rPr>
          <w:i/>
          <w:sz w:val="20"/>
        </w:rPr>
        <w:t>EN: A Library of Dipolar Skyrmion Bags Observed in a Centrosymmetric van der Waals Magnet</w:t>
      </w:r>
    </w:p>
    <w:p>
      <w:pPr>
        <w:spacing w:before="0" w:after="120"/>
      </w:pPr>
      <w:r>
        <w:rPr>
          <w:b/>
        </w:rPr>
        <w:t xml:space="preserve">Source: </w:t>
      </w:r>
      <w:r>
        <w:t>Wiley: Advanced Materials: Table of Contents</w:t>
      </w:r>
      <w:r>
        <w:t xml:space="preserve">    </w:t>
      </w:r>
      <w:r>
        <w:rPr>
          <w:b/>
        </w:rPr>
        <w:t xml:space="preserve">Pub date: </w:t>
      </w:r>
      <w:r>
        <w:t>2026-06-02 05:47:05+00:00</w:t>
      </w:r>
      <w:r>
        <w:t xml:space="preserve">    </w:t>
      </w:r>
      <w:r>
        <w:rPr>
          <w:b/>
        </w:rPr>
        <w:t xml:space="preserve">DOI: </w:t>
      </w:r>
      <w:hyperlink r:id="rId641">
        <w:r>
          <w:rPr>
            <w:color w:val="1155CC"/>
            <w:u w:val="single"/>
          </w:rPr>
          <w:t>10.1002/adma.73589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拓扑磁孤子，例如斯格明子，表现出拓扑保护和涌现电动力学，这使得它们对于基础研究和自旋电子学应用都很有吸引力。除了典型的斯格明子之外，高阶和复合纹理（例如斯格明子袋）提供任意拓扑电荷和内部形态，严格控制其能量学和激发动力学。然而，尽管有许多理论建议，但迄今为止对不同斯格明子袋形态的实验仍然很少，并且主要局限于基于 Dzyaloshinskii-Moriya 相互作用（DMI）的系统。在这里，我们通过在中心对称范德华磁体 Cr 中使用飞秒激光激发来展示广谱的斯格明子袋</w:t>
      </w:r>
      <w:r>
        <w:t xml:space="preserve"> </w:t>
      </w:r>
      <w:r>
        <w:t>1.6</w:t>
      </w:r>
      <w:r>
        <w:t xml:space="preserve"> </w:t>
      </w:r>
      <w:r>
        <w:t>钛</w:t>
      </w:r>
      <w:r>
        <w:t xml:space="preserve"> </w:t>
      </w:r>
      <w:r>
        <w:t>0.03</w:t>
      </w:r>
      <w:r>
        <w:t xml:space="preserve"> </w:t>
      </w:r>
      <w:r>
        <w:t>碲</w:t>
      </w:r>
      <w:r>
        <w:rPr>
          <w:vertAlign w:val="subscript"/>
        </w:rPr>
        <w:t>2</w:t>
      </w:r>
      <w:r>
        <w:t>，称为偶极斯格明子袋。观察到的斯格明子袋由具有不同圆度和不同环数的闭合域壁环及其相应的II型对应物组成，远远超出了DMI系统中有限的斯格明子袋。将洛伦兹透射电子显微镜与微磁模拟相结合，我们详细研究了它们的稳定性、圆度相关的场演化和独特的湮灭通道。这项工作极大地扩展了拓扑自旋纹理的实验可访问家族，并为基于 di 的多态、可重构自旋电子功能铺平了道路。</w:t>
      </w:r>
    </w:p>
    <w:p>
      <w:pPr>
        <w:spacing w:before="0" w:after="200" w:lineRule="auto" w:line="276"/>
      </w:pPr>
      <w:r>
        <w:rPr>
          <w:b/>
        </w:rPr>
        <w:t xml:space="preserve">Abstract (EN): </w:t>
      </w:r>
      <w:r>
        <w:t>Topological magnetic solitons, such as skyrmions, exhibit topological protection and emergent electrodynamics that make them compelling for both fundamental research and spintronic applications. Beyond the canonical skyrmion, higher‐order and composite textures, such as skyrmion bag, offer arbitrary topological charges and internal morphology that critically governs their energetics and excitation dynamics. However, despite numerous theoretical proposals, experimental access to distinct skyrmion‐bag morphologies has so far been scarce and mainly confined to Dzyaloshinskii‐Moriya‐interaction (DMI)‐based systems. Here, we demonstrate a broad spectrum of skyrmion bags by using femtosecond‐laser excitation in a centrosymmetric van der Waals magnet Cr</w:t>
      </w:r>
      <w:r>
        <w:t xml:space="preserve"> </w:t>
      </w:r>
      <w:r>
        <w:t>1.6</w:t>
      </w:r>
      <w:r>
        <w:t xml:space="preserve"> </w:t>
      </w:r>
      <w:r>
        <w:t>Ti</w:t>
      </w:r>
      <w:r>
        <w:t xml:space="preserve"> </w:t>
      </w:r>
      <w:r>
        <w:t>0.03</w:t>
      </w:r>
      <w:r>
        <w:t xml:space="preserve"> </w:t>
      </w:r>
      <w:r>
        <w:t>Te</w:t>
      </w:r>
      <w:r>
        <w:rPr>
          <w:vertAlign w:val="subscript"/>
        </w:rPr>
        <w:t>2</w:t>
      </w:r>
      <w:r>
        <w:t>, referred to as dipolar skyrmion bags. The observed skyrmion bags are composed of closed domain‐wall loops with different circularities and varying loop numbers, as well as their corresponding type‐II counterparts, far beyond the limited skyrmion bags in DMI systems. Combining Lorentz transmission electron microscopy with micromagnetic simulations, we investigate in details their stability, circularity‐dependent field evolution, and distinct annihilation channels. This work substantially expands the experimentally accessible family of topological spin textures and pave the way toward multi‐state, reconfigurable spintronic functionalities based on dipolar skyrmion bags.</w:t>
      </w:r>
    </w:p>
    <w:p>
      <w:pPr>
        <w:spacing w:before="120" w:after="120"/>
      </w:pPr>
      <w:r>
        <w:rPr>
          <w:sz w:val="18"/>
        </w:rPr>
        <w:t>——————————————————————————————————————————————————————————————————————</w:t>
      </w:r>
    </w:p>
    <w:p>
      <w:pPr>
        <w:spacing w:before="160" w:after="40" w:line="240" w:lineRule="auto"/>
      </w:pPr>
      <w:r>
        <w:rPr>
          <w:b/>
        </w:rPr>
        <w:t xml:space="preserve">[210] </w:t>
      </w:r>
      <w:hyperlink r:id="rId642">
        <w:r>
          <w:rPr>
            <w:color w:val="1155CC"/>
            <w:u w:val="single"/>
          </w:rPr>
          <w:t>树突状脂肽纳米疫苗协调多模式识别受体激活并增强抗肿瘤免疫</w:t>
        </w:r>
      </w:hyperlink>
    </w:p>
    <w:p>
      <w:pPr>
        <w:spacing w:before="0" w:after="80"/>
      </w:pPr>
      <w:r>
        <w:rPr>
          <w:i/>
          <w:sz w:val="20"/>
        </w:rPr>
        <w:t>EN: Dendritic Lipopeptide Nanovaccines Orchestrate Multi‐Pattern Recognition Receptors Activation and Potentiate Antitumor Immunity</w:t>
      </w:r>
    </w:p>
    <w:p>
      <w:pPr>
        <w:spacing w:before="0" w:after="120"/>
      </w:pPr>
      <w:r>
        <w:rPr>
          <w:b/>
        </w:rPr>
        <w:t xml:space="preserve">Source: </w:t>
      </w:r>
      <w:r>
        <w:t>Wiley: Advanced Materials: Table of Contents</w:t>
      </w:r>
      <w:r>
        <w:t xml:space="preserve">    </w:t>
      </w:r>
      <w:r>
        <w:rPr>
          <w:b/>
        </w:rPr>
        <w:t xml:space="preserve">Pub date: </w:t>
      </w:r>
      <w:r>
        <w:t>2026-06-02 05:48:41+00:00</w:t>
      </w:r>
      <w:r>
        <w:t xml:space="preserve">    </w:t>
      </w:r>
      <w:r>
        <w:rPr>
          <w:b/>
        </w:rPr>
        <w:t xml:space="preserve">DOI: </w:t>
      </w:r>
      <w:hyperlink r:id="rId643">
        <w:r>
          <w:rPr>
            <w:color w:val="1155CC"/>
            <w:u w:val="single"/>
          </w:rPr>
          <w:t>10.1002/adma.73533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精确控制抗原和佐剂的空间和时间递送对于引发有效且持久的免疫反应至关重要。在这里，我们报告了一种基于树突状脂肽（DLP）的自组装纳米疫苗平台，该平台通过结构定义的设计整合了递送和免疫刺激。 DLP 是通过将结构优化的脂质尾部与第二代富含赖氨酸或精氨酸的树突状支架结合而构建的。脂质结构域的系统工程可以精确微调两亲结构，产生具有显着增强的 TLR2/4 激动剂活性的候选分子。这些结构有利于抗原呈递细胞以时空调节的方式摄取和交叉呈递。与脂质化肽抗原和脂质修饰的 TLR7/8 激动剂共同组装可产生能够协调协同多模式识别受体 (PRR) 激活的纳米级疫苗。在小鼠黑色素瘤和结直肠肿瘤模型中，这些纳米疫苗可引发强大的细胞毒性 T 淋巴细胞反应，将抗原特异性杀伤增强高达 40%，并诱导显着的肿瘤消退。这项工作提出了一种化学定义的模块化纳米平台，它模仿了类病原体免疫的关键特征，并为设计具有高效能和转化潜力的简约癌症疫苗提供了合理的策略。</w:t>
      </w:r>
    </w:p>
    <w:p>
      <w:pPr>
        <w:spacing w:before="0" w:after="200" w:lineRule="auto" w:line="276"/>
      </w:pPr>
      <w:r>
        <w:rPr>
          <w:b/>
        </w:rPr>
        <w:t xml:space="preserve">Abstract (EN): </w:t>
      </w:r>
      <w:r>
        <w:t>Precise control over the spatial and temporal delivery of antigens and adjuvants is essential for eliciting effective and durable immune responses. Here, we report a self‐assembling nanovaccine platform based on dendritic lipopeptides (DLPs) that integrate delivery and immune‐stimulation through a structurally defined design. DLPs are constructed by conjugating structurally optimized lipid tails to second‐generation lysine‐ or arginine‐rich dendritic scaffolds. Systematic engineering of the lipid domain allows for precise fine‐tuning of the amphiphilic structure, yielding molecular candidates with significantly enhanced TLR2/4 agonist activity. These structures facilitate antigen uptake and cross‐presentation by APCs in a spatiotemporally regulated manner. Co‐assembly with lipidated peptide antigens and a lipid‐modified TLR7/8 agonist yields nanoscale vaccines capable of orchestrating synergistic multi‐pattern recognition receptor (PRR) activation. In murine melanoma and colorectal tumor models, these nanovaccines elicit robust cytotoxic T lymphocyte responses, enhance antigen‐specific killing by up to 40%, and induce significant tumor regression. This work presents a chemically defined, modular nanoplatform that mimics key features of pathogen‐like immunity and provides a rational strategy for engineering minimalist cancer vaccines with high efficacy and translational potential.</w:t>
      </w:r>
    </w:p>
    <w:p>
      <w:pPr>
        <w:spacing w:before="120" w:after="120"/>
      </w:pPr>
      <w:r>
        <w:rPr>
          <w:sz w:val="18"/>
        </w:rPr>
        <w:t>——————————————————————————————————————————————————————————————————————</w:t>
      </w:r>
    </w:p>
    <w:p>
      <w:pPr>
        <w:spacing w:before="160" w:after="40" w:line="240" w:lineRule="auto"/>
      </w:pPr>
      <w:r>
        <w:rPr>
          <w:b/>
        </w:rPr>
        <w:t xml:space="preserve">[211] </w:t>
      </w:r>
      <w:hyperlink r:id="rId644">
        <w:r>
          <w:rPr>
            <w:color w:val="1155CC"/>
            <w:u w:val="single"/>
          </w:rPr>
          <w:t>吸收传输可重构 2D/3D/2D 架构实现多光谱自适应双面钙钛矿光伏</w:t>
        </w:r>
      </w:hyperlink>
    </w:p>
    <w:p>
      <w:pPr>
        <w:spacing w:before="0" w:after="80"/>
      </w:pPr>
      <w:r>
        <w:rPr>
          <w:i/>
          <w:sz w:val="20"/>
        </w:rPr>
        <w:t>EN: An Absorption‐Transport Reconfigurable 2D/3D/2D Architecture Enables Multispectral‐Adaptive Bifacial Perovskite Photovoltaics</w:t>
      </w:r>
    </w:p>
    <w:p>
      <w:pPr>
        <w:spacing w:before="0" w:after="120"/>
      </w:pPr>
      <w:r>
        <w:rPr>
          <w:b/>
        </w:rPr>
        <w:t xml:space="preserve">Source: </w:t>
      </w:r>
      <w:r>
        <w:t>Wiley: Advanced Materials: Table of Contents</w:t>
      </w:r>
      <w:r>
        <w:t xml:space="preserve">    </w:t>
      </w:r>
      <w:r>
        <w:rPr>
          <w:b/>
        </w:rPr>
        <w:t xml:space="preserve">Pub date: </w:t>
      </w:r>
      <w:r>
        <w:t>2026-06-02 05:52:44+00:00</w:t>
      </w:r>
      <w:r>
        <w:t xml:space="preserve">    </w:t>
      </w:r>
      <w:r>
        <w:rPr>
          <w:b/>
        </w:rPr>
        <w:t xml:space="preserve">DOI: </w:t>
      </w:r>
      <w:hyperlink r:id="rId645">
        <w:r>
          <w:rPr>
            <w:color w:val="1155CC"/>
            <w:u w:val="single"/>
          </w:rPr>
          <w:t>10.1002/adma.73575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串联架构已成为克服光伏器件中宽带光子吸收和高效光子能量利用之间基本权衡的普遍策略。然而，只有复杂且需要实施的多端串联配置才能提供对不同光源的适应性。在这里，我们介绍了在双面单结器件中实现的吸收传输可重构架构，该架构利用先前被忽视的二维钙钛矿钝化层的寄生吸收来实现高能蓝紫光和低能绿光至近红外光子之间的光谱吸收分离。该设计不仅能够实现近全向光收集的高效双面操作，而且还支持在阳光和人工照明下广泛适用的光子能量收集。值得注意的是，</w:t>
      </w:r>
      <w:r>
        <w:t xml:space="preserve"> </w:t>
      </w:r>
      <w:r>
        <w:t>V</w:t>
      </w:r>
      <w:r>
        <w:t xml:space="preserve"> </w:t>
      </w:r>
      <w:r>
        <w:t>奥克</w:t>
      </w:r>
      <w:r>
        <w:t xml:space="preserve"> </w:t>
      </w:r>
      <w:r>
        <w:t>在蓝光照明下达到1.67 V，超过了</w:t>
      </w:r>
      <w:r>
        <w:t xml:space="preserve"> </w:t>
      </w:r>
      <w:r>
        <w:t>V</w:t>
      </w:r>
      <w:r>
        <w:t xml:space="preserve"> </w:t>
      </w:r>
      <w:r>
        <w:t>奥克</w:t>
      </w:r>
      <w:r>
        <w:t xml:space="preserve"> </w:t>
      </w:r>
      <w:r>
        <w:t>1.55 eV 单结吸收器的上限。在适用性方面，单个器件可实现 24.69%（AM 1.5G）、38.45%（暖白光 LED）和 37.55%（冷白光 TL84 荧光灯）的 PCE，创下历史新高。</w:t>
      </w:r>
      <w:r>
        <w:t xml:space="preserve"> </w:t>
      </w:r>
      <w:r>
        <w:t>V</w:t>
      </w:r>
      <w:r>
        <w:t xml:space="preserve"> </w:t>
      </w:r>
      <w:r>
        <w:t>奥克</w:t>
      </w:r>
      <w:r>
        <w:t xml:space="preserve"> </w:t>
      </w:r>
      <w:r>
        <w:t>弱光照下为 1.081 V（1122 lux/346 µW cm</w:t>
      </w:r>
      <w:r>
        <w:t xml:space="preserve"> </w:t>
      </w:r>
      <w:r>
        <w:t>−2</w:t>
      </w:r>
      <w:r>
        <w:t xml:space="preserve"> </w:t>
      </w:r>
      <w:r>
        <w:t>）。由于坚固的界面锚定设计，冠军设备保留了 &gt;</w:t>
      </w:r>
    </w:p>
    <w:p>
      <w:pPr>
        <w:spacing w:before="0" w:after="200" w:lineRule="auto" w:line="276"/>
      </w:pPr>
      <w:r>
        <w:rPr>
          <w:b/>
        </w:rPr>
        <w:t xml:space="preserve">Abstract (EN): </w:t>
      </w:r>
      <w:r>
        <w:t>Tandem architectures have emerged as the prevailing strategy to overcome the fundamental trade‐off between broadband photon absorption and efficient photon‐energy utilization in photovoltaic devices. However, only the complex and implementation‐demanding multi‐terminal tandem configuration offers adaptability to diverse light sources. Here, we introduce an absorption‐transport reconfigurable architecture implemented in a bifacial single‐junction device, which harnesses the previously overlooked parasitic absorption of a 2D perovskite passivation layer to achieve spectral absorption separation between high‐energy blue‐violet and low‐energy green‐to‐near‐infrared photons. This design not only enables efficient bifacial operation with near‐omnidirectional light harvesting but also supports broadly applicable photon‐energy harvesting under both sunlight and artificial lighting. Notably, the</w:t>
      </w:r>
      <w:r>
        <w:t xml:space="preserve"> </w:t>
      </w:r>
      <w:r>
        <w:t>V</w:t>
      </w:r>
      <w:r>
        <w:t xml:space="preserve"> </w:t>
      </w:r>
      <w:r>
        <w:t>oc</w:t>
      </w:r>
      <w:r>
        <w:t xml:space="preserve"> </w:t>
      </w:r>
      <w:r>
        <w:t>under blue‐light illumination reaches 1.67 V, exceeding the</w:t>
      </w:r>
      <w:r>
        <w:t xml:space="preserve"> </w:t>
      </w:r>
      <w:r>
        <w:t>V</w:t>
      </w:r>
      <w:r>
        <w:t xml:space="preserve"> </w:t>
      </w:r>
      <w:r>
        <w:t>oc</w:t>
      </w:r>
      <w:r>
        <w:t xml:space="preserve"> </w:t>
      </w:r>
      <w:r>
        <w:t>ceiling of a 1.55 eV single‐junction absorber. In terms of applicability, a single device can deliver PCEs of 24.69% (AM 1.5G), 38.45% (warm‐white LED), and 37.55% (cool‐white TL84 fluorescent), alongside a record</w:t>
      </w:r>
      <w:r>
        <w:t xml:space="preserve"> </w:t>
      </w:r>
      <w:r>
        <w:t>V</w:t>
      </w:r>
      <w:r>
        <w:t xml:space="preserve"> </w:t>
      </w:r>
      <w:r>
        <w:t>oc</w:t>
      </w:r>
      <w:r>
        <w:t xml:space="preserve"> </w:t>
      </w:r>
      <w:r>
        <w:t>of 1.081 V under weak illumination (1122 lux/346 µW cm</w:t>
      </w:r>
      <w:r>
        <w:t xml:space="preserve"> </w:t>
      </w:r>
      <w:r>
        <w:t>−2</w:t>
      </w:r>
      <w:r>
        <w:t xml:space="preserve"> </w:t>
      </w:r>
      <w:r>
        <w:t>). Owing to the robust interfacial anchoring design, the champion device retains &amp;gt;90% of its initial performance after 2000 h of continuous operation, thereby offering a viable pathway toward rapid, scenario‐agnostic deployment.</w:t>
      </w:r>
    </w:p>
    <w:p>
      <w:pPr>
        <w:spacing w:before="120" w:after="120"/>
      </w:pPr>
      <w:r>
        <w:rPr>
          <w:sz w:val="18"/>
        </w:rPr>
        <w:t>——————————————————————————————————————————————————————————————————————</w:t>
      </w:r>
    </w:p>
    <w:p>
      <w:pPr>
        <w:spacing w:before="160" w:after="40" w:line="240" w:lineRule="auto"/>
      </w:pPr>
      <w:r>
        <w:rPr>
          <w:b/>
        </w:rPr>
        <w:t xml:space="preserve">[212] </w:t>
      </w:r>
      <w:hyperlink r:id="rId646">
        <w:r>
          <w:rPr>
            <w:color w:val="1155CC"/>
            <w:u w:val="single"/>
          </w:rPr>
          <w:t>用于 6D 动态加密的激励相关的非常规余辉</w:t>
        </w:r>
      </w:hyperlink>
    </w:p>
    <w:p>
      <w:pPr>
        <w:spacing w:before="0" w:after="80"/>
      </w:pPr>
      <w:r>
        <w:rPr>
          <w:i/>
          <w:sz w:val="20"/>
        </w:rPr>
        <w:t>EN: Excitation Dependent Nonconventional Afterglow for 6D Dynamic Encryptions</w:t>
      </w:r>
    </w:p>
    <w:p>
      <w:pPr>
        <w:spacing w:before="0" w:after="120"/>
      </w:pPr>
      <w:r>
        <w:rPr>
          <w:b/>
        </w:rPr>
        <w:t xml:space="preserve">Source: </w:t>
      </w:r>
      <w:r>
        <w:t>Wiley: Advanced Materials: Table of Contents</w:t>
      </w:r>
      <w:r>
        <w:t xml:space="preserve">    </w:t>
      </w:r>
      <w:r>
        <w:rPr>
          <w:b/>
        </w:rPr>
        <w:t xml:space="preserve">Pub date: </w:t>
      </w:r>
      <w:r>
        <w:t>2026-06-02 06:20:37+00:00</w:t>
      </w:r>
      <w:r>
        <w:t xml:space="preserve">    </w:t>
      </w:r>
      <w:r>
        <w:rPr>
          <w:b/>
        </w:rPr>
        <w:t xml:space="preserve">DOI: </w:t>
      </w:r>
      <w:hyperlink r:id="rId647">
        <w:r>
          <w:rPr>
            <w:color w:val="1155CC"/>
            <w:u w:val="single"/>
          </w:rPr>
          <w:t>10.1002/adma.73602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不含传统芳香族发色团的非常规发光材料引起了人们的广泛研究兴趣。然而，在这些系统中在可见光激发下实现持续发光本质上是困难的。在此，我们报告了一种简单而通用的策略，通过与偏硼酸 (MBA) 杂交来开发脂肪族聚酯中的内在激发依赖性余辉，其中，由于在制造过程中形成了不同尺寸的簇，因此在将激发源从 254 nm 调整到 405 nm 时，余辉峰从 431 nm 移动到 540 nm。此外，通过掺杂商业染料的三线态到单线态福斯特共振能量转移（TS-FRET），可以将余辉发射颜色从深蓝色调整为红色。这些无机聚合物复合材料可以制成3D艺术品和多模式防伪标签。利用多色余辉和空间操纵，展示了使用发光魔方的 6D 动态加密平台。这项工作不仅提供了一种新颖的复合诱导策略，用于从脂肪族聚酯中产生内在的激发依赖性余辉，而且还成功证明了它们在高级信息加密中的开创性应用。</w:t>
      </w:r>
    </w:p>
    <w:p>
      <w:pPr>
        <w:spacing w:before="0" w:after="200" w:lineRule="auto" w:line="276"/>
      </w:pPr>
      <w:r>
        <w:rPr>
          <w:b/>
        </w:rPr>
        <w:t xml:space="preserve">Abstract (EN): </w:t>
      </w:r>
      <w:r>
        <w:t>Nonconventional luminescent materials without traditional aromatic chromophores have attracted significant research interest. However, achieving persistent luminescence under visible‐light excitation in those systems is inherently difficult. Herein, we report a simple and general strategy to develop intrinsic excitation‐dependent afterglow in aliphatic polyesters via hybridization with metaboric acid (MBA), in which the afterglow peak shifts from 431 to 540 nm upon tuning the excitation source from 254 to 405 nm, owing to the formation of clusters with varied sizes during the fabrication. Moreover, the afterglow emission color could be tuned from deep blue to red via triplet‐to‐singlet Förster resonance energy transfer (TS‐FRET) by doping with a commercial dye. These inorganic‐polymer composites could be fabricated into 3D artwares and multi‐mode anti‐counterfeiting labels. Leveraging the multicolor afterglow and spatial manipulation, a 6D dynamic encryption platform using a luminescent magic cube was demonstrated. This work not only provided a novel composite‐induced strategy for creating intrinsic excitation‐dependent afterglow from aliphatic polyesters but also successfully demonstrated their pioneering application in advanced information encryption.</w:t>
      </w:r>
    </w:p>
    <w:p>
      <w:pPr>
        <w:spacing w:before="120" w:after="120"/>
      </w:pPr>
      <w:r>
        <w:rPr>
          <w:sz w:val="18"/>
        </w:rPr>
        <w:t>——————————————————————————————————————————————————————————————————————</w:t>
      </w:r>
    </w:p>
    <w:p>
      <w:pPr>
        <w:spacing w:before="160" w:after="40" w:line="240" w:lineRule="auto"/>
      </w:pPr>
      <w:r>
        <w:rPr>
          <w:b/>
        </w:rPr>
        <w:t xml:space="preserve">[213] </w:t>
      </w:r>
      <w:hyperlink r:id="rId648">
        <w:r>
          <w:rPr>
            <w:color w:val="1155CC"/>
            <w:u w:val="single"/>
          </w:rPr>
          <w:t>几个世纪以来持续的权衡平衡了竞争和殖民</w:t>
        </w:r>
      </w:hyperlink>
    </w:p>
    <w:p>
      <w:pPr>
        <w:spacing w:before="0" w:after="80"/>
      </w:pPr>
      <w:r>
        <w:rPr>
          <w:i/>
          <w:sz w:val="20"/>
        </w:rPr>
        <w:t>EN: Persistent trade-offs balance competition and colonization across centuries</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49">
        <w:r>
          <w:rPr>
            <w:color w:val="1155CC"/>
            <w:u w:val="single"/>
          </w:rPr>
          <w:t>10.1073/pnas.2534310123</w:t>
        </w:r>
      </w:hyperlink>
    </w:p>
    <w:p>
      <w:pPr>
        <w:spacing w:before="0" w:after="120"/>
      </w:pPr>
      <w:r>
        <w:rPr>
          <w:b/>
        </w:rPr>
        <w:t xml:space="preserve">Notes: </w:t>
      </w:r>
      <w:r>
        <w:t>abstract_source=crossref</w:t>
      </w:r>
    </w:p>
    <w:p>
      <w:pPr>
        <w:spacing w:before="0" w:after="80" w:lineRule="auto" w:line="276"/>
      </w:pPr>
      <w:r>
        <w:rPr>
          <w:b/>
        </w:rPr>
        <w:t xml:space="preserve">摘要（ZH）: </w:t>
      </w:r>
      <w:r>
        <w:t>微生物竞争推动了快速适应，常常迫使生物体专门从事新的生态位。提高竞争能力的适应可能会降低其他环境中的绩效，从而产生权衡。这种权衡是否在自然界中持续存在——或者随着谱系通过补偿性变化而适应而被侵蚀——仍然很大程度上未知。在这里，我们表明，竞争能力和宿主定殖之间的权衡在自然环境中得到了稳定维持。</w:t>
      </w:r>
      <w:r>
        <w:t xml:space="preserve"> </w:t>
      </w:r>
      <w:r>
        <w:t>假单胞菌属</w:t>
      </w:r>
      <w:r>
        <w:t xml:space="preserve"> </w:t>
      </w:r>
      <w:r>
        <w:t>几个世纪以来的人口。野生植物致病</w:t>
      </w:r>
      <w:r>
        <w:t xml:space="preserve"> </w:t>
      </w:r>
      <w:r>
        <w:t>假单胞菌属</w:t>
      </w:r>
      <w:r>
        <w:t xml:space="preserve"> </w:t>
      </w:r>
      <w:r>
        <w:t>使用tailocins（噬菌体衍生的分子武器，与特定细胞表面受体结合）进行竞争。基因组调查和功能分析表明，最广泛致命的尾素仍然很少见——虽然尾素的产生增加了竞争性杀伤，但它也损害了植物的定植。我们确定这种权衡背后的多态性并不是暂时的——跨越两个世纪的历史基因组表明，这种权衡已经维持了至少 10 年。</w:t>
      </w:r>
      <w:r>
        <w:rPr>
          <w:vertAlign w:val="subscript"/>
        </w:rPr>
        <w:t>5</w:t>
      </w:r>
      <w:r>
        <w:t>至 10</w:t>
      </w:r>
      <w:r>
        <w:rPr>
          <w:vertAlign w:val="subscript"/>
        </w:rPr>
        <w:t>6</w:t>
      </w:r>
      <w:r>
        <w:t>几代人。我们的结果表明，在自然群体中，竞争和致病性之间的权衡是根本性的，并且不容易克服。</w:t>
      </w:r>
    </w:p>
    <w:p>
      <w:pPr>
        <w:spacing w:before="0" w:after="200" w:lineRule="auto" w:line="276"/>
      </w:pPr>
      <w:r>
        <w:rPr>
          <w:b/>
        </w:rPr>
        <w:t xml:space="preserve">Abstract (EN): </w:t>
      </w:r>
      <w:r>
        <w:t>Microbial competition drives rapid adaptation, often forcing organisms to specialize in new ecological niches. Adaptations that improve competitive ability can reduce performance in other environments creating trade-offs. Whether such trade-offs persist in nature—or are eroded as lineages adapt through compensatory changes—remains largely unknown. Here we show that a trade-off between competitive ability and host colonization has been stably maintained in natural</w:t>
      </w:r>
      <w:r>
        <w:t xml:space="preserve"> </w:t>
      </w:r>
      <w:r>
        <w:t>Pseudomonas</w:t>
      </w:r>
      <w:r>
        <w:t xml:space="preserve"> </w:t>
      </w:r>
      <w:r>
        <w:t>populations for centuries. Wild plant-pathogenic</w:t>
      </w:r>
      <w:r>
        <w:t xml:space="preserve"> </w:t>
      </w:r>
      <w:r>
        <w:t>Pseudomonas</w:t>
      </w:r>
      <w:r>
        <w:t xml:space="preserve"> </w:t>
      </w:r>
      <w:r>
        <w:t>compete using tailocins—phage-derived molecular weapons that bind to specific cell-surface receptors. Genomic surveys and functional assays reveal that the most broadly lethal tailocins remain rare—while the tailocin’s production increases competitive killing, it also compromises plant colonization. We determine that the polymorphisms behind this trade-off are not transient—historical genomes spanning two centuries show that the trade-off has been maintained for at least 10</w:t>
      </w:r>
      <w:r>
        <w:rPr>
          <w:vertAlign w:val="subscript"/>
        </w:rPr>
        <w:t>5</w:t>
      </w:r>
      <w:r>
        <w:t>to 10</w:t>
      </w:r>
      <w:r>
        <w:rPr>
          <w:vertAlign w:val="subscript"/>
        </w:rPr>
        <w:t>6</w:t>
      </w:r>
      <w:r>
        <w:t>generations. Our results demonstrate that, in natural populations, a trade-off between competition and pathogenicity is fundamental and not easily overcome.</w:t>
      </w:r>
    </w:p>
    <w:p>
      <w:pPr>
        <w:spacing w:before="120" w:after="120"/>
      </w:pPr>
      <w:r>
        <w:rPr>
          <w:sz w:val="18"/>
        </w:rPr>
        <w:t>——————————————————————————————————————————————————————————————————————</w:t>
      </w:r>
    </w:p>
    <w:p>
      <w:pPr>
        <w:spacing w:before="160" w:after="40" w:line="240" w:lineRule="auto"/>
      </w:pPr>
      <w:r>
        <w:rPr>
          <w:b/>
        </w:rPr>
        <w:t xml:space="preserve">[214] </w:t>
      </w:r>
      <w:hyperlink r:id="rId650">
        <w:r>
          <w:rPr>
            <w:color w:val="1155CC"/>
            <w:u w:val="single"/>
          </w:rPr>
          <w:t>扭曲多层 MoTe2 中的层状分层和能带重新排序</w:t>
        </w:r>
      </w:hyperlink>
    </w:p>
    <w:p>
      <w:pPr>
        <w:spacing w:before="0" w:after="80"/>
      </w:pPr>
      <w:r>
        <w:rPr>
          <w:i/>
          <w:sz w:val="20"/>
        </w:rPr>
        <w:t>EN: Layerwise stratification and band reordering in twisted multilayer MoTe2</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51">
        <w:r>
          <w:rPr>
            <w:color w:val="1155CC"/>
            <w:u w:val="single"/>
          </w:rPr>
          <w:t>10.1073/pnas.2532550123</w:t>
        </w:r>
      </w:hyperlink>
    </w:p>
    <w:p>
      <w:pPr>
        <w:spacing w:before="0" w:after="120"/>
      </w:pPr>
      <w:r>
        <w:rPr>
          <w:b/>
        </w:rPr>
        <w:t xml:space="preserve">Notes: </w:t>
      </w:r>
      <w:r>
        <w:t>abstract_source=crossref</w:t>
      </w:r>
    </w:p>
    <w:p>
      <w:pPr>
        <w:spacing w:before="0" w:after="80" w:lineRule="auto" w:line="276"/>
      </w:pPr>
      <w:r>
        <w:rPr>
          <w:b/>
        </w:rPr>
        <w:t xml:space="preserve">摘要（ZH）: </w:t>
      </w:r>
      <w:r>
        <w:t>我们引入了一种基于物理的训练数据生成策略，该策略可以有效地捕获多层莫尔系统中完整的层间相互作用，从而使机器学习力场能够跨层数和堆叠配置转移，超越扭曲角度。将此应用于多层扭曲 MoTe</w:t>
      </w:r>
      <w:r>
        <w:rPr>
          <w:vertAlign w:val="subscript"/>
        </w:rPr>
        <w:t>2</w:t>
      </w:r>
      <w:r>
        <w:t>(tMoTe</w:t>
      </w:r>
      <w:r>
        <w:rPr>
          <w:vertAlign w:val="subscript"/>
        </w:rPr>
        <w:t>2</w:t>
      </w:r>
      <w:r>
        <w:t>），我们确定了结构和电子分层：即使在厚多层中，两个莫尔界面（MI）层也保留了大量的晶格重建，而外部块状层显示出快速衰减的扭曲。令人惊讶的是，这种分层在超小扭转角状态下变得最强（≲1</w:t>
      </w:r>
      <w:r>
        <w:t xml:space="preserve"> </w:t>
      </w:r>
      <w:r>
        <w:t>°</w:t>
      </w:r>
      <w:r>
        <w:t xml:space="preserve"> </w:t>
      </w:r>
      <w:r>
        <w:t>），其中面内域的形成是众所周知的，但在中间角度（2 到 5</w:t>
      </w:r>
      <w:r>
        <w:t xml:space="preserve"> </w:t>
      </w:r>
      <w:r>
        <w:t>°</w:t>
      </w:r>
      <w:r>
        <w:t xml:space="preserve"> </w:t>
      </w:r>
      <w:r>
        <w:t>）。同时，跨 MI-体边界的层间杂化被强烈抑制，导致电子隔离。扭曲双双层MoTe</w:t>
      </w:r>
      <w:r>
        <w:rPr>
          <w:vertAlign w:val="subscript"/>
        </w:rPr>
        <w:t>2</w:t>
      </w:r>
      <w:r>
        <w:t>，这种分层在前沿价带中产生了共存的蜂窝状和三角形晶格图案。我们进一步证明，扭转角和弱门控可以产生属于两个基序的能带的能量转移，产生陈能带重排序和具有适度空穴掺杂的非线性电极化。我们的方法可以有效模拟多层莫尔系统，并揭示双层系统中不存在的结构-电子分离现象。</w:t>
      </w:r>
    </w:p>
    <w:p>
      <w:pPr>
        <w:spacing w:before="0" w:after="200" w:lineRule="auto" w:line="276"/>
      </w:pPr>
      <w:r>
        <w:rPr>
          <w:b/>
        </w:rPr>
        <w:t xml:space="preserve">Abstract (EN): </w:t>
      </w:r>
      <w:r>
        <w:t>We introduce a physics-informed training-data generation strategy that efficiently captures the complete interlayer interactions in multilayer moiré systems, enabling a machine-learning force field transferable across layer numbers and stacking configurations, beyond twist angles. Applying this to multilayer twisted MoTe</w:t>
      </w:r>
      <w:r>
        <w:rPr>
          <w:vertAlign w:val="subscript"/>
        </w:rPr>
        <w:t>2</w:t>
      </w:r>
      <w:r>
        <w:t>(tMoTe</w:t>
      </w:r>
      <w:r>
        <w:rPr>
          <w:vertAlign w:val="subscript"/>
        </w:rPr>
        <w:t>2</w:t>
      </w:r>
      <w:r>
        <w:t>), we identify a structural and electronic stratification: The two moiré interface (MI) layers retain substantial lattice reconstruction even in thick multilayers, while outer bulk-like layers show rapidly attenuated distortions. Surprisingly, this stratification becomes strongest not in the ultrasmall twist angle regime (≲1</w:t>
      </w:r>
      <w:r>
        <w:t xml:space="preserve"> </w:t>
      </w:r>
      <w:r>
        <w:t>°</w:t>
      </w:r>
      <w:r>
        <w:t xml:space="preserve"> </w:t>
      </w:r>
      <w:r>
        <w:t>), where in-plane domain formation is well known, but rather at intermediate angles (2 to 5</w:t>
      </w:r>
      <w:r>
        <w:t xml:space="preserve"> </w:t>
      </w:r>
      <w:r>
        <w:t>°</w:t>
      </w:r>
      <w:r>
        <w:t xml:space="preserve"> </w:t>
      </w:r>
      <w:r>
        <w:t>). Simultaneously, interlayer hybridization across the MI–bulk boundary is strongly suppressed, leading to electronic isolation. In twisted double bilayer MoTe</w:t>
      </w:r>
      <w:r>
        <w:rPr>
          <w:vertAlign w:val="subscript"/>
        </w:rPr>
        <w:t>2</w:t>
      </w:r>
      <w:r>
        <w:t>, this stratification gives rise to coexisting honeycomb and triangular lattice motifs in the frontier valence bands. We further demonstrate that twist angle and weak gating can create energy shift of bands belonging to the two motifs, producing Chern band reordering and nonlinear electric polarization with modest hole doping. Our approach allows efficient simulation of multilayer moiré systems and reveals structural–electronic separation phenomena absent in bilayer systems.</w:t>
      </w:r>
    </w:p>
    <w:p>
      <w:pPr>
        <w:spacing w:before="120" w:after="120"/>
      </w:pPr>
      <w:r>
        <w:rPr>
          <w:sz w:val="18"/>
        </w:rPr>
        <w:t>——————————————————————————————————————————————————————————————————————</w:t>
      </w:r>
    </w:p>
    <w:p>
      <w:pPr>
        <w:spacing w:before="160" w:after="40" w:line="240" w:lineRule="auto"/>
      </w:pPr>
      <w:r>
        <w:rPr>
          <w:b/>
        </w:rPr>
        <w:t xml:space="preserve">[215] </w:t>
      </w:r>
      <w:hyperlink r:id="rId652">
        <w:r>
          <w:rPr>
            <w:color w:val="1155CC"/>
            <w:u w:val="single"/>
          </w:rPr>
          <w:t>雄性果蝇甾醇消耗的交配依赖性寿命成本</w:t>
        </w:r>
      </w:hyperlink>
    </w:p>
    <w:p>
      <w:pPr>
        <w:spacing w:before="0" w:after="80"/>
      </w:pPr>
      <w:r>
        <w:rPr>
          <w:i/>
          <w:sz w:val="20"/>
        </w:rPr>
        <w:t>EN: Mating-dependent lifespan cost of sterol depletion in male Drosophila melanogaster</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53">
        <w:r>
          <w:rPr>
            <w:color w:val="1155CC"/>
            <w:u w:val="single"/>
          </w:rPr>
          <w:t>10.1073/pnas.2533735123</w:t>
        </w:r>
      </w:hyperlink>
    </w:p>
    <w:p>
      <w:pPr>
        <w:spacing w:before="0" w:after="120"/>
      </w:pPr>
      <w:r>
        <w:rPr>
          <w:b/>
        </w:rPr>
        <w:t xml:space="preserve">Notes: </w:t>
      </w:r>
      <w:r>
        <w:t>abstract_source=crossref</w:t>
      </w:r>
    </w:p>
    <w:p>
      <w:pPr>
        <w:spacing w:before="0" w:after="80" w:lineRule="auto" w:line="276"/>
      </w:pPr>
      <w:r>
        <w:rPr>
          <w:b/>
        </w:rPr>
        <w:t xml:space="preserve">摘要（ZH）: </w:t>
      </w:r>
      <w:r>
        <w:t>寿命和繁殖之间的权衡是进化论和生态学的中心主题，通常归因于有限资源分配的生理限制。然而，最近的研究表明，这种权衡可能取决于宏观和微观营养背景。我们研究了宏量营养素平衡和胆固醇可用性如何影响男性的寿命和生殖能力</w:t>
      </w:r>
      <w:r>
        <w:t xml:space="preserve"> </w:t>
      </w:r>
      <w:r>
        <w:t>黑腹果蝇</w:t>
      </w:r>
      <w:r>
        <w:t xml:space="preserve"> </w:t>
      </w:r>
      <w:r>
        <w:t>，明确测试未交配的雄性和那些允许终生自由交配的雄性——这种设计很少采用。我们发现，胆固醇剥夺大大缩短了寿命，但仅限于频繁交配的雄性，这表明甾醇在调节交配寿命成本方面发挥着关键作用，这与它们在精子和精液中的已知作用一致。相反，饮食中含有胆固醇会缩短维持低蛋白质碳水化合物饮食的未交配雄性的寿命，这表明雄性生殖投资足够高，足以对体细胞产生甾醇依赖性成本。当蛋白质与碳水化合物的比例高于之前的估计时，寿命最大化，而以碳水化合物为主的饮食有利于老年男性的繁殖性能，这证明了营养权衡。男性优先消耗促进繁殖成功而不是长寿的常量营养素比例，并区分食物中胆固醇的存在。总之，这些发现揭示了甾醇是男性长寿的关键介质，其作用取决于cri</w:t>
      </w:r>
    </w:p>
    <w:p>
      <w:pPr>
        <w:spacing w:before="0" w:after="200" w:lineRule="auto" w:line="276"/>
      </w:pPr>
      <w:r>
        <w:rPr>
          <w:b/>
        </w:rPr>
        <w:t xml:space="preserve">Abstract (EN): </w:t>
      </w:r>
      <w:r>
        <w:t>Trade-offs between lifespan and reproduction are a central theme in evolution and ecology, often attributed to physiological constraints on the allocation of limiting resources. However, recent work suggests such trade-offs may depend on macro- and micronutritional context. We examined how macronutrient balance and cholesterol availability shape lifespan and reproductive performance in male</w:t>
      </w:r>
      <w:r>
        <w:t xml:space="preserve"> </w:t>
      </w:r>
      <w:r>
        <w:t>Drosophila melanogaster</w:t>
      </w:r>
      <w:r>
        <w:t xml:space="preserve"> </w:t>
      </w:r>
      <w:r>
        <w:t>, explicitly testing both unmated males and those permitted to mate freely throughout life—a design rarely applied. We found that cholesterol deprivation substantially reduced lifespan, but only in frequently mating males, indicating that sterols play a key role in mediating the lifespan costs of mating, consistent with their known role in sperm and seminal fluid. Conversely, the inclusion of dietary cholesterol reduced lifespan in unmated males maintained on low protein-to-carbohydrate diets, suggesting that male reproductive investment is sufficiently high to generate sterol-dependent costs to the soma. Lifespan was maximized at higher protein-to-carbohydrate ratios than previously estimated, while reproductive performance in aged males was favored by carbohydrate-biased diets, demonstrating a nutritional trade-off. Males preferentially consumed macronutrient ratios that promoted reproductive success rather than longevity and discriminated the presence of cholesterol in food. Together, these findings reveal sterols as a key mediator of male longevity, with effects that depend critically on both diet and reproductive context. More broadly, by integrating sterols, macronutrient balance, and sustained reproductive investment, our study adds to the growing evidence that male reproductive costs can be substantial and refines our understanding of the evolutionary basis of dietary trade-offs.</w:t>
      </w:r>
    </w:p>
    <w:p>
      <w:pPr>
        <w:spacing w:before="120" w:after="120"/>
      </w:pPr>
      <w:r>
        <w:rPr>
          <w:sz w:val="18"/>
        </w:rPr>
        <w:t>——————————————————————————————————————————————————————————————————————</w:t>
      </w:r>
    </w:p>
    <w:p>
      <w:pPr>
        <w:spacing w:before="160" w:after="40" w:line="240" w:lineRule="auto"/>
      </w:pPr>
      <w:r>
        <w:rPr>
          <w:b/>
        </w:rPr>
        <w:t xml:space="preserve">[216] </w:t>
      </w:r>
      <w:hyperlink r:id="rId654">
        <w:r>
          <w:rPr>
            <w:color w:val="1155CC"/>
            <w:u w:val="single"/>
          </w:rPr>
          <w:t>社会线索推动塑料病原体毒力在时空变化的环境中进化</w:t>
        </w:r>
      </w:hyperlink>
    </w:p>
    <w:p>
      <w:pPr>
        <w:spacing w:before="0" w:after="80"/>
      </w:pPr>
      <w:r>
        <w:rPr>
          <w:i/>
          <w:sz w:val="20"/>
        </w:rPr>
        <w:t>EN: Social cues drive the evolution of plastic pathogen virulence in spatially and temporally variable environments</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55">
        <w:r>
          <w:rPr>
            <w:color w:val="1155CC"/>
            <w:u w:val="single"/>
          </w:rPr>
          <w:t>10.1073/pnas.2526952123</w:t>
        </w:r>
      </w:hyperlink>
    </w:p>
    <w:p>
      <w:pPr>
        <w:spacing w:before="0" w:after="120"/>
      </w:pPr>
      <w:r>
        <w:rPr>
          <w:b/>
        </w:rPr>
        <w:t xml:space="preserve">Notes: </w:t>
      </w:r>
      <w:r>
        <w:t>abstract_source=crossref</w:t>
      </w:r>
    </w:p>
    <w:p>
      <w:pPr>
        <w:spacing w:before="0" w:after="80" w:lineRule="auto" w:line="276"/>
      </w:pPr>
      <w:r>
        <w:rPr>
          <w:b/>
        </w:rPr>
        <w:t xml:space="preserve">摘要（ZH）: </w:t>
      </w:r>
      <w:r>
        <w:t>宿主与病原体的相互作用通常以宿主密度的空间和时间波动为特征。这种变异性可能促进病原体毒力表型可塑性的进化。然而，目前尚不清楚病原体如何可靠地检测宿主密度的变化。在这里，我们表明，当易感宿主的密度波动时，一些病原体可能会利用社会线索（例如受感染宿主的存在）来获取有关传播机会的间接信息。我们的分析表明，毒力可塑性不会在恒定的环境中进化，但时间和空间的变化可以促进能够检测感染宿主的病原体毒力降低的进化。可塑性的选择源于社会线索和易感宿主的可用性之间的协方差。我们比较了时间变化和空间结构对可塑性进化的影响，并阐明了病毒和其他微生物之间出现基于社会线索的通信系统的生态条件。更广泛地说，这项工作为理解面对可变环境的病原体的塑料生活史策略的适应性价值提供了一个理论框架。</w:t>
      </w:r>
    </w:p>
    <w:p>
      <w:pPr>
        <w:spacing w:before="0" w:after="200" w:lineRule="auto" w:line="276"/>
      </w:pPr>
      <w:r>
        <w:rPr>
          <w:b/>
        </w:rPr>
        <w:t xml:space="preserve">Abstract (EN): </w:t>
      </w:r>
      <w:r>
        <w:t>Host–pathogen interactions are often characterized by spatial and temporal fluctuations in host density. Such variability may promote the evolution of phenotypic plasticity in pathogen virulence. However, it remains unclear how pathogens can reliably detect changes in host density. Here we show that some pathogens may exploit social cues, such as the presence of infected hosts, to gain indirect information about transmission opportunities when the density of susceptible hosts fluctuates. Our analysis demonstrates that virulence plasticity does not evolve in constant environments, but temporal and spatial variability can promote the evolution of reduced virulence in pathogens capable of detecting infected hosts. Selection for plasticity arises from the covariance between social cues and the availability of susceptible hosts. We compare the effects of temporal variation and spatial structure on the evolution of plasticity and clarify the ecological conditions under which communication systems based on social cues can emerge among viruses and other microbes. More broadly, this work provides a theoretical framework for understanding the adaptive value of plastic life-history strategies in pathogens facing variable environments.</w:t>
      </w:r>
    </w:p>
    <w:p>
      <w:pPr>
        <w:spacing w:before="120" w:after="120"/>
      </w:pPr>
      <w:r>
        <w:rPr>
          <w:sz w:val="18"/>
        </w:rPr>
        <w:t>——————————————————————————————————————————————————————————————————————</w:t>
      </w:r>
    </w:p>
    <w:p>
      <w:pPr>
        <w:spacing w:before="160" w:after="40" w:line="240" w:lineRule="auto"/>
      </w:pPr>
      <w:r>
        <w:rPr>
          <w:b/>
        </w:rPr>
        <w:t xml:space="preserve">[217] </w:t>
      </w:r>
      <w:hyperlink r:id="rId656">
        <w:r>
          <w:rPr>
            <w:color w:val="1155CC"/>
            <w:u w:val="single"/>
          </w:rPr>
          <w:t>对成人肌肉烟碱乙酰胆碱受体选择性的正变构调节剂</w:t>
        </w:r>
      </w:hyperlink>
    </w:p>
    <w:p>
      <w:pPr>
        <w:spacing w:before="0" w:after="80"/>
      </w:pPr>
      <w:r>
        <w:rPr>
          <w:i/>
          <w:sz w:val="20"/>
        </w:rPr>
        <w:t>EN: Positive allosteric modulator selective for adult muscle nicotinic acetylcholine receptor</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57">
        <w:r>
          <w:rPr>
            <w:color w:val="1155CC"/>
            <w:u w:val="single"/>
          </w:rPr>
          <w:t>10.1073/pnas.2504146123</w:t>
        </w:r>
      </w:hyperlink>
    </w:p>
    <w:p>
      <w:pPr>
        <w:spacing w:before="0" w:after="120"/>
      </w:pPr>
      <w:r>
        <w:rPr>
          <w:b/>
        </w:rPr>
        <w:t xml:space="preserve">Notes: </w:t>
      </w:r>
      <w:r>
        <w:t>abstract_source=crossref</w:t>
      </w:r>
    </w:p>
    <w:p>
      <w:pPr>
        <w:spacing w:before="0" w:after="80" w:lineRule="auto" w:line="276"/>
      </w:pPr>
      <w:r>
        <w:rPr>
          <w:b/>
        </w:rPr>
        <w:t xml:space="preserve">摘要（ZH）: </w:t>
      </w:r>
      <w:r>
        <w:t>肌肉烟碱乙酰胆碱受体 (AChR) 是神经肌肉信号传输的关键介质，对于我们体内的所有自主运动至关重要。在这项研究中，我们提出了 DC-98-LC74，一种成人骨骼肌型 AChR 的正变构调节剂 (PAM)。通过使用钙</w:t>
      </w:r>
      <w:r>
        <w:t xml:space="preserve"> </w:t>
      </w:r>
      <w:r>
        <w:t>2+</w:t>
      </w:r>
      <w:r>
        <w:t xml:space="preserve"> </w:t>
      </w:r>
      <w:r>
        <w:t>通过荧光成像板读数器 (FLIPR) 检测，我们证明它对成人骨骼肌 AChR 的选择性高于对神经元亚型的选择性。离体小鼠隔膜制剂的神经生理学记录显示，DC-98-LC74 延长了野生型 (WT) 成年小鼠的终板电流，但不延长含有隔膜的胎儿通道。对成人和胎儿受体嵌合通道以及胆碱饱和浓度的单通道研究表明，PAM 不在任一正构位点结合，而是通过涉及 ε M2-M3 环的机制增加未配体开放概率。我们还表明，DC-98-LC74 将多个快速通道突变体 AChR 的突发持续时间延长至 WT 水平，这表明正向变构调节可能是这种难以治疗的先天性肌无力亚型的治疗策略。关于老年肌少症小鼠的有希望的初步数据也表明，肌肉类型 AChR 的正向变构调节不仅对肌无力而且对涉及神经肌肉接头的其他神经肌肉疾病具有潜在的益处。</w:t>
      </w:r>
    </w:p>
    <w:p>
      <w:pPr>
        <w:spacing w:before="0" w:after="200" w:lineRule="auto" w:line="276"/>
      </w:pPr>
      <w:r>
        <w:rPr>
          <w:b/>
        </w:rPr>
        <w:t xml:space="preserve">Abstract (EN): </w:t>
      </w:r>
      <w:r>
        <w:t>The muscle nicotinic acetylcholine receptor (AChR) is the key mediator of neuromuscular signal transmission and is essential for all voluntary movement in our body. In this study, we present DC-98-LC74, a positive allosteric modulator (PAM) for the adult skeletal muscle-type AChR. Through using Ca</w:t>
      </w:r>
      <w:r>
        <w:t xml:space="preserve"> </w:t>
      </w:r>
      <w:r>
        <w:t>2+</w:t>
      </w:r>
      <w:r>
        <w:t xml:space="preserve"> </w:t>
      </w:r>
      <w:r>
        <w:t>fluorometric imaging plate reader (FLIPR) assays, we demonstrate that it is selective for the adult skeletal muscle AChR over neuronal subtypes. Neurophysiological recordings from ex vivo mouse diaphragm preparations revealed that DC-98-LC74 elongates the endplate currents of wildtype (WT) adult but not fetal channel containing diaphragms. Single channel studies on chimeric channels of the adult and fetal receptor, and in saturating concentrations of choline, suggest that the PAM does not bind at either orthosteric site, but works by increasing the unliganded open probability via a mechanism that involves the ε M2-M3 loop. We also show that DC-98-LC74 increases the burst duration of multiple fast channel mutant AChR to WT levels, suggesting that positive allosteric modulation could be a therapeutic strategy for this difficult to treat subtype of congenital myasthenia. Promising preliminary data on aged sarcopenic mice also demonstrate that positive allosteric modulation of the muscle type AChR has potential benefits not only in myasthenia but also other neuromuscular disorders involving the neuromuscular junction.</w:t>
      </w:r>
    </w:p>
    <w:p>
      <w:pPr>
        <w:spacing w:before="120" w:after="120"/>
      </w:pPr>
      <w:r>
        <w:rPr>
          <w:sz w:val="18"/>
        </w:rPr>
        <w:t>——————————————————————————————————————————————————————————————————————</w:t>
      </w:r>
    </w:p>
    <w:p>
      <w:pPr>
        <w:spacing w:before="160" w:after="40" w:line="240" w:lineRule="auto"/>
      </w:pPr>
      <w:r>
        <w:rPr>
          <w:b/>
        </w:rPr>
        <w:t xml:space="preserve">[218] </w:t>
      </w:r>
      <w:hyperlink r:id="rId658">
        <w:r>
          <w:rPr>
            <w:color w:val="1155CC"/>
            <w:u w:val="single"/>
          </w:rPr>
          <w:t>本期</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59">
        <w:r>
          <w:rPr>
            <w:color w:val="1155CC"/>
            <w:u w:val="single"/>
          </w:rPr>
          <w:t>10.1073/iti2226123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[219] </w:t>
      </w:r>
      <w:hyperlink r:id="rId660">
        <w:r>
          <w:rPr>
            <w:color w:val="1155CC"/>
            <w:u w:val="single"/>
          </w:rPr>
          <w:t>骨骼肌肌原纤维细丝和粗丝的肌节下调节</w:t>
        </w:r>
      </w:hyperlink>
    </w:p>
    <w:p>
      <w:pPr>
        <w:spacing w:before="0" w:after="80"/>
      </w:pPr>
      <w:r>
        <w:rPr>
          <w:i/>
          <w:sz w:val="20"/>
        </w:rPr>
        <w:t>EN: Subsarcomeric regulation of thin and thick filaments in skeletal muscle myofibrils</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61">
        <w:r>
          <w:rPr>
            <w:color w:val="1155CC"/>
            <w:u w:val="single"/>
          </w:rPr>
          <w:t>10.1073/pnas.2535527123</w:t>
        </w:r>
      </w:hyperlink>
    </w:p>
    <w:p>
      <w:pPr>
        <w:spacing w:before="0" w:after="120"/>
      </w:pPr>
      <w:r>
        <w:rPr>
          <w:b/>
        </w:rPr>
        <w:t xml:space="preserve">Notes: </w:t>
      </w:r>
      <w:r>
        <w:t>abstract_source=crossref</w:t>
      </w:r>
    </w:p>
    <w:p>
      <w:pPr>
        <w:spacing w:before="0" w:after="80" w:lineRule="auto" w:line="276"/>
      </w:pPr>
      <w:r>
        <w:rPr>
          <w:b/>
        </w:rPr>
        <w:t xml:space="preserve">摘要（ZH）: </w:t>
      </w:r>
      <w:r>
        <w:t>肌肉收缩依赖于粗肌丝表面折叠状态下的肌球蛋白马达的协调激活，以及它们响应钙而在细肌丝上轨迹的肌动蛋白。粗丝包含由肌球蛋白结合蛋白 C (MyBP-C) 和肌联蛋白超级重复的存在定义的不同调节区域，但这些区域内肌球蛋白关闭/开启状态的控制尚未直接解决。在这里，我们通过荧光偏振显微镜（FPM）对从兔快骨骼肌中分离出的肌原纤维进行了研究。使用肌球蛋白上的定向特异性探针，我们发现折叠关闭马达在松弛的肌原纤维中含有 MyBP-C 的 C 区中富集，表明 MyBP-C 稳定了该细丝结构域中的肌球蛋白关闭状态。在基于肌动蛋白的被动张力或部分钙激活下，主动马达在丝尖端的 D 区富集，而该区域缺乏 MyBP-C，这表明 D 区马达在较低的丝应力下被激活。肌钙蛋白探针进一步揭示，肌球蛋白增强细丝重叠区域的细丝激活，并驱动细丝的应激依赖性激活进入邻近的非重叠区域。这些发现揭示了肌节内肌丝激活的区域特异性控制，并将 FPM 确立为研究与疾病相关的肌丝蛋白变异和治疗调节的强大工具。</w:t>
      </w:r>
    </w:p>
    <w:p>
      <w:pPr>
        <w:spacing w:before="0" w:after="200" w:lineRule="auto" w:line="276"/>
      </w:pPr>
      <w:r>
        <w:rPr>
          <w:b/>
        </w:rPr>
        <w:t xml:space="preserve">Abstract (EN): </w:t>
      </w:r>
      <w:r>
        <w:t>Muscle contraction relies on the coordinated activation of myosin motors from a folded-OFF state on the thick filament surface and their actin tracks on the thin filaments in response to calcium. Thick filaments contain distinct regulatory zones defined by the presence of myosin-binding protein C (MyBP-C) and titin super-repeats, but the control of myosin OFF/ON states within these zones has not been directly resolved. Here, we do so by fluorescence polarization microscopy (FPM) in myofibrils isolated from rabbit fast skeletal muscle. Using orientation-specific probes on myosin we show that folded-OFF motors are enriched in the MyBP-C–containing C zone in relaxed myofibrils, indicating that MyBP-C stabilizes the myosin OFF state in this filament domain. Under titin-based passive tension or partial calcium activation, active motors are enriched in the D zone at the filament tips, which lacks MyBP-C, suggesting that D-zone motors are activated at lower filament stress. Troponin probes further reveal that myosin enhances thin-filament activation in the region of filament overlap and drives the stress-dependent activation of the thin filament into adjacent nonoverlap regions. These findings uncover zone-specific control of myofilament activation within the sarcomere and establish FPM as a powerful tool for investigating disease-linked myofilament protein variants and therapeutic modulation.</w:t>
      </w:r>
    </w:p>
    <w:p>
      <w:pPr>
        <w:spacing w:before="120" w:after="120"/>
      </w:pPr>
      <w:r>
        <w:rPr>
          <w:sz w:val="18"/>
        </w:rPr>
        <w:t>——————————————————————————————————————————————————————————————————————</w:t>
      </w:r>
    </w:p>
    <w:p>
      <w:pPr>
        <w:spacing w:before="160" w:after="40" w:line="240" w:lineRule="auto"/>
      </w:pPr>
      <w:r>
        <w:rPr>
          <w:b/>
        </w:rPr>
        <w:t xml:space="preserve">[220] </w:t>
      </w:r>
      <w:hyperlink r:id="rId662">
        <w:r>
          <w:rPr>
            <w:color w:val="1155CC"/>
            <w:u w:val="single"/>
          </w:rPr>
          <w:t>减少支持对教师研究活动影响的平均场博弈模型</w:t>
        </w:r>
      </w:hyperlink>
    </w:p>
    <w:p>
      <w:pPr>
        <w:spacing w:before="0" w:after="80"/>
      </w:pPr>
      <w:r>
        <w:rPr>
          <w:i/>
          <w:sz w:val="20"/>
        </w:rPr>
        <w:t>EN: Mean field game model of the impact of reductions in support on faculty research activity</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63">
        <w:r>
          <w:rPr>
            <w:color w:val="1155CC"/>
            <w:u w:val="single"/>
          </w:rPr>
          <w:t>10.1073/pnas.2538029123</w:t>
        </w:r>
      </w:hyperlink>
    </w:p>
    <w:p>
      <w:pPr>
        <w:spacing w:before="0" w:after="120"/>
      </w:pPr>
      <w:r>
        <w:rPr>
          <w:b/>
        </w:rPr>
        <w:t xml:space="preserve">Notes: </w:t>
      </w:r>
      <w:r>
        <w:t>abstract_source=crossref</w:t>
      </w:r>
    </w:p>
    <w:p>
      <w:pPr>
        <w:spacing w:before="0" w:after="80" w:lineRule="auto" w:line="276"/>
      </w:pPr>
      <w:r>
        <w:rPr>
          <w:b/>
        </w:rPr>
        <w:t xml:space="preserve">摘要（ZH）: </w:t>
      </w:r>
      <w:r>
        <w:t>每所研究型大学都有一定的教师研究活动分布，这些活动得到政府、工业界和慈善机构的外部支持。政府提议在 2025 年大幅减少联邦支持，这将极大地改变教师研究活动的分布。平均场博弈 (MFG) 理论用于模拟联邦对教师研究的支持，假设每个研究人员都寻求根据指定的效用函数最大化其资金。将研究人员集合建模为一个连续体，其中个别研究人员仅受其他人的分布（称为平均场）的影响，可以预测代表纳什均衡的遍历分布。工程学院教师经费的结果表明，政府提议的联邦总体支持减少可能会导致一半以上的教师没有足够的资金来支持研究。研究结果对大学研究环境及其保持项目活力的策略具有重要意义。</w:t>
      </w:r>
    </w:p>
    <w:p>
      <w:pPr>
        <w:spacing w:before="0" w:after="200" w:lineRule="auto" w:line="276"/>
      </w:pPr>
      <w:r>
        <w:rPr>
          <w:b/>
        </w:rPr>
        <w:t xml:space="preserve">Abstract (EN): </w:t>
      </w:r>
      <w:r>
        <w:t>Every research university has a distribution of faculty research activity that is fueled by the external support from government, industry, and philanthropy. The large decreases in federal support proposed in 2025 by the Administration would dramatically alter the distribution of faculty research activity. Mean field game (MFG) theory is used to model federal support of faculty research assuming that each researcher seeks to maximize their funding according to a specified utility function. Modeling the collection of researchers as a continuum with individual researchers only influenced by the distribution of others—referred to as the mean field—predicts ergodic distributions that represent a Nash equilibrium. Results representing the funding for faculty in colleges of engineering demonstrate that a decrease in overall federal support of the magnitude proposed by the Administration could lead to over half the faculty inadequately funded to support research. The results have important implications to the university research environment and to their strategies for maintaining the vibrancy of their programs.</w:t>
      </w:r>
    </w:p>
    <w:p>
      <w:pPr>
        <w:spacing w:before="120" w:after="120"/>
      </w:pPr>
      <w:r>
        <w:rPr>
          <w:sz w:val="18"/>
        </w:rPr>
        <w:t>——————————————————————————————————————————————————————————————————————</w:t>
      </w:r>
    </w:p>
    <w:p>
      <w:pPr>
        <w:spacing w:before="160" w:after="40" w:line="240" w:lineRule="auto"/>
      </w:pPr>
      <w:r>
        <w:rPr>
          <w:b/>
        </w:rPr>
        <w:t xml:space="preserve">[221] </w:t>
      </w:r>
      <w:hyperlink r:id="rId664">
        <w:r>
          <w:rPr>
            <w:color w:val="1155CC"/>
            <w:u w:val="single"/>
          </w:rPr>
          <w:t>好氧土壤细菌通过发酵与碳储存杂交来适应缺氧</w:t>
        </w:r>
      </w:hyperlink>
    </w:p>
    <w:p>
      <w:pPr>
        <w:spacing w:before="0" w:after="80"/>
      </w:pPr>
      <w:r>
        <w:rPr>
          <w:i/>
          <w:sz w:val="20"/>
        </w:rPr>
        <w:t>EN: Aerobic soil bacteria adapt to hypoxia by hybridizing fermentation with carbon storage</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65">
        <w:r>
          <w:rPr>
            <w:color w:val="1155CC"/>
            <w:u w:val="single"/>
          </w:rPr>
          <w:t>10.1073/pnas.2606389123</w:t>
        </w:r>
      </w:hyperlink>
    </w:p>
    <w:p>
      <w:pPr>
        <w:spacing w:before="0" w:after="120"/>
      </w:pPr>
      <w:r>
        <w:rPr>
          <w:b/>
        </w:rPr>
        <w:t xml:space="preserve">Notes: </w:t>
      </w:r>
      <w:r>
        <w:t>abstract_source=crossref</w:t>
      </w:r>
    </w:p>
    <w:p>
      <w:pPr>
        <w:spacing w:before="0" w:after="80" w:lineRule="auto" w:line="276"/>
      </w:pPr>
      <w:r>
        <w:rPr>
          <w:b/>
        </w:rPr>
        <w:t xml:space="preserve">摘要（ZH）: </w:t>
      </w:r>
      <w:r>
        <w:t>在土壤生态系统中，需氧细菌通过进入非复制持久状态来生存缺氧（缺氧）。与专性和兼性厌氧菌的代谢的充分研究相反，人们对专性需氧细菌如何调整其代谢以在缺氧期间保持活力知之甚少。专性需氧菌模型</w:t>
      </w:r>
      <w:r>
        <w:t xml:space="preserve"> </w:t>
      </w:r>
      <w:r>
        <w:t>耻垢分枝杆菌</w:t>
      </w:r>
      <w:r>
        <w:t xml:space="preserve"> </w:t>
      </w:r>
      <w:r>
        <w:t>通过介导发酵产氢来维持缺氧期间的氧化还原稳态。然而，发酵过程中有机碳的去向尚未解决。在这里，我们系统地描述了新陈代谢</w:t>
      </w:r>
      <w:r>
        <w:t xml:space="preserve"> </w:t>
      </w:r>
      <w:r>
        <w:t>耻垢分枝杆菌</w:t>
      </w:r>
      <w:r>
        <w:t xml:space="preserve"> </w:t>
      </w:r>
      <w:r>
        <w:t>在有氧生长、缺氧持续以及这些状态之间的过渡期间。通过微分积分</w:t>
      </w:r>
      <w:r>
        <w:rPr>
          <w:vertAlign w:val="subscript"/>
        </w:rPr>
        <w:t>13</w:t>
      </w:r>
      <w:r>
        <w:t>我们观察到，通过配对代谢组学和蛋白质组学进行 C 标记葡萄糖同位素体测定</w:t>
      </w:r>
      <w:r>
        <w:t xml:space="preserve"> </w:t>
      </w:r>
      <w:r>
        <w:t>耻垢分枝杆菌</w:t>
      </w:r>
      <w:r>
        <w:t xml:space="preserve"> </w:t>
      </w:r>
      <w:r>
        <w:t>在缺氧期间通过磷酸戊糖途径和/或恩特纳-杜多罗夫途径改变中心碳代谢，同时排出高水平的氢和乙酸。脂质和冷冻电子断层扫描分析表明</w:t>
      </w:r>
      <w:r>
        <w:t xml:space="preserve"> </w:t>
      </w:r>
      <w:r>
        <w:t>耻垢分枝杆菌</w:t>
      </w:r>
      <w:r>
        <w:t xml:space="preserve"> </w:t>
      </w:r>
      <w:r>
        <w:t>在缺氧期间还将碳以甘油酯的形式储存在脂滴中，作为主要的还原剂库。基因敲除和基因敲除表明，虽然</w:t>
      </w:r>
      <w:r>
        <w:t xml:space="preserve"> </w:t>
      </w:r>
      <w:r>
        <w:t>耻垢分枝杆菌</w:t>
      </w:r>
      <w:r>
        <w:t xml:space="preserve"> </w:t>
      </w:r>
      <w:r>
        <w:t>依靠其产氢氢化酶来缺氧生存，它可以补偿乙酸盐生产和甘油酯合成的破坏</w:t>
      </w:r>
    </w:p>
    <w:p>
      <w:pPr>
        <w:spacing w:before="0" w:after="200" w:lineRule="auto" w:line="276"/>
      </w:pPr>
      <w:r>
        <w:rPr>
          <w:b/>
        </w:rPr>
        <w:t xml:space="preserve">Abstract (EN): </w:t>
      </w:r>
      <w:r>
        <w:t>In soil ecosystems, aerobic bacteria survive oxygen deprivation (hypoxia) by entering nonreplicative persistent states. In contrast to the well-studied metabolism of obligate and facultative anaerobes, little is known about how obligately aerobic bacteria adapt their metabolism to stay viable during hypoxia. The model obligate aerobe</w:t>
      </w:r>
      <w:r>
        <w:t xml:space="preserve"> </w:t>
      </w:r>
      <w:r>
        <w:t>Mycobacterium smegmatis</w:t>
      </w:r>
      <w:r>
        <w:t xml:space="preserve"> </w:t>
      </w:r>
      <w:r>
        <w:t>maintains redox homeostasis during hypoxia by mediating fermentative hydrogen production. However, the fate of organic carbon during fermentation is unresolved. Here we systematically profiled the metabolism of</w:t>
      </w:r>
      <w:r>
        <w:t xml:space="preserve"> </w:t>
      </w:r>
      <w:r>
        <w:t>M. smegmatis</w:t>
      </w:r>
      <w:r>
        <w:t xml:space="preserve"> </w:t>
      </w:r>
      <w:r>
        <w:t>during aerobic growth, hypoxic persistence, and the transition between these states. By integrating a differentially</w:t>
      </w:r>
      <w:r>
        <w:rPr>
          <w:vertAlign w:val="subscript"/>
        </w:rPr>
        <w:t>13</w:t>
      </w:r>
      <w:r>
        <w:t>C-labeled glucose isotopologue assay with paired metabolomics and proteomics, we observed</w:t>
      </w:r>
      <w:r>
        <w:t xml:space="preserve"> </w:t>
      </w:r>
      <w:r>
        <w:t>M. smegmatis</w:t>
      </w:r>
      <w:r>
        <w:t xml:space="preserve"> </w:t>
      </w:r>
      <w:r>
        <w:t>rerouted central carbon metabolism through the pentose phosphate pathway and/or Entner–Doudoroff pathways during hypoxia, while excreting high levels of hydrogen and acetate. Lipid and cryoelectron tomography analyses suggest</w:t>
      </w:r>
      <w:r>
        <w:t xml:space="preserve"> </w:t>
      </w:r>
      <w:r>
        <w:t>M. smegmatis</w:t>
      </w:r>
      <w:r>
        <w:t xml:space="preserve"> </w:t>
      </w:r>
      <w:r>
        <w:t>also stores carbon as glycerides in lipid droplets during hypoxia, which serve as a major reductant sink. Gene knockouts and knockdowns revealed that, while</w:t>
      </w:r>
      <w:r>
        <w:t xml:space="preserve"> </w:t>
      </w:r>
      <w:r>
        <w:t>M. smegmatis</w:t>
      </w:r>
      <w:r>
        <w:t xml:space="preserve"> </w:t>
      </w:r>
      <w:r>
        <w:t>depends on its hydrogen-producing hydrogenase for hypoxic survival, it can compensate for the disruption of acetate production and glyceride synthesis by producing and excreting other organic acids. We confirmed through an extensive genomic survey and biogeochemical measurements that diverse aerobic soil bacteria can store organic carbon and mediate fermentation during hypoxia. Altogether, this hybrid fermentative metabolism likely provides a competitive advantage in soils and other resource-variable environments by enabling bacteria, such as</w:t>
      </w:r>
      <w:r>
        <w:t xml:space="preserve"> </w:t>
      </w:r>
      <w:r>
        <w:t>M. smegmatis</w:t>
      </w:r>
      <w:r>
        <w:t xml:space="preserve"> </w:t>
      </w:r>
      <w:r>
        <w:t>, to simultaneously dispose excess reductant and maintain carbon stores during hypoxia.</w:t>
      </w:r>
    </w:p>
    <w:p>
      <w:pPr>
        <w:spacing w:before="120" w:after="120"/>
      </w:pPr>
      <w:r>
        <w:rPr>
          <w:sz w:val="18"/>
        </w:rPr>
        <w:t>——————————————————————————————————————————————————————————————————————</w:t>
      </w:r>
    </w:p>
    <w:p>
      <w:pPr>
        <w:spacing w:before="160" w:after="40" w:line="240" w:lineRule="auto"/>
      </w:pPr>
      <w:r>
        <w:rPr>
          <w:b/>
        </w:rPr>
        <w:t xml:space="preserve">[222] </w:t>
      </w:r>
      <w:hyperlink r:id="rId666">
        <w:r>
          <w:rPr>
            <w:color w:val="1155CC"/>
            <w:u w:val="single"/>
          </w:rPr>
          <w:t>C 端结构域精氨酸指的自激活调节细菌锌金属伴侣中的 GTP 水解</w:t>
        </w:r>
      </w:hyperlink>
    </w:p>
    <w:p>
      <w:pPr>
        <w:spacing w:before="0" w:after="80"/>
      </w:pPr>
      <w:r>
        <w:rPr>
          <w:i/>
          <w:sz w:val="20"/>
        </w:rPr>
        <w:t>EN: Self-activation by a C-terminal domain arginine finger regulates GTP hydrolysis in bacterial zinc metallochaperones</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67">
        <w:r>
          <w:rPr>
            <w:color w:val="1155CC"/>
            <w:u w:val="single"/>
          </w:rPr>
          <w:t>10.1073/pnas.2608072123</w:t>
        </w:r>
      </w:hyperlink>
    </w:p>
    <w:p>
      <w:pPr>
        <w:spacing w:before="0" w:after="120"/>
      </w:pPr>
      <w:r>
        <w:rPr>
          <w:b/>
        </w:rPr>
        <w:t xml:space="preserve">Notes: </w:t>
      </w:r>
      <w:r>
        <w:t>abstract_source=crossref</w:t>
      </w:r>
    </w:p>
    <w:p>
      <w:pPr>
        <w:spacing w:before="0" w:after="80" w:lineRule="auto" w:line="276"/>
      </w:pPr>
      <w:r>
        <w:rPr>
          <w:b/>
        </w:rPr>
        <w:t xml:space="preserve">摘要（ZH）: </w:t>
      </w:r>
      <w:r>
        <w:t>细胞对过渡金属稀缺的反应是多方面且复杂的。直系同源群簇 0523 (COG0523) 超家族的成员被提议陪伴结合的金属以激活脱辅基酶客户，因此是候选金属伴侣。 COG0523 酶是 GTP 酶，具有保守的 Ras 样鸟苷 5'-三磷酸 (GTP) 结合和水解结构域（G 结构域）以及通过柔性接头连接的功能未知的 C 末端结构域 (CTD)。 AlphaFold3 模型假定“开放”GTP 酶无活性和“闭合”GTP 酶活性构象，其中 GTP 和开关 1 (G2) 环埋藏在两个结构域的界面处。我们在这里展示了 CTD 作为 GTP 水解激活蛋白 (GAP) 结构域发挥作用，通过束缚的 G 结构域刺激 GTP 水解。这种“自我激活”需要来自两个远亲细菌 COG0523 的 CTD β2 链中有一个不变的 RxK 序列。</w:t>
      </w:r>
      <w:r>
        <w:t xml:space="preserve"> </w:t>
      </w:r>
      <w:r>
        <w:t>不动杆菌属</w:t>
      </w:r>
      <w:r>
        <w:t xml:space="preserve"> </w:t>
      </w:r>
      <w:r>
        <w:t>鲍曼不动杆菌</w:t>
      </w:r>
      <w:r>
        <w:t xml:space="preserve"> </w:t>
      </w:r>
      <w:r>
        <w:t>、ZigA 和 MigC。热力学和动力学研究表明，Arg 类似于 Ras 关联 GAP 的精氨酸指基序，而 Lys 残基似乎在 GTP 水解中发挥催化作用。添加了同源 CTD</w:t>
      </w:r>
      <w:r>
        <w:t xml:space="preserve"> </w:t>
      </w:r>
      <w:r>
        <w:t>反式</w:t>
      </w:r>
      <w:r>
        <w:t xml:space="preserve"> </w:t>
      </w:r>
      <w:r>
        <w:t>全长 RxK 突变体 ZigA 或 MigC 可以挽救 Zn(II) 激活的 GTPase 活性，而非同源 CTD 则没有表现出挽救作用。链接器在</w:t>
      </w:r>
      <w:r>
        <w:t xml:space="preserve"> </w:t>
      </w:r>
      <w:r>
        <w:t>抗体</w:t>
      </w:r>
      <w:r>
        <w:t xml:space="preserve"> </w:t>
      </w:r>
      <w:r>
        <w:t>ZigA 似乎可以控制 Zn(II) 刺激的 GTP 水解。溶液核磁共振研究</w:t>
      </w:r>
    </w:p>
    <w:p>
      <w:pPr>
        <w:spacing w:before="0" w:after="200" w:lineRule="auto" w:line="276"/>
      </w:pPr>
      <w:r>
        <w:rPr>
          <w:b/>
        </w:rPr>
        <w:t xml:space="preserve">Abstract (EN): </w:t>
      </w:r>
      <w:r>
        <w:t>The cellular response to transition metal scarcity is multifaceted and complex. Members of the Cluster of Orthologous Groups 0523 (COG0523) superfamily are proposed to chaperone a bound metal to activate an apoenzyme client and are thus candidate metallochaperones. COG0523 enzymes are GTPases that harbor a conserved Ras-like guanosine-5‘-triphosphate (GTP)-binding and hydrolysis domain (G-domain) and a C-terminal domain (CTD) of unknown function connected by a flexible linker. AlphaFold3 modeling posits an “open” GTPase-inactive and “closed” GTPase-active conformation where the GTP and switch 1 (G2) loop are buried at the interface of the two domains. We show here that the CTD functions as a GTP-hydrolysis activation protein (GAP) domain that stimulates GTP hydrolysis by the tethered G-domain. This “self-activation” requires an invariant RxK sequence in the β2-strand of the CTD in two distantly related bacterial COG0523s from</w:t>
      </w:r>
      <w:r>
        <w:t xml:space="preserve"> </w:t>
      </w:r>
      <w:r>
        <w:t>Acinetobacter</w:t>
      </w:r>
      <w:r>
        <w:t xml:space="preserve"> </w:t>
      </w:r>
      <w:r>
        <w:t>baumannii</w:t>
      </w:r>
      <w:r>
        <w:t xml:space="preserve"> </w:t>
      </w:r>
      <w:r>
        <w:t>, ZigA and MigC. Thermodynamic and kinetic studies reveal that the Arg is analogous to the arginine finger motif of a Ras-cognate GAP, while the Lys residue appears to play a catalytic role in GTP hydrolysis. Cognate CTD added</w:t>
      </w:r>
      <w:r>
        <w:t xml:space="preserve"> </w:t>
      </w:r>
      <w:r>
        <w:t>in trans</w:t>
      </w:r>
      <w:r>
        <w:t xml:space="preserve"> </w:t>
      </w:r>
      <w:r>
        <w:t>to full-length RxK mutant ZigA or MigC rescues Zn(II)-activated GTPase activity whereas the noncognate CTD shows no rescue. The linker in</w:t>
      </w:r>
      <w:r>
        <w:t xml:space="preserve"> </w:t>
      </w:r>
      <w:r>
        <w:t>Ab</w:t>
      </w:r>
      <w:r>
        <w:t xml:space="preserve"> </w:t>
      </w:r>
      <w:r>
        <w:t>ZigA appears to gate Zn(II)-stimulated GTP hydrolysis. Solution NMR studies of RxK</w:t>
      </w:r>
      <w:r>
        <w:t xml:space="preserve"> </w:t>
      </w:r>
      <w:r>
        <w:t>Ab</w:t>
      </w:r>
      <w:r>
        <w:t xml:space="preserve"> </w:t>
      </w:r>
      <w:r>
        <w:t>MigC reveal that the two domains tumble independently of one another in the absence of bound ligands, with cognate CTD added</w:t>
      </w:r>
      <w:r>
        <w:t xml:space="preserve"> </w:t>
      </w:r>
      <w:r>
        <w:t>in trans</w:t>
      </w:r>
      <w:r>
        <w:t xml:space="preserve"> </w:t>
      </w:r>
      <w:r>
        <w:t>forming a tight complex. The extent to which conformational switching characterizes eukaryotic COG0523s is discussed.</w:t>
      </w:r>
    </w:p>
    <w:p>
      <w:pPr>
        <w:spacing w:before="120" w:after="120"/>
      </w:pPr>
      <w:r>
        <w:rPr>
          <w:sz w:val="18"/>
        </w:rPr>
        <w:t>——————————————————————————————————————————————————————————————————————</w:t>
      </w:r>
    </w:p>
    <w:p>
      <w:pPr>
        <w:spacing w:before="160" w:after="40" w:line="240" w:lineRule="auto"/>
      </w:pPr>
      <w:r>
        <w:rPr>
          <w:b/>
        </w:rPr>
        <w:t xml:space="preserve">[223] </w:t>
      </w:r>
      <w:hyperlink r:id="rId668">
        <w:r>
          <w:rPr>
            <w:color w:val="1155CC"/>
            <w:u w:val="single"/>
          </w:rPr>
          <w:t>3'UTR 衍生的小 RNA 调节霍乱毒素编码丝状噬菌体 CTX 的生命周期</w:t>
        </w:r>
      </w:hyperlink>
    </w:p>
    <w:p>
      <w:pPr>
        <w:spacing w:before="0" w:after="80"/>
      </w:pPr>
      <w:r>
        <w:rPr>
          <w:i/>
          <w:sz w:val="20"/>
        </w:rPr>
        <w:t>EN: A 3’UTR-derived small RNA modulates the life cycle of the cholera toxin–encoding filamentous phage, CTXϕ</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69">
        <w:r>
          <w:rPr>
            <w:color w:val="1155CC"/>
            <w:u w:val="single"/>
          </w:rPr>
          <w:t>10.1073/pnas.2535142123</w:t>
        </w:r>
      </w:hyperlink>
    </w:p>
    <w:p>
      <w:pPr>
        <w:spacing w:before="0" w:after="120"/>
      </w:pPr>
      <w:r>
        <w:rPr>
          <w:b/>
        </w:rPr>
        <w:t xml:space="preserve">Notes: </w:t>
      </w:r>
      <w:r>
        <w:t>abstract_source=crossref</w:t>
      </w:r>
    </w:p>
    <w:p>
      <w:pPr>
        <w:spacing w:before="0" w:after="80" w:lineRule="auto" w:line="276"/>
      </w:pPr>
      <w:r>
        <w:rPr>
          <w:b/>
        </w:rPr>
        <w:t xml:space="preserve">摘要（ZH）: </w:t>
      </w:r>
      <w:r>
        <w:t>众所周知，噬菌体是细菌进化的主要驱动力之一。这也适用于有毒微生物，例如主要的人类病原体</w:t>
      </w:r>
      <w:r>
        <w:t xml:space="preserve"> </w:t>
      </w:r>
      <w:r>
        <w:t>霍乱弧菌</w:t>
      </w:r>
      <w:r>
        <w:t xml:space="preserve"> </w:t>
      </w:r>
      <w:r>
        <w:t>，其致病潜力和流行扩散很大程度上取决于与环境噬菌体的相互作用。具体来说，将 CTXphi 噬菌体基因组整合到</w:t>
      </w:r>
      <w:r>
        <w:t xml:space="preserve"> </w:t>
      </w:r>
      <w:r>
        <w:t>霍乱弧菌</w:t>
      </w:r>
      <w:r>
        <w:t xml:space="preserve"> </w:t>
      </w:r>
      <w:r>
        <w:t>还介绍了</w:t>
      </w:r>
      <w:r>
        <w:t xml:space="preserve"> </w:t>
      </w:r>
      <w:r>
        <w:t>甲硫氨酸</w:t>
      </w:r>
      <w:r>
        <w:t xml:space="preserve"> </w:t>
      </w:r>
      <w:r>
        <w:t>基因，编码导致严重急性腹泻病霍乱的主要毒素。鉴于 CTXphi 相关水平基因转移和转录控制的机制</w:t>
      </w:r>
      <w:r>
        <w:t xml:space="preserve"> </w:t>
      </w:r>
      <w:r>
        <w:t>甲硫氨酸</w:t>
      </w:r>
      <w:r>
        <w:t xml:space="preserve"> </w:t>
      </w:r>
      <w:r>
        <w:t>在过去的几年中，基因已被深入研究，但影响 CTX 生命周期的转录后调控尚未有记录。在这里，我们报告了从 3’UTR（非翻译区）产生的 CisR 小 RNA (sRNA) 的鉴定和表征。</w:t>
      </w:r>
      <w:r>
        <w:t xml:space="preserve"> </w:t>
      </w:r>
      <w:r>
        <w:t>病毒</w:t>
      </w:r>
      <w:r>
        <w:t xml:space="preserve"> </w:t>
      </w:r>
      <w:r>
        <w:t>基因并抑制 CTXphi 编码的表达</w:t>
      </w:r>
      <w:r>
        <w:t xml:space="preserve"> </w:t>
      </w:r>
      <w:r>
        <w:t>等普值</w:t>
      </w:r>
      <w:r>
        <w:t xml:space="preserve"> </w:t>
      </w:r>
      <w:r>
        <w:t>mRNA。 CisR 介导的抑制</w:t>
      </w:r>
      <w:r>
        <w:t xml:space="preserve"> </w:t>
      </w:r>
      <w:r>
        <w:t>等普值</w:t>
      </w:r>
      <w:r>
        <w:t xml:space="preserve"> </w:t>
      </w:r>
      <w:r>
        <w:t>涉及两个转录本的 Hfq 辅助碱基配对，并导致应激条件下 CTX 产量减少。我们进一步证明转录</w:t>
      </w:r>
      <w:r>
        <w:t xml:space="preserve"> </w:t>
      </w:r>
      <w:r>
        <w:t>顺式R病毒</w:t>
      </w:r>
      <w:r>
        <w:t xml:space="preserve"> </w:t>
      </w:r>
      <w:r>
        <w:t>需要主群体感应调节器 HapR 和 CRP (cAMP re</w:t>
      </w:r>
    </w:p>
    <w:p>
      <w:pPr>
        <w:spacing w:before="0" w:after="200" w:lineRule="auto" w:line="276"/>
      </w:pPr>
      <w:r>
        <w:rPr>
          <w:b/>
        </w:rPr>
        <w:t xml:space="preserve">Abstract (EN): </w:t>
      </w:r>
      <w:r>
        <w:t>Bacteriophages (phages) are well known to be one of the major driving forces in bacterial evolution. This also applies to virulent microorganisms, such as the major human pathogen</w:t>
      </w:r>
      <w:r>
        <w:t xml:space="preserve"> </w:t>
      </w:r>
      <w:r>
        <w:t>Vibrio cholerae</w:t>
      </w:r>
      <w:r>
        <w:t xml:space="preserve"> </w:t>
      </w:r>
      <w:r>
        <w:t>, whose pathogenic potential and epidemic proliferation largely depends on the interaction with environmental phages. Specifically, integration of the CTXϕ phage genome into the first chromosome of</w:t>
      </w:r>
      <w:r>
        <w:t xml:space="preserve"> </w:t>
      </w:r>
      <w:r>
        <w:t>V. cholerae</w:t>
      </w:r>
      <w:r>
        <w:t xml:space="preserve"> </w:t>
      </w:r>
      <w:r>
        <w:t>also introduced the</w:t>
      </w:r>
      <w:r>
        <w:t xml:space="preserve"> </w:t>
      </w:r>
      <w:r>
        <w:t>ctxAB</w:t>
      </w:r>
      <w:r>
        <w:t xml:space="preserve"> </w:t>
      </w:r>
      <w:r>
        <w:t>genes, encoding the primary toxin responsible for the severe acute diarrheal disease, cholera. Whereas the mechanisms underlying CTXϕ-associated horizontal gene transfer and transcriptional control of the</w:t>
      </w:r>
      <w:r>
        <w:t xml:space="preserve"> </w:t>
      </w:r>
      <w:r>
        <w:t>ctxAB</w:t>
      </w:r>
      <w:r>
        <w:t xml:space="preserve"> </w:t>
      </w:r>
      <w:r>
        <w:t>genes have been intensively studied over the past years, posttranscriptional regulation affecting the CTXϕ life cycle has not been documented. Here, we report the identification and characterization of the CisR small RNA (sRNA) that is produced from the 3’UTR (untranslated region) of the</w:t>
      </w:r>
      <w:r>
        <w:t xml:space="preserve"> </w:t>
      </w:r>
      <w:r>
        <w:t>prtV</w:t>
      </w:r>
      <w:r>
        <w:t xml:space="preserve"> </w:t>
      </w:r>
      <w:r>
        <w:t>gene and inhibits the expression of the CTXϕ-encoded</w:t>
      </w:r>
      <w:r>
        <w:t xml:space="preserve"> </w:t>
      </w:r>
      <w:r>
        <w:t>cep</w:t>
      </w:r>
      <w:r>
        <w:t xml:space="preserve"> </w:t>
      </w:r>
      <w:r>
        <w:t>mRNA. CisR-mediated repression of</w:t>
      </w:r>
      <w:r>
        <w:t xml:space="preserve"> </w:t>
      </w:r>
      <w:r>
        <w:t>cep</w:t>
      </w:r>
      <w:r>
        <w:t xml:space="preserve"> </w:t>
      </w:r>
      <w:r>
        <w:t>involves Hfq-assisted base-pairing of the two transcripts and results in reduced CTXϕ production under stress conditions. We further demonstrate that transcription of</w:t>
      </w:r>
      <w:r>
        <w:t xml:space="preserve"> </w:t>
      </w:r>
      <w:r>
        <w:t>prtV-cisR</w:t>
      </w:r>
      <w:r>
        <w:t xml:space="preserve"> </w:t>
      </w:r>
      <w:r>
        <w:t>requires both the master quorum-sensing regulator HapR and CRP (cAMP receptor protein), a global regulator of carbon metabolism. Taken together, our work provides evidence that</w:t>
      </w:r>
      <w:r>
        <w:t xml:space="preserve"> </w:t>
      </w:r>
      <w:r>
        <w:t>V. cholerae</w:t>
      </w:r>
      <w:r>
        <w:t xml:space="preserve"> </w:t>
      </w:r>
      <w:r>
        <w:t>employs sRNA-mediated posttranscriptional gene regulation to coordinate CTXϕ activation with both cell density and nutrient availability.</w:t>
      </w:r>
    </w:p>
    <w:p>
      <w:pPr>
        <w:spacing w:before="120" w:after="120"/>
      </w:pPr>
      <w:r>
        <w:rPr>
          <w:sz w:val="18"/>
        </w:rPr>
        <w:t>——————————————————————————————————————————————————————————————————————</w:t>
      </w:r>
    </w:p>
    <w:p>
      <w:pPr>
        <w:spacing w:before="160" w:after="40" w:line="240" w:lineRule="auto"/>
      </w:pPr>
      <w:r>
        <w:rPr>
          <w:b/>
        </w:rPr>
        <w:t xml:space="preserve">[224] </w:t>
      </w:r>
      <w:hyperlink r:id="rId670">
        <w:r>
          <w:rPr>
            <w:color w:val="1155CC"/>
            <w:u w:val="single"/>
          </w:rPr>
          <w:t>TadA 介导的 A-to-I mRNA 编辑重新连接氧化还原代谢，促进流行性肺炎克雷伯菌克隆的优势</w:t>
        </w:r>
      </w:hyperlink>
    </w:p>
    <w:p>
      <w:pPr>
        <w:spacing w:before="0" w:after="80"/>
      </w:pPr>
      <w:r>
        <w:rPr>
          <w:i/>
          <w:sz w:val="20"/>
        </w:rPr>
        <w:t>EN: TadA-mediated A-to-I mRNA editing rewires redox metabolism to promote dominance of epidemic Klebsiella pneumoniae clones</w:t>
      </w:r>
    </w:p>
    <w:p>
      <w:pPr>
        <w:spacing w:before="0" w:after="120"/>
      </w:pPr>
      <w:r>
        <w:rPr>
          <w:b/>
        </w:rPr>
        <w:t xml:space="preserve">Source: </w:t>
      </w:r>
      <w:r>
        <w:t>Proceedings of the National Academy of Sciences: Keyword search for query</w:t>
      </w:r>
      <w:r>
        <w:t xml:space="preserve">    </w:t>
      </w:r>
      <w:r>
        <w:rPr>
          <w:b/>
        </w:rPr>
        <w:t xml:space="preserve">Pub date: </w:t>
      </w:r>
      <w:r>
        <w:t>2026-06-02 07:00:00+00:00</w:t>
      </w:r>
      <w:r>
        <w:t xml:space="preserve">    </w:t>
      </w:r>
      <w:r>
        <w:rPr>
          <w:b/>
        </w:rPr>
        <w:t xml:space="preserve">DOI: </w:t>
      </w:r>
      <w:hyperlink r:id="rId671">
        <w:r>
          <w:rPr>
            <w:color w:val="1155CC"/>
            <w:u w:val="single"/>
          </w:rPr>
          <w:t>10.1073/pnas.2536397123</w:t>
        </w:r>
      </w:hyperlink>
    </w:p>
    <w:p>
      <w:pPr>
        <w:spacing w:before="0" w:after="120"/>
      </w:pPr>
      <w:r>
        <w:rPr>
          <w:b/>
        </w:rPr>
        <w:t xml:space="preserve">Notes: </w:t>
      </w:r>
      <w:r>
        <w:t>abstract_source=crossref</w:t>
      </w:r>
    </w:p>
    <w:p>
      <w:pPr>
        <w:spacing w:before="0" w:after="80" w:lineRule="auto" w:line="276"/>
      </w:pPr>
      <w:r>
        <w:rPr>
          <w:b/>
        </w:rPr>
        <w:t xml:space="preserve">摘要（ZH）: </w:t>
      </w:r>
      <w:r>
        <w:t>显性碳青霉烯类耐药</w:t>
      </w:r>
      <w:r>
        <w:t xml:space="preserve"> </w:t>
      </w:r>
      <w:r>
        <w:t>肺炎克雷伯菌</w:t>
      </w:r>
      <w:r>
        <w:t xml:space="preserve"> </w:t>
      </w:r>
      <w:r>
        <w:t>（CRKP）克隆显着加重了侵袭性感染的负担，同时严重限制了治疗选择。尽管这些高风险谱系的基因组决定因素已得到很好的表征，但固定 DNA 变异之外的适应性调节机制仍然知之甚少。在这里，我们系统地绘制了 CRKP 中腺苷到肌苷 (A-to-I) mRNA 编辑景观，并揭示了临床优势谱系具有受限的、克隆特异性的 RNA 编辑景观。我们将 PncR（一种先前未表征的 AraC/XylS 家族转录因子）和反应调节因子 DcuR 确定为在高风险克隆中富集的重要 A-to-I 编辑靶标。对这些调节因子的编辑重塑了氧化还原和代谢程序，从而提高了对与先天免疫攻击相关的氧化应激的耐受性。这些结果支持了一个模型，其中应激反应性 RNA 编辑特别是在高风险 CRKP 克隆中促进应激适应。此外，我们证明 tRNA 脱氨酶 TadA 是唯一的 A 到 I 编辑酶</w:t>
      </w:r>
      <w:r>
        <w:t xml:space="preserve"> </w:t>
      </w:r>
      <w:r>
        <w:t>肺炎克雷伯菌</w:t>
      </w:r>
      <w:r>
        <w:t xml:space="preserve"> </w:t>
      </w:r>
      <w:r>
        <w:t>，并且它的丰度决定了 mRNA 编辑的程度和多样性。这些发现将 TadA 驱动的 A-to-I 编辑确立为一个可选择的转录后调节层，可重塑细菌代谢并促进高风险 CRKP 谱系的成功，强调该轴作为一个潜在的作用</w:t>
      </w:r>
    </w:p>
    <w:p>
      <w:pPr>
        <w:spacing w:before="0" w:after="200" w:lineRule="auto" w:line="276"/>
      </w:pPr>
      <w:r>
        <w:rPr>
          <w:b/>
        </w:rPr>
        <w:t xml:space="preserve">Abstract (EN): </w:t>
      </w:r>
      <w:r>
        <w:t>Dominant carbapenem-resistant</w:t>
      </w:r>
      <w:r>
        <w:t xml:space="preserve"> </w:t>
      </w:r>
      <w:r>
        <w:t>Klebsiella pneumoniae</w:t>
      </w:r>
      <w:r>
        <w:t xml:space="preserve"> </w:t>
      </w:r>
      <w:r>
        <w:t>(CRKP) clones have markedly intensified the burden of invasive infections while severely restricting treatment options. Although genomic determinants of these high-risk lineages are well characterized, adaptive regulatory mechanisms beyond fixed DNA variation remain poorly understood. Here we systematically map the adenosine-to-inosine (A-to-I) mRNA editing landscape in CRKP and reveal that clinically dominant lineages possess a constrained and clone-specific landscape of RNA editing. We identify PncR (a previously uncharacterized AraC/XylS family transcription factor) and the response regulator DcuR as prominent A-to-I editing targets enriched in high-risk clones. Editing of these regulators reshapes redox and metabolic programs, thereby increasing tolerance to oxidative stress associated with innate immune attack. These results support a model in which stress-responsive RNA editing promotes stress adaptation specifically in high-risk CRKP clones. Furthermore, we demonstrate that the tRNA deaminase TadA is the sole A-to-I editing enzyme in</w:t>
      </w:r>
      <w:r>
        <w:t xml:space="preserve"> </w:t>
      </w:r>
      <w:r>
        <w:t>K. pneumoniae</w:t>
      </w:r>
      <w:r>
        <w:t xml:space="preserve"> </w:t>
      </w:r>
      <w:r>
        <w:t>, and that its abundance determines both the extent and diversity of mRNA editing. These findings establish TadA-driven A-to-I editing as a selectable, posttranscriptional regulatory layer that reshapes bacterial metabolism and promotes the success of high-risk CRKP lineages, highlighting this axis as a potential target for therapeutic intervention.</w:t>
      </w:r>
    </w:p>
    <w:p>
      <w:pPr>
        <w:spacing w:before="120" w:after="120"/>
      </w:pPr>
      <w:r>
        <w:rPr>
          <w:sz w:val="18"/>
        </w:rPr>
        <w:t>——————————————————————————————————————————————————————————————————————</w:t>
      </w:r>
    </w:p>
    <w:p>
      <w:pPr>
        <w:spacing w:before="160" w:after="40" w:line="240" w:lineRule="auto"/>
      </w:pPr>
      <w:r>
        <w:rPr>
          <w:b/>
        </w:rPr>
        <w:t xml:space="preserve">[225] </w:t>
      </w:r>
      <w:hyperlink r:id="rId672">
        <w:r>
          <w:rPr>
            <w:color w:val="1155CC"/>
            <w:u w:val="single"/>
          </w:rPr>
          <w:t>通过高密度相干化学界面在几何受阻自旋玻璃中产生大交换偏置效应</w:t>
        </w:r>
      </w:hyperlink>
    </w:p>
    <w:p>
      <w:pPr>
        <w:spacing w:before="0" w:after="80"/>
      </w:pPr>
      <w:r>
        <w:rPr>
          <w:i/>
          <w:sz w:val="20"/>
        </w:rPr>
        <w:t>EN: Large Exchange Bias Effect in Geometrically Frustrated Spin Glass Through High‐Density Coherent Chemical Interfaces</w:t>
      </w:r>
    </w:p>
    <w:p>
      <w:pPr>
        <w:spacing w:before="0" w:after="120"/>
      </w:pPr>
      <w:r>
        <w:rPr>
          <w:b/>
        </w:rPr>
        <w:t xml:space="preserve">Source: </w:t>
      </w:r>
      <w:r>
        <w:t>Wiley: Advanced Materials: Table of Contents</w:t>
      </w:r>
      <w:r>
        <w:t xml:space="preserve">    </w:t>
      </w:r>
      <w:r>
        <w:rPr>
          <w:b/>
        </w:rPr>
        <w:t xml:space="preserve">Pub date: </w:t>
      </w:r>
      <w:r>
        <w:t>2026-06-02 07:20:33+00:00</w:t>
      </w:r>
      <w:r>
        <w:t xml:space="preserve">    </w:t>
      </w:r>
      <w:r>
        <w:rPr>
          <w:b/>
        </w:rPr>
        <w:t xml:space="preserve">DOI: </w:t>
      </w:r>
      <w:hyperlink r:id="rId673">
        <w:r>
          <w:rPr>
            <w:color w:val="1155CC"/>
            <w:u w:val="single"/>
          </w:rPr>
          <w:t>10.1002/adma.202521775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对下一代自旋电子器件的追求主要集中在补偿亚铁磁体和非共线反铁磁体上，因为它们具有显着的交换偏置（EB）效应和最小的杂散场。然而，自旋玻璃 (SG) 系统重新成为引人注目的候选者，尽管其 EB 响应历来较弱且钉扎机制知之甚少。在此，我们报告发现了一种几何受挫的 SG 金属间材料（Mn</w:t>
      </w:r>
      <w:r>
        <w:rPr>
          <w:vertAlign w:val="subscript"/>
        </w:rPr>
        <w:t>32</w:t>
      </w:r>
      <w:r>
        <w:t>钴</w:t>
      </w:r>
      <w:r>
        <w:rPr>
          <w:vertAlign w:val="subscript"/>
        </w:rPr>
        <w:t>5</w:t>
      </w:r>
      <w:r>
        <w:t>在</w:t>
      </w:r>
      <w:r>
        <w:rPr>
          <w:vertAlign w:val="subscript"/>
        </w:rPr>
        <w:t>15</w:t>
      </w:r>
      <w:r>
        <w:t>）表现出大的电子束效应（∼0.3 T），这是通过设计高密度相干界面实现的。具体来说，该材料具有 3D 交错结构，由受挫反铁磁 (f-AFM) 富锰簇和类铁磁 (FML) 主导簇组成，与拓扑自旋玻璃态一致。利用场相关中子散射与理论计算相结合，我们建立了第一个实验证据，证明大电子束是由冻结相干 f-AFM 矩阵内 FML 态的局部钉扎产生的。这种钉扎打破了典型 SG 系统固有的遍历性，而 FML 团簇的自旋极化则创建了一个响应外部场的能量上有利的各向异性通道。这些发现为利用受挫的自旋玻璃作为自旋电子器件中的关键功能材料提供了新的可能性。</w:t>
      </w:r>
    </w:p>
    <w:p>
      <w:pPr>
        <w:spacing w:before="0" w:after="200" w:lineRule="auto" w:line="276"/>
      </w:pPr>
      <w:r>
        <w:rPr>
          <w:b/>
        </w:rPr>
        <w:t xml:space="preserve">Abstract (EN): </w:t>
      </w:r>
      <w:r>
        <w:t>The pursuit of next‐generation spintronic devices has focused heavily on compensated ferrimagnets and non‐collinear antiferromagnets, thanks to their significant exchange bias (EB) effects and minimal stray fields. However, spin glass (SG) systems are reemerging as compelling candidates despite their historically weak EB responses and poorly understood pinning mechanisms. Herein, we report the discovery of a geometrically frustrated SG intermetal material (Mn</w:t>
      </w:r>
      <w:r>
        <w:rPr>
          <w:vertAlign w:val="subscript"/>
        </w:rPr>
        <w:t>32</w:t>
      </w:r>
      <w:r>
        <w:t>Co</w:t>
      </w:r>
      <w:r>
        <w:rPr>
          <w:vertAlign w:val="subscript"/>
        </w:rPr>
        <w:t>5</w:t>
      </w:r>
      <w:r>
        <w:t>In</w:t>
      </w:r>
      <w:r>
        <w:rPr>
          <w:vertAlign w:val="subscript"/>
        </w:rPr>
        <w:t>15</w:t>
      </w:r>
      <w:r>
        <w:t>) exhibiting large EB effects (∼0.3 T), achieved by engineering high‐density coherent interfaces. Specifically, this material features a 3D interlaced structure consisting of frustrated antiferromagnetic (f‐AFM) Mn‐rich clusters and ferromagnetic‐like (FML) In‐dominant clusters, consistent with topological spin glass states. Using field‐dependent neutron scattering combined with theoretical calculations, we established the first experimental evidence that the large EB arises from the local pinning of FML states within frozen, coherent f‐AFM matrices. This pinning breaks the ergodicity inherent to typical SG systems, while spin polarization of FML clusters creates an energetically favorable anisotropic channel in response to external fields. These findings offer new possibilities for leveraging frustrated spin glasses as pivotal functional materials in spintronic devices.</w:t>
      </w:r>
    </w:p>
    <w:p>
      <w:pPr>
        <w:spacing w:before="120" w:after="120"/>
      </w:pPr>
      <w:r>
        <w:rPr>
          <w:sz w:val="18"/>
        </w:rPr>
        <w:t>——————————————————————————————————————————————————————————————————————</w:t>
      </w:r>
    </w:p>
    <w:p>
      <w:pPr>
        <w:spacing w:before="160" w:after="40" w:line="240" w:lineRule="auto"/>
      </w:pPr>
      <w:r>
        <w:rPr>
          <w:b/>
        </w:rPr>
        <w:t xml:space="preserve">[226] </w:t>
      </w:r>
      <w:hyperlink r:id="rId674">
        <w:r>
          <w:rPr>
            <w:color w:val="1155CC"/>
            <w:u w:val="single"/>
          </w:rPr>
          <w:t>人工设计的二维复合材料，具有针对温度稳定且精确的纳米机械压力传感器的定制热膨胀</w:t>
        </w:r>
      </w:hyperlink>
    </w:p>
    <w:p>
      <w:pPr>
        <w:spacing w:before="0" w:after="80"/>
      </w:pPr>
      <w:r>
        <w:rPr>
          <w:i/>
          <w:sz w:val="20"/>
        </w:rPr>
        <w:t>EN: Artificially Designed 2D Composite Material With Tailored Thermal Expansion Toward Temperature‐Stable and Accurate Nanomechanical Pressure Sensors</w:t>
      </w:r>
    </w:p>
    <w:p>
      <w:pPr>
        <w:spacing w:before="0" w:after="120"/>
      </w:pPr>
      <w:r>
        <w:rPr>
          <w:b/>
        </w:rPr>
        <w:t xml:space="preserve">Source: </w:t>
      </w:r>
      <w:r>
        <w:t>Wiley: Advanced Materials: Table of Contents</w:t>
      </w:r>
      <w:r>
        <w:t xml:space="preserve">    </w:t>
      </w:r>
      <w:r>
        <w:rPr>
          <w:b/>
        </w:rPr>
        <w:t xml:space="preserve">Pub date: </w:t>
      </w:r>
      <w:r>
        <w:t>2026-06-02 07:25:24+00:00</w:t>
      </w:r>
      <w:r>
        <w:t xml:space="preserve">    </w:t>
      </w:r>
      <w:r>
        <w:rPr>
          <w:b/>
        </w:rPr>
        <w:t xml:space="preserve">DOI: </w:t>
      </w:r>
      <w:hyperlink r:id="rId675">
        <w:r>
          <w:rPr>
            <w:color w:val="1155CC"/>
            <w:u w:val="single"/>
          </w:rPr>
          <w:t>10.1002/adma.73456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二维 (2D) 材料由于其超小质量、高杨氏模量和大应变极限，适合构建面向先进传感应用的谐振纳米机电系统 (NEMS)。然而，存在一个根本性的限制：2D 材料的热膨胀导致 2D NEMS 对温度变化的固有频率敏感度，这极大地损害了它们在实际传感应用中的部署。在这里，利用二维材料的层自由度，我们实现了一种人工设计的二维复合材料，在这种情况下是专门设计的石墨烯-二硫化钼（MoS</w:t>
      </w:r>
      <w:r>
        <w:rPr>
          <w:vertAlign w:val="subscript"/>
        </w:rPr>
        <w:t>2</w:t>
      </w:r>
      <w:r>
        <w:t>）范德华异质结构，具有定制的热膨胀，并通过利用接近零的净热膨胀成功地抑制了温度引起的频率漂移。通过这种方法，我们展示了温度稳定且高精度的 NEMS 压力传感器：在 200–400 K 范围内，与单个 MoS2 相比，我们将温度稳定性提高了 2 个数量级</w:t>
      </w:r>
      <w:r>
        <w:rPr>
          <w:vertAlign w:val="subscript"/>
        </w:rPr>
        <w:t>2</w:t>
      </w:r>
      <w:r>
        <w:t>和石墨烯器件，并在汽车级传感器所需的整个温度范围内实现了近 2000 倍的信号误差比增强。我们的策略提供了一种有效的解决方案，具有明确的设计指南，用于定制 2D 材料的热膨胀，为现实环境设置下温度稳定的 2D NEMS 传感应用开辟了新的可能性。</w:t>
      </w:r>
    </w:p>
    <w:p>
      <w:pPr>
        <w:spacing w:before="0" w:after="200" w:lineRule="auto" w:line="276"/>
      </w:pPr>
      <w:r>
        <w:rPr>
          <w:b/>
        </w:rPr>
        <w:t xml:space="preserve">Abstract (EN): </w:t>
      </w:r>
      <w:r>
        <w:t>Two‐dimensional (2D) materials are suitable for constructing resonant nanoelectromechanical systems (NEMS) toward advanced sensing applications, due to their ultrasmall mass, high Young's modulus, and large strain limit. However, there exists a fundamental limitation: the thermal expansion of 2D materials leads to intrinsic frequency susceptibility of 2D NEMS to temperature variation, which has significantly impaired their deployment in realistic sensing applications. Here, leveraging the layer degree of freedom in 2D materials, we realize a type of artificially designed 2D composite materials, in this case specifically designed graphene–molybdenum disulfide (MoS</w:t>
      </w:r>
      <w:r>
        <w:rPr>
          <w:vertAlign w:val="subscript"/>
        </w:rPr>
        <w:t>2</w:t>
      </w:r>
      <w:r>
        <w:t>) van der Waals heterostructures, with tailored thermal expansion, and successfully suppress temperature‐induced frequency drift by leveraging the near‐zero net thermal expansion. With this approach, we demonstrate temperature‐stable and highly‐accurate NEMS pressure sensors: within 200–400 K range, we improve the temperature stability by 2‐orders‐of‐magnitude compared with individual MoS</w:t>
      </w:r>
      <w:r>
        <w:rPr>
          <w:vertAlign w:val="subscript"/>
        </w:rPr>
        <w:t>2</w:t>
      </w:r>
      <w:r>
        <w:t>and graphene devices, and achieve nearly 2000‐fold enhancement of signal‐to‐error ratio over the entire temperature range required for automotive grade sensors. Our strategy offers an effective solution, with clear design guideline, for tailoring the thermal expansion of 2D materials, opening new possibilities in temperature‐stable 2D NEMS sensing applications under realistic environmental settings.</w:t>
      </w:r>
    </w:p>
    <w:p>
      <w:pPr>
        <w:spacing w:before="120" w:after="120"/>
      </w:pPr>
      <w:r>
        <w:rPr>
          <w:sz w:val="18"/>
        </w:rPr>
        <w:t>——————————————————————————————————————————————————————————————————————</w:t>
      </w:r>
    </w:p>
    <w:p>
      <w:pPr>
        <w:spacing w:before="160" w:after="40" w:line="240" w:lineRule="auto"/>
      </w:pPr>
      <w:r>
        <w:rPr>
          <w:b/>
        </w:rPr>
        <w:t xml:space="preserve">[227] </w:t>
      </w:r>
      <w:hyperlink r:id="rId676">
        <w:r>
          <w:rPr>
            <w:color w:val="1155CC"/>
            <w:u w:val="single"/>
          </w:rPr>
          <w:t>通过氟化 InP 量子点实现伤害感知和神经形态计算的灵活多频带光子突触（Adv. Mater. 31/2026）</w:t>
        </w:r>
      </w:hyperlink>
    </w:p>
    <w:p>
      <w:pPr>
        <w:spacing w:before="0" w:after="80"/>
      </w:pPr>
      <w:r>
        <w:rPr>
          <w:i/>
          <w:sz w:val="20"/>
        </w:rPr>
        <w:t>EN: Flexible Multiband Photonic Synapses for Nociceptive Perception and Neuromorphic Computation via Fluorinated InP Quantum Dots (Adv. Mater. 31/2026)</w:t>
      </w:r>
    </w:p>
    <w:p>
      <w:pPr>
        <w:spacing w:before="0" w:after="120"/>
      </w:pPr>
      <w:r>
        <w:rPr>
          <w:b/>
        </w:rPr>
        <w:t xml:space="preserve">Source: </w:t>
      </w:r>
      <w:r>
        <w:t>Wiley: Advanced Materials: Table of Contents</w:t>
      </w:r>
      <w:r>
        <w:t xml:space="preserve">    </w:t>
      </w:r>
      <w:r>
        <w:rPr>
          <w:b/>
        </w:rPr>
        <w:t xml:space="preserve">Pub date: </w:t>
      </w:r>
      <w:r>
        <w:t>2026-06-02 07:55:05+00:00</w:t>
      </w:r>
      <w:r>
        <w:t xml:space="preserve">    </w:t>
      </w:r>
      <w:r>
        <w:rPr>
          <w:b/>
        </w:rPr>
        <w:t xml:space="preserve">DOI: </w:t>
      </w:r>
      <w:hyperlink r:id="rId677">
        <w:r>
          <w:rPr>
            <w:color w:val="1155CC"/>
            <w:u w:val="single"/>
          </w:rPr>
          <w:t>10.1002/adma.73428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[228] </w:t>
      </w:r>
      <w:hyperlink r:id="rId678">
        <w:r>
          <w:rPr>
            <w:color w:val="1155CC"/>
            <w:u w:val="single"/>
          </w:rPr>
          <w:t>通过自适应金属有机纤维内结构水的超分子共聚进行水凝胶化（Adv. Mater. 31/2026）</w:t>
        </w:r>
      </w:hyperlink>
    </w:p>
    <w:p>
      <w:pPr>
        <w:spacing w:before="0" w:after="80"/>
      </w:pPr>
      <w:r>
        <w:rPr>
          <w:i/>
          <w:sz w:val="20"/>
        </w:rPr>
        <w:t>EN: Hydrogelation via Supramolecular Copolymerization of Structural Water within Adaptive Metal–Organic Fibers (Adv. Mater. 31/2026)</w:t>
      </w:r>
    </w:p>
    <w:p>
      <w:pPr>
        <w:spacing w:before="0" w:after="120"/>
      </w:pPr>
      <w:r>
        <w:rPr>
          <w:b/>
        </w:rPr>
        <w:t xml:space="preserve">Source: </w:t>
      </w:r>
      <w:r>
        <w:t>Wiley: Advanced Materials: Table of Contents</w:t>
      </w:r>
      <w:r>
        <w:t xml:space="preserve">    </w:t>
      </w:r>
      <w:r>
        <w:rPr>
          <w:b/>
        </w:rPr>
        <w:t xml:space="preserve">Pub date: </w:t>
      </w:r>
      <w:r>
        <w:t>2026-06-02 07:55:05+00:00</w:t>
      </w:r>
      <w:r>
        <w:t xml:space="preserve">    </w:t>
      </w:r>
      <w:r>
        <w:rPr>
          <w:b/>
        </w:rPr>
        <w:t xml:space="preserve">DOI: </w:t>
      </w:r>
      <w:hyperlink r:id="rId679">
        <w:r>
          <w:rPr>
            <w:color w:val="1155CC"/>
            <w:u w:val="single"/>
          </w:rPr>
          <w:t>10.1002/adma.73425</w:t>
        </w:r>
      </w:hyperlink>
    </w:p>
    <w:p>
      <w:pPr>
        <w:spacing w:before="0" w:after="120"/>
      </w:pPr>
      <w:r>
        <w:rPr>
          <w:b/>
        </w:rPr>
        <w:t xml:space="preserve">Notes: </w:t>
      </w:r>
      <w:r>
        <w:t>abstract_source=openalex</w:t>
      </w:r>
    </w:p>
    <w:p>
      <w:pPr>
        <w:spacing w:before="0" w:after="80" w:lineRule="auto" w:line="276"/>
      </w:pPr>
      <w:r>
        <w:rPr>
          <w:b/>
        </w:rPr>
        <w:t xml:space="preserve">摘要（ZH）: </w:t>
      </w:r>
      <w:r>
        <w:t>金属有机纤维 在他们的研究文章（DOI：10.1002/adma.202519933）中，Merlin R. Stühler、Alex J. Plajer 及其同事报道了金属有机纤维，其中受限结构水充当共聚单体来驱动超分子聚合。这些管状组件形成热响应水凝胶，并通过水介导的信息传递实现选择性手性识别，从而将结构水确立为自适应超分子材料中的功能设计元素。</w:t>
      </w:r>
    </w:p>
    <w:p>
      <w:pPr>
        <w:spacing w:before="0" w:after="200" w:lineRule="auto" w:line="276"/>
      </w:pPr>
      <w:r>
        <w:rPr>
          <w:b/>
        </w:rPr>
        <w:t xml:space="preserve">Abstract (EN): </w:t>
      </w:r>
      <w:r>
        <w:t>Metal–Organic Fibers In their Research Article (DOI: 10.1002/adma.202519933), Merlin R. Stühler, Alex J. Plajer, and co-workers report metal–organic fibres in which confined structural water acts as a co-monomer to drive supramolecular polymerisation. These tubular assemblies form thermoresponsive hydrogels and enable selective chiral recognition via water-mediated information transfer, establishing structural water as a functional design element in adaptive supramolecular materials.</w:t>
      </w:r>
    </w:p>
    <w:p>
      <w:pPr>
        <w:spacing w:before="120" w:after="120"/>
      </w:pPr>
      <w:r>
        <w:rPr>
          <w:sz w:val="18"/>
        </w:rPr>
        <w:t>——————————————————————————————————————————————————————————————————————</w:t>
      </w:r>
    </w:p>
    <w:p>
      <w:pPr>
        <w:spacing w:before="160" w:after="40" w:line="240" w:lineRule="auto"/>
      </w:pPr>
      <w:r>
        <w:rPr>
          <w:b/>
        </w:rPr>
        <w:t xml:space="preserve">[229] </w:t>
      </w:r>
      <w:hyperlink r:id="rId680">
        <w:r>
          <w:rPr>
            <w:color w:val="1155CC"/>
            <w:u w:val="single"/>
          </w:rPr>
          <w:t>用于患者特定神经接口的可 3D 打印、蜂窝状组织生物电极（Adv. Mater. 31/2026）</w:t>
        </w:r>
      </w:hyperlink>
    </w:p>
    <w:p>
      <w:pPr>
        <w:spacing w:before="0" w:after="80"/>
      </w:pPr>
      <w:r>
        <w:rPr>
          <w:i/>
          <w:sz w:val="20"/>
        </w:rPr>
        <w:t>EN: 3D‐Printable, Honeycomb‐Inspired Tissue‐Like Bioelectrodes for Patient‐Specific Neural Interface (Adv. Mater. 31/2026)</w:t>
      </w:r>
    </w:p>
    <w:p>
      <w:pPr>
        <w:spacing w:before="0" w:after="120"/>
      </w:pPr>
      <w:r>
        <w:rPr>
          <w:b/>
        </w:rPr>
        <w:t xml:space="preserve">Source: </w:t>
      </w:r>
      <w:r>
        <w:t>Wiley: Advanced Materials: Table of Contents</w:t>
      </w:r>
      <w:r>
        <w:t xml:space="preserve">    </w:t>
      </w:r>
      <w:r>
        <w:rPr>
          <w:b/>
        </w:rPr>
        <w:t xml:space="preserve">Pub date: </w:t>
      </w:r>
      <w:r>
        <w:t>2026-06-02 07:55:05+00:00</w:t>
      </w:r>
      <w:r>
        <w:t xml:space="preserve">    </w:t>
      </w:r>
      <w:r>
        <w:rPr>
          <w:b/>
        </w:rPr>
        <w:t xml:space="preserve">DOI: </w:t>
      </w:r>
      <w:hyperlink r:id="rId681">
        <w:r>
          <w:rPr>
            <w:color w:val="1155CC"/>
            <w:u w:val="single"/>
          </w:rPr>
          <w:t>10.1002/adma.73433</w:t>
        </w:r>
      </w:hyperlink>
    </w:p>
    <w:p>
      <w:pPr>
        <w:spacing w:before="0" w:after="120"/>
      </w:pPr>
      <w:r>
        <w:rPr>
          <w:b/>
        </w:rPr>
        <w:t xml:space="preserve">Notes: </w:t>
      </w:r>
      <w:r>
        <w:t>abstract_source=openalex</w:t>
      </w:r>
    </w:p>
    <w:p>
      <w:pPr>
        <w:spacing w:before="0" w:after="80" w:lineRule="auto" w:line="276"/>
      </w:pPr>
      <w:r>
        <w:rPr>
          <w:b/>
        </w:rPr>
        <w:t xml:space="preserve">摘要（ZH）: </w:t>
      </w:r>
      <w:r>
        <w:t>患者特定的 HiPGE 这张图片展示了首个软神经接口，其灵感来自自然界中发现的蜂窝结构。受蜂窝启发、针对患者的设计使神经接口能够将组织般的柔软性与机械鲁棒性相结合，从而推进下一代脑机接口和神经调节疗法。更多详细信息，请参阅周涛、张南银、张苏林及其同事的研究文章 (DOI: 10.1002/adma.202516291)。</w:t>
      </w:r>
    </w:p>
    <w:p>
      <w:pPr>
        <w:spacing w:before="0" w:after="200" w:lineRule="auto" w:line="276"/>
      </w:pPr>
      <w:r>
        <w:rPr>
          <w:b/>
        </w:rPr>
        <w:t xml:space="preserve">Abstract (EN): </w:t>
      </w:r>
      <w:r>
        <w:t>Patient-Specific HiPGE This image illustrates a first-of-its-kind soft neural interface inspired by the honeycomb architecture found in nature. The honeycomb-inspired, patient-specific design enables a neural interface that combines tissue-like softness with mechanical robustness, advancing next-generation brain-computer interfaces and neuromodulation therapies. More details can be found in the Research Article by Tao Zhou, Nanyin Zhang, Sulin Zhang, and co-workers (DOI: 10.1002/adma.202516291).</w:t>
      </w:r>
    </w:p>
    <w:p>
      <w:pPr>
        <w:spacing w:before="120" w:after="120"/>
      </w:pPr>
      <w:r>
        <w:rPr>
          <w:sz w:val="18"/>
        </w:rPr>
        <w:t>——————————————————————————————————————————————————————————————————————</w:t>
      </w:r>
    </w:p>
    <w:p>
      <w:pPr>
        <w:spacing w:before="160" w:after="40" w:line="240" w:lineRule="auto"/>
      </w:pPr>
      <w:r>
        <w:rPr>
          <w:b/>
        </w:rPr>
        <w:t xml:space="preserve">[230] </w:t>
      </w:r>
      <w:hyperlink r:id="rId682">
        <w:r>
          <w:rPr>
            <w:color w:val="1155CC"/>
            <w:u w:val="single"/>
          </w:rPr>
          <w:t>膜离子通道连接中的突触功能和神经形态信息处理（Adv. Mater. 31/2026）</w:t>
        </w:r>
      </w:hyperlink>
    </w:p>
    <w:p>
      <w:pPr>
        <w:spacing w:before="0" w:after="80"/>
      </w:pPr>
      <w:r>
        <w:rPr>
          <w:i/>
          <w:sz w:val="20"/>
        </w:rPr>
        <w:t>EN: Synaptic Functionality and Neuromorphic Information Processing in Membrane Ion Channel Junctions (Adv. Mater. 31/2026)</w:t>
      </w:r>
    </w:p>
    <w:p>
      <w:pPr>
        <w:spacing w:before="0" w:after="120"/>
      </w:pPr>
      <w:r>
        <w:rPr>
          <w:b/>
        </w:rPr>
        <w:t xml:space="preserve">Source: </w:t>
      </w:r>
      <w:r>
        <w:t>Wiley: Advanced Materials: Table of Contents</w:t>
      </w:r>
      <w:r>
        <w:t xml:space="preserve">    </w:t>
      </w:r>
      <w:r>
        <w:rPr>
          <w:b/>
        </w:rPr>
        <w:t xml:space="preserve">Pub date: </w:t>
      </w:r>
      <w:r>
        <w:t>2026-06-02 07:55:05+00:00</w:t>
      </w:r>
      <w:r>
        <w:t xml:space="preserve">    </w:t>
      </w:r>
      <w:r>
        <w:rPr>
          <w:b/>
        </w:rPr>
        <w:t xml:space="preserve">DOI: </w:t>
      </w:r>
      <w:hyperlink r:id="rId683">
        <w:r>
          <w:rPr>
            <w:color w:val="1155CC"/>
            <w:u w:val="single"/>
          </w:rPr>
          <w:t>10.1002/adma.73427</w:t>
        </w:r>
      </w:hyperlink>
    </w:p>
    <w:p>
      <w:pPr>
        <w:spacing w:before="0" w:after="120"/>
      </w:pPr>
      <w:r>
        <w:rPr>
          <w:b/>
        </w:rPr>
        <w:t xml:space="preserve">Notes: </w:t>
      </w:r>
      <w:r>
        <w:t>abstract_source=openalex</w:t>
      </w:r>
    </w:p>
    <w:p>
      <w:pPr>
        <w:spacing w:before="0" w:after="80" w:lineRule="auto" w:line="276"/>
      </w:pPr>
      <w:r>
        <w:rPr>
          <w:b/>
        </w:rPr>
        <w:t xml:space="preserve">摘要（ZH）: </w:t>
      </w:r>
      <w:r>
        <w:t>膜离子通道突触 在他们的研究文章 (DOI: 10.1002/adma.202519525) 中，Aleksandr Noy 和同事报告了膜离子通道突触 (MICS)，这是一种基于掺杂生物离子通道短杆菌肽 A 的液滴界面连接的人工离子突触。MICS 表现出强大的忆阻行为和突触可塑性，可实现神经形态应用，包括联想学习和水库计算。在一个应用中，研究人员使用 MICS 与理想对手玩井字棋棋盘游戏。</w:t>
      </w:r>
    </w:p>
    <w:p>
      <w:pPr>
        <w:spacing w:before="0" w:after="200" w:lineRule="auto" w:line="276"/>
      </w:pPr>
      <w:r>
        <w:rPr>
          <w:b/>
        </w:rPr>
        <w:t xml:space="preserve">Abstract (EN): </w:t>
      </w:r>
      <w:r>
        <w:t>Membrane Ion Channel Synapses In their Research Article (DOI: 10.1002/adma.202519525), Aleksandr Noy and co-workers report membrane ion channel synapses (MICS), artificial ionic synapses based on droplet interface junctions doped with biological ion channel Gramicidin A. MICS exhibits robust memristive behavior and synaptic plasticity and enables neuromorphic applications including associative learning and reservoir computing. In one application, researchers used MICS to play a board game of tic-tac-toe against an ideal opponent.</w:t>
      </w:r>
    </w:p>
    <w:p>
      <w:pPr>
        <w:spacing w:before="120" w:after="120"/>
      </w:pPr>
      <w:r>
        <w:rPr>
          <w:sz w:val="18"/>
        </w:rPr>
        <w:t>——————————————————————————————————————————————————————————————————————</w:t>
      </w:r>
    </w:p>
    <w:p>
      <w:pPr>
        <w:spacing w:before="160" w:after="40" w:line="240" w:lineRule="auto"/>
      </w:pPr>
      <w:r>
        <w:rPr>
          <w:b/>
        </w:rPr>
        <w:t xml:space="preserve">[231] </w:t>
      </w:r>
      <w:hyperlink r:id="rId684">
        <w:r>
          <w:rPr>
            <w:color w:val="1155CC"/>
            <w:u w:val="single"/>
          </w:rPr>
          <w:t>Co1/3TaS2 畸变 Triple-Q 磁相中的弱面内铁磁性和电子向列性</w:t>
        </w:r>
      </w:hyperlink>
    </w:p>
    <w:p>
      <w:pPr>
        <w:spacing w:before="0" w:after="80"/>
      </w:pPr>
      <w:r>
        <w:rPr>
          <w:i/>
          <w:sz w:val="20"/>
        </w:rPr>
        <w:t>EN: Weak In‐Plane Ferromagnetism and Electronic Nematicity in the Distorted Triple‐Q Magnetic Phase of Co1/3TaS2</w:t>
      </w:r>
    </w:p>
    <w:p>
      <w:pPr>
        <w:spacing w:before="0" w:after="120"/>
      </w:pPr>
      <w:r>
        <w:rPr>
          <w:b/>
        </w:rPr>
        <w:t xml:space="preserve">Source: </w:t>
      </w:r>
      <w:r>
        <w:t>Wiley: Advanced Materials: Table of Contents</w:t>
      </w:r>
      <w:r>
        <w:t xml:space="preserve">    </w:t>
      </w:r>
      <w:r>
        <w:rPr>
          <w:b/>
        </w:rPr>
        <w:t xml:space="preserve">Pub date: </w:t>
      </w:r>
      <w:r>
        <w:t>2026-06-02 08:18:47+00:00</w:t>
      </w:r>
      <w:r>
        <w:t xml:space="preserve">    </w:t>
      </w:r>
      <w:r>
        <w:rPr>
          <w:b/>
        </w:rPr>
        <w:t xml:space="preserve">DOI: </w:t>
      </w:r>
      <w:hyperlink r:id="rId685">
        <w:r>
          <w:rPr>
            <w:color w:val="1155CC"/>
            <w:u w:val="single"/>
          </w:rPr>
          <w:t>10.1002/adma.202600020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插层过渡金属二硫属化物具有三重结构</w:t>
      </w:r>
      <w:r>
        <w:t xml:space="preserve"> </w:t>
      </w:r>
      <w:r>
        <w:t>问</w:t>
      </w:r>
      <w:r>
        <w:t xml:space="preserve"> </w:t>
      </w:r>
      <w:r>
        <w:t>(3</w:t>
      </w:r>
      <w:r>
        <w:t xml:space="preserve"> </w:t>
      </w:r>
      <w:r>
        <w:t>问</w:t>
      </w:r>
      <w:r>
        <w:t xml:space="preserve"> </w:t>
      </w:r>
      <w:r>
        <w:t>）与电子向列性共存的非共面反铁磁态，表明三重旋转对称性被破坏。这种向列性表现出多种场和应变可调性，使其在自旋电子学应用中具有广阔的前景。然而，它与磁性的微观联系仍不清楚。在这里，我们报告了在磁阻和磁扭矩中观察到的旋转磁滞，揭示了三重磁矩中强固定的面内弱铁磁矩。</w:t>
      </w:r>
      <w:r>
        <w:t xml:space="preserve"> </w:t>
      </w:r>
      <w:r>
        <w:t>问</w:t>
      </w:r>
      <w:r>
        <w:t xml:space="preserve"> </w:t>
      </w:r>
      <w:r>
        <w:t>相和共存向列性的磁驱动性质。特别是，当磁场在窄角度范围内旋转以限制磁化反转时，我们观察到额外的磁滞回线。这种滞后现象可以通过域重新填充得到很好的解释，并得到我们基于 的自旋哈密顿量的理论模拟的进一步支持。这些结果表明，弱面内铁磁矩为自旋驱动的电子向列性提供了额外的处理方法，提供了 3 场可调电子响应的微观图像。</w:t>
      </w:r>
      <w:r>
        <w:t xml:space="preserve"> </w:t>
      </w:r>
      <w:r>
        <w:t>问</w:t>
      </w:r>
      <w:r>
        <w:t xml:space="preserve"> </w:t>
      </w:r>
      <w:r>
        <w:t>的状态。</w:t>
      </w:r>
    </w:p>
    <w:p>
      <w:pPr>
        <w:spacing w:before="0" w:after="200" w:lineRule="auto" w:line="276"/>
      </w:pPr>
      <w:r>
        <w:rPr>
          <w:b/>
        </w:rPr>
        <w:t xml:space="preserve">Abstract (EN): </w:t>
      </w:r>
      <w:r>
        <w:t>An intercalated transition‐metal dichalcogenide  hosts a triple‐</w:t>
      </w:r>
      <w:r>
        <w:t xml:space="preserve"> </w:t>
      </w:r>
      <w:r>
        <w:t>Q</w:t>
      </w:r>
      <w:r>
        <w:t xml:space="preserve"> </w:t>
      </w:r>
      <w:r>
        <w:t>(3</w:t>
      </w:r>
      <w:r>
        <w:t xml:space="preserve"> </w:t>
      </w:r>
      <w:r>
        <w:t>Q</w:t>
      </w:r>
      <w:r>
        <w:t xml:space="preserve"> </w:t>
      </w:r>
      <w:r>
        <w:t>) noncoplanar antiferromagnetic state that co‐exists with  electronic nematicity, indicating broken threefold rotational symmetry. This nematicity exhibits versatile field‐ and strain‐tunability, making it promising for spintronics applications. However, its microscopic connection to magnetism has remained unclear. Here, we report rotational hysteresis observed in both magnetoresistance and magnetic torque, revealing strongly pinned in‐plane weak ferromagnetic moments in the triple‐</w:t>
      </w:r>
      <w:r>
        <w:t xml:space="preserve"> </w:t>
      </w:r>
      <w:r>
        <w:t>Q</w:t>
      </w:r>
      <w:r>
        <w:t xml:space="preserve"> </w:t>
      </w:r>
      <w:r>
        <w:t>phase and the magnetism‐driven nature of the co‐existing nematicity. In particular, when fields are rotated within a narrow angular range to restrict magnetization reversal, we observe additional hysteresis loops. This hysteresis can be well explained by domain repopulation, further supported by our theoretical simulations based on the spin Hamiltonian of . These results demonstrate that the weak in‐plane ferromagnetic moment offers an additional handle on the spin‐driven electronic nematicity, providing a microscopic picture of the field‐tunable electronic responses in the 3</w:t>
      </w:r>
      <w:r>
        <w:t xml:space="preserve"> </w:t>
      </w:r>
      <w:r>
        <w:t>Q</w:t>
      </w:r>
      <w:r>
        <w:t xml:space="preserve"> </w:t>
      </w:r>
      <w:r>
        <w:t>state of .</w:t>
      </w:r>
    </w:p>
    <w:p>
      <w:pPr>
        <w:spacing w:before="120" w:after="120"/>
      </w:pPr>
      <w:r>
        <w:rPr>
          <w:sz w:val="18"/>
        </w:rPr>
        <w:t>——————————————————————————————————————————————————————————————————————</w:t>
      </w:r>
    </w:p>
    <w:p>
      <w:pPr>
        <w:spacing w:before="160" w:after="40" w:line="240" w:lineRule="auto"/>
      </w:pPr>
      <w:r>
        <w:rPr>
          <w:b/>
        </w:rPr>
        <w:t xml:space="preserve">[232] </w:t>
      </w:r>
      <w:hyperlink r:id="rId686">
        <w:r>
          <w:rPr>
            <w:color w:val="1155CC"/>
            <w:u w:val="single"/>
          </w:rPr>
          <w:t>两性离子聚合物：合成、结构、性能和生物医学应用</w:t>
        </w:r>
      </w:hyperlink>
    </w:p>
    <w:p>
      <w:pPr>
        <w:spacing w:before="0" w:after="80"/>
      </w:pPr>
      <w:r>
        <w:rPr>
          <w:i/>
          <w:sz w:val="20"/>
        </w:rPr>
        <w:t>EN: Zwitterionic Polymers: Synthesis, Architectures, Properties, and Biomedical Applications</w:t>
      </w:r>
    </w:p>
    <w:p>
      <w:pPr>
        <w:spacing w:before="0" w:after="120"/>
      </w:pPr>
      <w:r>
        <w:rPr>
          <w:b/>
        </w:rPr>
        <w:t xml:space="preserve">Source: </w:t>
      </w:r>
      <w:r>
        <w:t>Wiley: Advanced Materials: Table of Contents</w:t>
      </w:r>
      <w:r>
        <w:t xml:space="preserve">    </w:t>
      </w:r>
      <w:r>
        <w:rPr>
          <w:b/>
        </w:rPr>
        <w:t xml:space="preserve">Pub date: </w:t>
      </w:r>
      <w:r>
        <w:t>2026-06-02 08:20:54+00:00</w:t>
      </w:r>
      <w:r>
        <w:t xml:space="preserve">    </w:t>
      </w:r>
      <w:r>
        <w:rPr>
          <w:b/>
        </w:rPr>
        <w:t xml:space="preserve">DOI: </w:t>
      </w:r>
      <w:hyperlink r:id="rId687">
        <w:r>
          <w:rPr>
            <w:color w:val="1155CC"/>
            <w:u w:val="single"/>
          </w:rPr>
          <w:t>10.1002/adma.73461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两性离子聚合物是一类聚合物材料，其特征是重复单元带有相同数量的带正电和带负电的基团。其独特的化学结构通过离子溶剂化赋予强大的水化作用，从而产生独特的性能，例如抗蛋白质吸附和细胞粘附、有效的界面润滑、增强的药物稳定性和抗冻能力。因此，近年来，两性离子聚合物在生物医学应用中引起了极大的关注。本综述通过面向应用的“合成-结构-应用”框架总结了两性离子聚合物。我们强调，它们的生物医学性能不仅仅取决于两性离子聚合物的类型，而是取决于合成策略、链级拓扑、材料结构和特定应用的生物相互作用之间的层次关系。相反，应用要求指导材料结构、聚合物拓扑、合成策略和两性离子聚合物的选择。从这个角度来看，合成路线被讨论为控制聚合物拓扑和结构的工具，而生物医学应用则根据所需的材料形式和界面特性进行分析。我们进一步讨论了两性离子聚合物的当前转化状况、其主要的临床挑战和潜在的解决方案。这篇综述提供了一个面向应用的设计路线图，用于连接两性离子化学、聚合物合成、材料弧</w:t>
      </w:r>
    </w:p>
    <w:p>
      <w:pPr>
        <w:spacing w:before="0" w:after="200" w:lineRule="auto" w:line="276"/>
      </w:pPr>
      <w:r>
        <w:rPr>
          <w:b/>
        </w:rPr>
        <w:t xml:space="preserve">Abstract (EN): </w:t>
      </w:r>
      <w:r>
        <w:t>Zwitterionic polymers are a class of polymeric materials characterized by repeating units bearing equal numbers of positively and negatively charged groups. Their unique chemical structure confers a strong hydration effect via ionic solvation, leading to distinctive properties such as resistance to protein adsorption and cell adhesion, effective interfacial lubrication, enhanced drug stability, and antifreezing capability. Consequently, zwitterionic polymers have garnered significant attention in biomedical applications in recent years. This review summarizes zwitterionic polymers through an application‐oriented “synthesis–architecture–application” framework. We emphasize that their biomedical performance is not determined solely by types of zwitterionic polymers, but by the hierarchical relationship among synthetic strategy, chain‐level topology, material architecture, and application‐specific biological interactions. Conversely, application requirements guide the selection of material architecture, polymer topology, synthetic strategy, and zwitterionic polymers. From this perspective, synthetic routes are discussed as tools for controlling polymer topology and architecture, while biomedical applications are analyzed in terms of the material forms and interfacial properties they require. We further discuss the current translational status of zwitterionic polymers, their major clinical challenges, and potential solutions. This review provides an application‐oriented design roadmap for linking zwitterionic chemistry, polymer synthesis, material architecture, and biomedical translation.</w:t>
      </w:r>
    </w:p>
    <w:p>
      <w:pPr>
        <w:spacing w:before="120" w:after="120"/>
      </w:pPr>
      <w:r>
        <w:rPr>
          <w:sz w:val="18"/>
        </w:rPr>
        <w:t>——————————————————————————————————————————————————————————————————————</w:t>
      </w:r>
    </w:p>
    <w:p>
      <w:pPr>
        <w:spacing w:before="160" w:after="40" w:line="240" w:lineRule="auto"/>
      </w:pPr>
      <w:r>
        <w:rPr>
          <w:b/>
        </w:rPr>
        <w:t xml:space="preserve">[233] </w:t>
      </w:r>
      <w:hyperlink r:id="rId688">
        <w:r>
          <w:rPr>
            <w:color w:val="1155CC"/>
            <w:u w:val="single"/>
          </w:rPr>
          <w:t>二维钙钛矿工程为高性能钙钛矿太阳能电池提供坚固的自组装单层膜</w:t>
        </w:r>
      </w:hyperlink>
    </w:p>
    <w:p>
      <w:pPr>
        <w:spacing w:before="0" w:after="80"/>
      </w:pPr>
      <w:r>
        <w:rPr>
          <w:i/>
          <w:sz w:val="20"/>
        </w:rPr>
        <w:t>EN: 2D Perovskite Engineering Enables Robust Self‐Assembled Monolayers for High‐Performance Perovskite Solar Cells</w:t>
      </w:r>
    </w:p>
    <w:p>
      <w:pPr>
        <w:spacing w:before="0" w:after="120"/>
      </w:pPr>
      <w:r>
        <w:rPr>
          <w:b/>
        </w:rPr>
        <w:t xml:space="preserve">Source: </w:t>
      </w:r>
      <w:r>
        <w:t>Wiley: Advanced Materials: Table of Contents</w:t>
      </w:r>
      <w:r>
        <w:t xml:space="preserve">    </w:t>
      </w:r>
      <w:r>
        <w:rPr>
          <w:b/>
        </w:rPr>
        <w:t xml:space="preserve">Pub date: </w:t>
      </w:r>
      <w:r>
        <w:t>2026-06-02 10:06:59+00:00</w:t>
      </w:r>
      <w:r>
        <w:t xml:space="preserve">    </w:t>
      </w:r>
      <w:r>
        <w:rPr>
          <w:b/>
        </w:rPr>
        <w:t xml:space="preserve">DOI: </w:t>
      </w:r>
      <w:hyperlink r:id="rId689">
        <w:r>
          <w:rPr>
            <w:color w:val="1155CC"/>
            <w:u w:val="single"/>
          </w:rPr>
          <w:t>10.1002/adma.73561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层（SAM）是倒置钙钛矿太阳能电池（PSC）中关键的空穴选择性接触，但其实际应用受到基于溶液的钙钛矿沉积过程中解吸和聚集的阻碍。在这里，我们报告了一种使用挥发性丙基氯化铵的瞬态二维（2D）钙钛矿保护策略，该策略暂时保护 SAM 免受溶剂诱导的降解，并随后在热退火过程中解耦。这种机制保留了 SAM 界面的完整性，同时实现大面积钙钛矿薄膜的均匀结晶和高效的电荷提取。因此，PSC 在 0.05 cm 的距离内实现了 26.14% 的功率转换效率 (PCE)</w:t>
      </w:r>
      <w:r>
        <w:rPr>
          <w:vertAlign w:val="subscript"/>
        </w:rPr>
        <w:t>2</w:t>
      </w:r>
      <w:r>
        <w:t>设备，5 × 5 cm 为 23.27%</w:t>
      </w:r>
      <w:r>
        <w:rPr>
          <w:vertAlign w:val="subscript"/>
        </w:rPr>
        <w:t>2</w:t>
      </w:r>
      <w:r>
        <w:t>迷你模块，30 × 30 cm 为 22.34%</w:t>
      </w:r>
      <w:r>
        <w:rPr>
          <w:vertAlign w:val="subscript"/>
        </w:rPr>
        <w:t>2</w:t>
      </w:r>
      <w:r>
        <w:t>模块（615.7 厘米</w:t>
      </w:r>
      <w:r>
        <w:rPr>
          <w:vertAlign w:val="subscript"/>
        </w:rPr>
        <w:t>2</w:t>
      </w:r>
      <w:r>
        <w:t>活动区域）。值得注意的是，大面积组件在连续最大功率点运行 2000 小时后仍保留了 90% 的初始效率，展示了高性能和运行稳定性，突出了可靠的钙钛矿光伏发电的可扩展路线。</w:t>
      </w:r>
    </w:p>
    <w:p>
      <w:pPr>
        <w:spacing w:before="0" w:after="200" w:lineRule="auto" w:line="276"/>
      </w:pPr>
      <w:r>
        <w:rPr>
          <w:b/>
        </w:rPr>
        <w:t xml:space="preserve">Abstract (EN): </w:t>
      </w:r>
      <w:r>
        <w:t>Self‐assembled monolayers (SAMs) are critical hole‐selective contacts in inverted perovskite solar cells (PSCs), yet their practical implementation is hindered by desorption and aggregation during solution‐based perovskite deposition. Here, we report a transient two‐dimensional (2D) perovskite protection strategy using volatile propylammonium chloride, which temporarily shields SAMs from solvent‐induced degradation and subsequently decouples during thermal annealing. This mechanism preserves the integrity of the SAM interface while enabling uniform crystallization of large‐area perovskite films and efficient charge extraction. Consequently, PSCs achieve a power conversion efficiency (PCE) of 26.14% for 0.05 cm</w:t>
      </w:r>
      <w:r>
        <w:rPr>
          <w:vertAlign w:val="subscript"/>
        </w:rPr>
        <w:t>2</w:t>
      </w:r>
      <w:r>
        <w:t>devices, 23.27% for a 5 × 5 cm</w:t>
      </w:r>
      <w:r>
        <w:rPr>
          <w:vertAlign w:val="subscript"/>
        </w:rPr>
        <w:t>2</w:t>
      </w:r>
      <w:r>
        <w:t>mini‐module, and 22.34% for a 30 × 30 cm</w:t>
      </w:r>
      <w:r>
        <w:rPr>
          <w:vertAlign w:val="subscript"/>
        </w:rPr>
        <w:t>2</w:t>
      </w:r>
      <w:r>
        <w:t>module (615.7 cm</w:t>
      </w:r>
      <w:r>
        <w:rPr>
          <w:vertAlign w:val="subscript"/>
        </w:rPr>
        <w:t>2</w:t>
      </w:r>
      <w:r>
        <w:t>active area). Notably, the large‐area module retains 90% of its initial efficiency after 2000 h of continuous maximum power point operation, demonstrating both high performance and operational stability, highlighting a scalable route for reliable perovskite photovoltaics.</w:t>
      </w:r>
    </w:p>
    <w:p>
      <w:pPr>
        <w:spacing w:before="120" w:after="120"/>
      </w:pPr>
      <w:r>
        <w:rPr>
          <w:sz w:val="18"/>
        </w:rPr>
        <w:t>——————————————————————————————————————————————————————————————————————</w:t>
      </w:r>
    </w:p>
    <w:p>
      <w:pPr>
        <w:spacing w:before="160" w:after="40" w:line="240" w:lineRule="auto"/>
      </w:pPr>
      <w:r>
        <w:rPr>
          <w:b/>
        </w:rPr>
        <w:t xml:space="preserve">[234] </w:t>
      </w:r>
      <w:hyperlink r:id="rId690">
        <w:r>
          <w:rPr>
            <w:color w:val="1155CC"/>
            <w:u w:val="single"/>
          </w:rPr>
          <w:t>温度场驱动的钙钛矿熔体定向空间受限结晶朝向高性能光电器件</w:t>
        </w:r>
      </w:hyperlink>
    </w:p>
    <w:p>
      <w:pPr>
        <w:spacing w:before="0" w:after="80"/>
      </w:pPr>
      <w:r>
        <w:rPr>
          <w:i/>
          <w:sz w:val="20"/>
        </w:rPr>
        <w:t>EN: Temperature Field‐Driven Directional Space‐Confined Crystallization of Perovskite Melt Toward High‐Performance Optoelectronic Devices</w:t>
      </w:r>
    </w:p>
    <w:p>
      <w:pPr>
        <w:spacing w:before="0" w:after="120"/>
      </w:pPr>
      <w:r>
        <w:rPr>
          <w:b/>
        </w:rPr>
        <w:t xml:space="preserve">Source: </w:t>
      </w:r>
      <w:r>
        <w:t>Wiley: Advanced Materials: Table of Contents</w:t>
      </w:r>
      <w:r>
        <w:t xml:space="preserve">    </w:t>
      </w:r>
      <w:r>
        <w:rPr>
          <w:b/>
        </w:rPr>
        <w:t xml:space="preserve">Pub date: </w:t>
      </w:r>
      <w:r>
        <w:t>2026-06-02 11:04:30+00:00</w:t>
      </w:r>
      <w:r>
        <w:t xml:space="preserve">    </w:t>
      </w:r>
      <w:r>
        <w:rPr>
          <w:b/>
        </w:rPr>
        <w:t xml:space="preserve">DOI: </w:t>
      </w:r>
      <w:hyperlink r:id="rId691">
        <w:r>
          <w:rPr>
            <w:color w:val="1155CC"/>
            <w:u w:val="single"/>
          </w:rPr>
          <w:t>10.1002/adma.73597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电器件的发展很大程度上依赖于半导体材料和微加工技术的进步。值得注意的是，金属卤化物钙钛矿具有优异的光电性能，在光学传感技术方面显示出巨大的前景。然而，目前钙钛矿材料的加工技术主要是溶液法和气相法，存在有毒溶剂和材料浪费，对自然环境和人类健康造成危害。在此，我们原创开发了温度场驱动的定向空间受限熔融结晶策略，完美解决了有毒溶剂和材料浪费的问题，产生了高度结晶、纯取向的二维钙钛矿单晶薄膜。具有较少晶域和缺陷的长程取向单晶薄膜确保光学突触器件具有图像加密和高保真偏振成像能力。此外，熔融加工技术能够制造高质量的2D-3D钙钛矿异质结，这显着提高了2D钙钛矿的光电探测器性能。这项开创性的工作为钙钛矿光电器件的环保、高通量集成提供了新的策略和机遇。</w:t>
      </w:r>
    </w:p>
    <w:p>
      <w:pPr>
        <w:spacing w:before="0" w:after="200" w:lineRule="auto" w:line="276"/>
      </w:pPr>
      <w:r>
        <w:rPr>
          <w:b/>
        </w:rPr>
        <w:t xml:space="preserve">Abstract (EN): </w:t>
      </w:r>
      <w:r>
        <w:t>The development of optoelectronic devices relies heavily on the advancement of semiconductor materials and microfabrication technologies. Notably, metal halide perovskites with superior optoelectronic properties show great prospects for optical sensing technology. However, the current processing techniques of perovskite materials are mainly solution methods and vapor‐phase methods, facing toxic solvents and material waste, which are harmful to the natural environment and human health. Herein, we originally developed the temperature field‐driven directional space‐confined melt crystallization strategy, which perfectly solved the problems of toxic solvent and material waste, yielding highly crystalline, purely oriented 2D perovskite single‐crystal films. Long‐range‐oriented single‐crystal films with fewer crystal domains and defects ensure that optical synaptic devices possess image encryption and high‐fidelity polarization imaging capabilities. Furthermore, the melt processing technique enables the fabrication of high‐quality 2D‐3D perovskite heterojunctions, which notably improve the photodetector performance of 2D perovskite. This pioneering work provides a new strategy and opportunity for the environmentally friendly, high‐throughput integration of perovskite optoelectronic devices.</w:t>
      </w:r>
    </w:p>
    <w:p>
      <w:pPr>
        <w:spacing w:before="120" w:after="120"/>
      </w:pPr>
      <w:r>
        <w:rPr>
          <w:sz w:val="18"/>
        </w:rPr>
        <w:t>——————————————————————————————————————————————————————————————————————</w:t>
      </w:r>
    </w:p>
    <w:p>
      <w:pPr>
        <w:spacing w:before="160" w:after="40" w:line="240" w:lineRule="auto"/>
      </w:pPr>
      <w:r>
        <w:rPr>
          <w:b/>
        </w:rPr>
        <w:t xml:space="preserve">[235] </w:t>
      </w:r>
      <w:hyperlink r:id="rId692">
        <w:r>
          <w:rPr>
            <w:color w:val="1155CC"/>
            <w:u w:val="single"/>
          </w:rPr>
          <w:t>通过界面分子取向工程突破有机光伏的电压损耗瓶颈</w:t>
        </w:r>
      </w:hyperlink>
    </w:p>
    <w:p>
      <w:pPr>
        <w:spacing w:before="0" w:after="80"/>
      </w:pPr>
      <w:r>
        <w:rPr>
          <w:i/>
          <w:sz w:val="20"/>
        </w:rPr>
        <w:t>EN: Breaking the Voltage‐Loss Bottleneck in Organic Photovoltaics via Interfacial Molecular Orientation Engineering</w:t>
      </w:r>
    </w:p>
    <w:p>
      <w:pPr>
        <w:spacing w:before="0" w:after="120"/>
      </w:pPr>
      <w:r>
        <w:rPr>
          <w:b/>
        </w:rPr>
        <w:t xml:space="preserve">Source: </w:t>
      </w:r>
      <w:r>
        <w:t>Wiley: Advanced Materials: Table of Contents</w:t>
      </w:r>
      <w:r>
        <w:t xml:space="preserve">    </w:t>
      </w:r>
      <w:r>
        <w:rPr>
          <w:b/>
        </w:rPr>
        <w:t xml:space="preserve">Pub date: </w:t>
      </w:r>
      <w:r>
        <w:t>2026-06-02 14:45:06+00:00</w:t>
      </w:r>
      <w:r>
        <w:t xml:space="preserve">    </w:t>
      </w:r>
      <w:r>
        <w:rPr>
          <w:b/>
        </w:rPr>
        <w:t xml:space="preserve">DOI: </w:t>
      </w:r>
      <w:hyperlink r:id="rId693">
        <w:r>
          <w:rPr>
            <w:color w:val="1155CC"/>
            <w:u w:val="single"/>
          </w:rPr>
          <w:t>10.1002/adma.73473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受益于非富勒烯受体，有机光伏 (OPV) 的电力转换效率已超过 21%。然而，进一步的进展关键取决于抑制电压损失（</w:t>
      </w:r>
      <w:r>
        <w:t xml:space="preserve"> </w:t>
      </w:r>
      <w:r>
        <w:t>V</w:t>
      </w:r>
      <w:r>
        <w:t xml:space="preserve"> </w:t>
      </w:r>
      <w:r>
        <w:t>损失</w:t>
      </w:r>
      <w:r>
        <w:t xml:space="preserve"> </w:t>
      </w:r>
      <w:r>
        <w:t>），特别是非辐射电压损耗（Δ</w:t>
      </w:r>
      <w:r>
        <w:t xml:space="preserve"> </w:t>
      </w:r>
      <w:r>
        <w:t>V</w:t>
      </w:r>
      <w:r>
        <w:rPr>
          <w:vertAlign w:val="subscript"/>
        </w:rPr>
        <w:t>3</w:t>
      </w:r>
      <w:r>
        <w:t>）。在这里，我们采用精确控制的供体/受体双层系统，通过聚二甲基硅氧烷（PDMS）薄膜转移方法制造，系统地研究界面分子取向在控制中的内在作用。</w:t>
      </w:r>
      <w:r>
        <w:t xml:space="preserve"> </w:t>
      </w:r>
      <w:r>
        <w:t>V</w:t>
      </w:r>
      <w:r>
        <w:t xml:space="preserve"> </w:t>
      </w:r>
      <w:r>
        <w:t>损失</w:t>
      </w:r>
      <w:r>
        <w:t xml:space="preserve"> </w:t>
      </w:r>
      <w:r>
        <w:t>。具有正面/正面 (P5TCN-F0/Y6) 配置的器件表现出显着减小的 Δ</w:t>
      </w:r>
      <w:r>
        <w:t xml:space="preserve"> </w:t>
      </w:r>
      <w:r>
        <w:t>V</w:t>
      </w:r>
      <w:r>
        <w:rPr>
          <w:vertAlign w:val="subscript"/>
        </w:rPr>
        <w:t>3</w:t>
      </w:r>
      <w:r>
        <w:t>和总体</w:t>
      </w:r>
      <w:r>
        <w:t xml:space="preserve"> </w:t>
      </w:r>
      <w:r>
        <w:t>V</w:t>
      </w:r>
      <w:r>
        <w:t xml:space="preserve"> </w:t>
      </w:r>
      <w:r>
        <w:t>损失</w:t>
      </w:r>
      <w:r>
        <w:t xml:space="preserve"> </w:t>
      </w:r>
      <w:r>
        <w:t>与边缘/正面（P5TCN-F50/Y6）、正面/边缘（P5TCN-F0/BTP-2T）和边缘/边缘（P5TCN-F50/BTP-2T）对应产品相比。瞬态吸收光谱和时间分辨光致发光测量表明，面对/面对界面能够实现有效的电荷转移，同时抑制电荷转移（CT）态重组。定量分析进一步表明，CT态的非辐射复合率显着降低是电致发光量子效率增强和Δ减小的原因</w:t>
      </w:r>
      <w:r>
        <w:t xml:space="preserve"> </w:t>
      </w:r>
      <w:r>
        <w:t>V</w:t>
      </w:r>
      <w:r>
        <w:rPr>
          <w:vertAlign w:val="subscript"/>
        </w:rPr>
        <w:t>3</w:t>
      </w:r>
      <w:r>
        <w:t>和</w:t>
      </w:r>
    </w:p>
    <w:p>
      <w:pPr>
        <w:spacing w:before="0" w:after="200" w:lineRule="auto" w:line="276"/>
      </w:pPr>
      <w:r>
        <w:rPr>
          <w:b/>
        </w:rPr>
        <w:t xml:space="preserve">Abstract (EN): </w:t>
      </w:r>
      <w:r>
        <w:t>Benefiting from non‐fullerene acceptors, organic photovoltaics (OPVs) have achieved power conversion efficiencies exceeding 21%. However, further progress critically depends on suppressing voltage losses (</w:t>
      </w:r>
      <w:r>
        <w:t xml:space="preserve"> </w:t>
      </w:r>
      <w:r>
        <w:t>V</w:t>
      </w:r>
      <w:r>
        <w:t xml:space="preserve"> </w:t>
      </w:r>
      <w:r>
        <w:t>loss</w:t>
      </w:r>
      <w:r>
        <w:t xml:space="preserve"> </w:t>
      </w:r>
      <w:r>
        <w:t>), particularly non‐radiative voltage losses (Δ</w:t>
      </w:r>
      <w:r>
        <w:t xml:space="preserve"> </w:t>
      </w:r>
      <w:r>
        <w:t>V</w:t>
      </w:r>
      <w:r>
        <w:rPr>
          <w:vertAlign w:val="subscript"/>
        </w:rPr>
        <w:t>3</w:t>
      </w:r>
      <w:r>
        <w:t>). Here, we employ a precisely controlled donor/acceptor bilayer system, fabricated via a polydimethylsiloxane (PDMS) film‐transfer method, to systematically investigate the intrinsic role of interfacial molecular orientation in governing</w:t>
      </w:r>
      <w:r>
        <w:t xml:space="preserve"> </w:t>
      </w:r>
      <w:r>
        <w:t>V</w:t>
      </w:r>
      <w:r>
        <w:t xml:space="preserve"> </w:t>
      </w:r>
      <w:r>
        <w:t>loss</w:t>
      </w:r>
      <w:r>
        <w:t xml:space="preserve"> </w:t>
      </w:r>
      <w:r>
        <w:t>. Devices with a face‐on/face‐on (P5TCN‐F0/Y6) configuration exhibit markedly reduced Δ</w:t>
      </w:r>
      <w:r>
        <w:t xml:space="preserve"> </w:t>
      </w:r>
      <w:r>
        <w:t>V</w:t>
      </w:r>
      <w:r>
        <w:rPr>
          <w:vertAlign w:val="subscript"/>
        </w:rPr>
        <w:t>3</w:t>
      </w:r>
      <w:r>
        <w:t>and overall</w:t>
      </w:r>
      <w:r>
        <w:t xml:space="preserve"> </w:t>
      </w:r>
      <w:r>
        <w:t>V</w:t>
      </w:r>
      <w:r>
        <w:t xml:space="preserve"> </w:t>
      </w:r>
      <w:r>
        <w:t>loss</w:t>
      </w:r>
      <w:r>
        <w:t xml:space="preserve"> </w:t>
      </w:r>
      <w:r>
        <w:t>compared with edge‐on/face‐on (P5TCN‐F50/Y6), face‐on/edge‐on (P5TCN‐F0/BTP‐2T), and edge‐on/edge‐on (P5TCN‐F50/BTP‐2T) counterparts. Transient absorption spectroscopy and time‐resolved photoluminescence measurements reveal that the face‐on/face‐on interface enables efficient charge transfer while suppressing charge‐transfer (CT) states recombination. Quantitative analysis further demonstrates that the markedly reduced non‐radiative recombination rate of the CT states is responsible for the enhanced electroluminescence quantum efficiency and the reduced Δ</w:t>
      </w:r>
      <w:r>
        <w:t xml:space="preserve"> </w:t>
      </w:r>
      <w:r>
        <w:t>V</w:t>
      </w:r>
      <w:r>
        <w:rPr>
          <w:vertAlign w:val="subscript"/>
        </w:rPr>
        <w:t>3</w:t>
      </w:r>
      <w:r>
        <w:t>and</w:t>
      </w:r>
      <w:r>
        <w:t xml:space="preserve"> </w:t>
      </w:r>
      <w:r>
        <w:t>V</w:t>
      </w:r>
      <w:r>
        <w:t xml:space="preserve"> </w:t>
      </w:r>
      <w:r>
        <w:t>loss</w:t>
      </w:r>
      <w:r>
        <w:t xml:space="preserve"> </w:t>
      </w:r>
      <w:r>
        <w:t>. These findings establish interfacial molecular orientation as a key lever for minimizing Δ</w:t>
      </w:r>
      <w:r>
        <w:t xml:space="preserve"> </w:t>
      </w:r>
      <w:r>
        <w:t>V</w:t>
      </w:r>
      <w:r>
        <w:rPr>
          <w:vertAlign w:val="subscript"/>
        </w:rPr>
        <w:t>3</w:t>
      </w:r>
      <w:r>
        <w:t>without compromising high photocurrent and provide material design principles and morphology control requirements for further breaking the performance bottleneck in bulk heterojunction OPVs.</w:t>
      </w:r>
    </w:p>
    <w:p>
      <w:pPr>
        <w:spacing w:before="120" w:after="120"/>
      </w:pPr>
      <w:r>
        <w:rPr>
          <w:sz w:val="18"/>
        </w:rPr>
        <w:t>——————————————————————————————————————————————————————————————————————</w:t>
      </w:r>
    </w:p>
    <w:p>
      <w:pPr>
        <w:spacing w:before="160" w:after="40" w:line="240" w:lineRule="auto"/>
      </w:pPr>
      <w:r>
        <w:rPr>
          <w:b/>
        </w:rPr>
        <w:t xml:space="preserve">[236] </w:t>
      </w:r>
      <w:hyperlink r:id="rId694">
        <w:r>
          <w:rPr>
            <w:color w:val="1155CC"/>
            <w:u w:val="single"/>
          </w:rPr>
          <w:t>有序-无序转变诱导可拉伸胶原蛋白离子凝胶走向柔性传感器</w:t>
        </w:r>
      </w:hyperlink>
    </w:p>
    <w:p>
      <w:pPr>
        <w:spacing w:before="0" w:after="80"/>
      </w:pPr>
      <w:r>
        <w:rPr>
          <w:i/>
          <w:sz w:val="20"/>
        </w:rPr>
        <w:t>EN: Ordered–Disorder Transition Induced Stretchable Collagen Ionic Gels Toward Flexible Sensors</w:t>
      </w:r>
    </w:p>
    <w:p>
      <w:pPr>
        <w:spacing w:before="0" w:after="120"/>
      </w:pPr>
      <w:r>
        <w:rPr>
          <w:b/>
        </w:rPr>
        <w:t xml:space="preserve">Source: </w:t>
      </w:r>
      <w:r>
        <w:t>Wiley: Advanced Materials: Table of Contents</w:t>
      </w:r>
      <w:r>
        <w:t xml:space="preserve">    </w:t>
      </w:r>
      <w:r>
        <w:rPr>
          <w:b/>
        </w:rPr>
        <w:t xml:space="preserve">Pub date: </w:t>
      </w:r>
      <w:r>
        <w:t>2026-06-02 14:54:56+00:00</w:t>
      </w:r>
      <w:r>
        <w:t xml:space="preserve">    </w:t>
      </w:r>
      <w:r>
        <w:rPr>
          <w:b/>
        </w:rPr>
        <w:t xml:space="preserve">DOI: </w:t>
      </w:r>
      <w:hyperlink r:id="rId695">
        <w:r>
          <w:rPr>
            <w:color w:val="1155CC"/>
            <w:u w:val="single"/>
          </w:rPr>
          <w:t>10.1002/adma.73545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胶原蛋白等天然结构蛋白具有出色的生物相容性和机械多功能性，使其成为可穿戴和植入式传感应用的有希望的候选者。然而，在蛋白质传感材料中实现集成的高拉伸性、稳定的电性能和长期耐用性仍然是一个严峻的挑战。传统的修饰策略很大程度上局限于分子尺度的调整，往往无法同时满足这些功能需求。这项研究引入了一种根本不同的方法，利用霍夫迈斯特离子工程直接调节原胶原的聚集结构，从而实现从长程有序到熵驱动无序的结构转变。与之前依赖化学交联或外源添加剂的方法不同，我们的策略选择性地破坏胶原蛋白的超分子秩序，同时保留其三螺旋完整性，从而产生具有卓越弹性（断裂应变 560.00%，弹性范围 300.53%，回弹性 97.36%）、持久离子电导率（0.56 S m）的高度可拉伸和导电的离子凝胶。</w:t>
      </w:r>
      <w:r>
        <w:t xml:space="preserve"> </w:t>
      </w:r>
      <w:r>
        <w:t>−1</w:t>
      </w:r>
      <w:r>
        <w:t xml:space="preserve"> </w:t>
      </w:r>
      <w:r>
        <w:t>），以及超过 1500 个拉伸循环的可靠传感性能。通过建立介观无序的新范式，这项工作不仅加深了对离子调制分层组装的理解，而且为下一代柔性电子产品、软机器人和植入式传感系统提供了一个多功能、生物相容的平台。</w:t>
      </w:r>
    </w:p>
    <w:p>
      <w:pPr>
        <w:spacing w:before="0" w:after="200" w:lineRule="auto" w:line="276"/>
      </w:pPr>
      <w:r>
        <w:rPr>
          <w:b/>
        </w:rPr>
        <w:t xml:space="preserve">Abstract (EN): </w:t>
      </w:r>
      <w:r>
        <w:t>Natural structural proteins such as collagen offer exceptional biocompatibility and mechanical versatility, making them promising candidates for wearable and implantable sensing applications. However, achieving integrated high stretchability, stable electrical performance, and long‐term durability in protein‐based sensing materials remains a critical challenge. Conventional modification strategies are largely confined to molecular‐scale adjustments, which often fail to simultaneously address these functional demands. This study introduces a fundamentally different approach by leveraging Hofmeister‐ion engineering to directly regulate the aggregation structure of tropocollagen, which enables a structural transformation from long‐range order to entropy‐driven disorder. Unlike previous methods that rely on chemical crosslinking or exogenous additives, our strategy selectively disrupts collagen's supramolecular order while preserving its triple‐helical integrity, resulting in a highly stretchable and conductive ionic gel with exceptional elasticity (fracture strain 560.00%, elastic range 300.53%, resilience 97.36%), durable ionic conductivity (0.56 S m</w:t>
      </w:r>
      <w:r>
        <w:t xml:space="preserve"> </w:t>
      </w:r>
      <w:r>
        <w:t>−1</w:t>
      </w:r>
      <w:r>
        <w:t xml:space="preserve"> </w:t>
      </w:r>
      <w:r>
        <w:t>), and reliable sensing performance over 1500 tensile cycles. By establishing a new paradigm of mesoscale disordering, this work not only deepens the understanding of ion‐modulated hierarchical assembly but also provides a versatile, biocompatible platform for next‐generation flexible electronics, soft robotics, and implantable sensing systems.</w:t>
      </w:r>
    </w:p>
    <w:p>
      <w:pPr>
        <w:spacing w:before="120" w:after="120"/>
      </w:pPr>
      <w:r>
        <w:rPr>
          <w:sz w:val="18"/>
        </w:rPr>
        <w:t>——————————————————————————————————————————————————————————————————————</w:t>
      </w:r>
    </w:p>
    <w:p>
      <w:pPr>
        <w:spacing w:before="160" w:after="40" w:line="240" w:lineRule="auto"/>
      </w:pPr>
      <w:r>
        <w:rPr>
          <w:b/>
        </w:rPr>
        <w:t xml:space="preserve">[237] </w:t>
      </w:r>
      <w:hyperlink r:id="rId696">
        <w:r>
          <w:rPr>
            <w:color w:val="1155CC"/>
            <w:u w:val="single"/>
          </w:rPr>
          <w:t>木星及其以外的弓激波处的相对论电子加速</w:t>
        </w:r>
      </w:hyperlink>
    </w:p>
    <w:p>
      <w:pPr>
        <w:spacing w:before="0" w:after="80"/>
      </w:pPr>
      <w:r>
        <w:rPr>
          <w:i/>
          <w:sz w:val="20"/>
        </w:rPr>
        <w:t>EN: Relativistic electron acceleration at the bow shock of Jupiter and beyond</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697">
        <w:r>
          <w:rPr>
            <w:color w:val="1155CC"/>
            <w:u w:val="single"/>
          </w:rPr>
          <w:t>10.1038/s41586-026-10473-z</w:t>
        </w:r>
      </w:hyperlink>
    </w:p>
    <w:p>
      <w:pPr>
        <w:spacing w:before="0" w:after="120"/>
      </w:pPr>
      <w:r>
        <w:rPr>
          <w:b/>
        </w:rPr>
        <w:t xml:space="preserve">Notes: </w:t>
      </w:r>
      <w:r>
        <w:t>abstract_source=nature_html</w:t>
      </w:r>
    </w:p>
    <w:p>
      <w:pPr>
        <w:spacing w:before="0" w:after="80" w:lineRule="auto" w:line="276"/>
      </w:pPr>
      <w:r>
        <w:rPr>
          <w:b/>
        </w:rPr>
        <w:t xml:space="preserve">摘要（ZH）: </w:t>
      </w:r>
      <w:r>
        <w:t>无碰撞激波在整个宇宙的空间等离子体中普遍存在，并且被广泛认为是宇宙射线加速的主要场所1,2。普遍的机制是扩散激波加速，要求粒子反复穿过激波前沿，并在每次穿过时获得能量。可达到的最大能量从根本上受到希拉斯准则的限制，该准则将加速器的物理规模与最大粒子能量联系起来。然而，加速站点缺乏直接观测约束限制了我们预测大多数天体物理系统中最大粒子能量的能力。在这里，我们利用美国宇航局朱诺号航天器的数据，展示了木星弓激波上游相对论电子加速（≥1 MeV）的直接证据，由大规模前震瞬变驱动4,5。利用这些和互补的太阳系观测结果，我们提出了希拉斯极限的通用标度定律，该定律根据经验将瞬态的可观测大小与最大粒子能量联系起来。将这种标度应用到从行星弓激波6到原恒星喷流7和超新星遗迹8的各种环境中，产生了一个简单的最大可获得粒子能量模型，范围从MeV标度到约数十GeV和约数十TeV，分别为限制天体物理激波9,10下的最大宇宙射线能量提供了一种基于观测的方法。</w:t>
      </w:r>
    </w:p>
    <w:p>
      <w:pPr>
        <w:spacing w:before="0" w:after="200" w:lineRule="auto" w:line="276"/>
      </w:pPr>
      <w:r>
        <w:rPr>
          <w:b/>
        </w:rPr>
        <w:t xml:space="preserve">Abstract (EN): </w:t>
      </w:r>
      <w:r>
        <w:t>Collisionless shocks are ubiquitous in space plasmas throughout the Universe and are widely believed to be primary sites of cosmic ray acceleration1,2. The prevailing mechanism, diffusive shock acceleration, requires particles to repeatedly cross the shock front, gaining energy with each crossing. The maximum achievable energy is fundamentally constrained by the Hillas criterion, which relates the physical scale of the accelerator to the maximum particle energy3. However, the scarcity of direct observational constraints for acceleration sites limits our ability to predict maximum particle energies across most astrophysical systems. Here, using data from the Juno spacecraft of NASA, we show the direct evidence of relativistic electron acceleration (≥1 MeV) upstream of the bow shock of Jupiter, powered by a large-scale foreshock transient4,5. Leveraging these and complementary Solar System observations, we propose a universal scaling law for the Hillas limit that empirically connects the observable size of a transient to maximum particle energy. Applying this scaling to various environments, from planetary bow shocks6 to protostellar jets7 and supernova remnants8, yields a simple model of maximum obtainable particle energies ranging from MeV scales up to about tens of GeV, and about tens of TeV, respectively, providing an observationally grounded method for constraining maximum cosmic ray energies at astrophysical shocks9,10.</w:t>
      </w:r>
    </w:p>
    <w:p>
      <w:pPr>
        <w:spacing w:before="120" w:after="120"/>
      </w:pPr>
      <w:r>
        <w:rPr>
          <w:sz w:val="18"/>
        </w:rPr>
        <w:t>——————————————————————————————————————————————————————————————————————</w:t>
      </w:r>
    </w:p>
    <w:p>
      <w:pPr>
        <w:spacing w:before="160" w:after="40" w:line="240" w:lineRule="auto"/>
      </w:pPr>
      <w:r>
        <w:rPr>
          <w:b/>
        </w:rPr>
        <w:t xml:space="preserve">[238] </w:t>
      </w:r>
      <w:hyperlink r:id="rId698">
        <w:r>
          <w:rPr>
            <w:color w:val="1155CC"/>
            <w:u w:val="single"/>
          </w:rPr>
          <w:t>对矿产的热衷如何导致热带地区的森林砍伐</w:t>
        </w:r>
      </w:hyperlink>
    </w:p>
    <w:p>
      <w:pPr>
        <w:spacing w:before="0" w:after="80"/>
      </w:pPr>
      <w:r>
        <w:rPr>
          <w:i/>
          <w:sz w:val="20"/>
        </w:rPr>
        <w:t>EN: How a rush for minerals is causing deforestation in tropical regions</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699">
        <w:r>
          <w:rPr>
            <w:color w:val="1155CC"/>
            <w:u w:val="single"/>
          </w:rPr>
          <w:t>10.1038/d41586-026-01582-w</w:t>
        </w:r>
      </w:hyperlink>
    </w:p>
    <w:p>
      <w:pPr>
        <w:spacing w:before="0" w:after="120"/>
      </w:pPr>
      <w:r>
        <w:rPr>
          <w:b/>
        </w:rPr>
        <w:t xml:space="preserve">Notes: </w:t>
      </w:r>
      <w:r>
        <w:t>abstract_source=nature_html</w:t>
      </w:r>
    </w:p>
    <w:p>
      <w:pPr>
        <w:spacing w:before="0" w:after="80" w:lineRule="auto" w:line="276"/>
      </w:pPr>
      <w:r>
        <w:rPr>
          <w:b/>
        </w:rPr>
        <w:t xml:space="preserve">摘要（ZH）: </w:t>
      </w:r>
      <w:r>
        <w:t>对 2001 年至 2020 年间采矿造成撒哈拉以南非洲矿山附近地区森林砍伐的程度进行分析可能有助于保护工作。对 2001 年至 2020 年间采矿造成撒哈拉以南非洲矿山附近地区森林砍伐的程度进行分析可能有助于保护工作。</w:t>
      </w:r>
    </w:p>
    <w:p>
      <w:pPr>
        <w:spacing w:before="0" w:after="200" w:lineRule="auto" w:line="276"/>
      </w:pPr>
      <w:r>
        <w:rPr>
          <w:b/>
        </w:rPr>
        <w:t xml:space="preserve">Abstract (EN): </w:t>
      </w:r>
      <w:r>
        <w:t>An analysis of the extent to which mining caused deforestation between 2001 and 2020 in areas near mines in sub-Saharan Africa could help conservation efforts. An analysis of the extent to which mining caused deforestation between 2001 and 2020 in areas near mines in sub-Saharan Africa could help conservation efforts.</w:t>
      </w:r>
    </w:p>
    <w:p>
      <w:pPr>
        <w:spacing w:before="120" w:after="120"/>
      </w:pPr>
      <w:r>
        <w:rPr>
          <w:sz w:val="18"/>
        </w:rPr>
        <w:t>——————————————————————————————————————————————————————————————————————</w:t>
      </w:r>
    </w:p>
    <w:p>
      <w:pPr>
        <w:spacing w:before="160" w:after="40" w:line="240" w:lineRule="auto"/>
      </w:pPr>
      <w:r>
        <w:rPr>
          <w:b/>
        </w:rPr>
        <w:t xml:space="preserve">[239] </w:t>
      </w:r>
      <w:hyperlink r:id="rId700">
        <w:r>
          <w:rPr>
            <w:color w:val="1155CC"/>
            <w:u w:val="single"/>
          </w:rPr>
          <w:t>木星观测揭示了粒子加速的简单标度定律</w:t>
        </w:r>
      </w:hyperlink>
    </w:p>
    <w:p>
      <w:pPr>
        <w:spacing w:before="0" w:after="80"/>
      </w:pPr>
      <w:r>
        <w:rPr>
          <w:i/>
          <w:sz w:val="20"/>
        </w:rPr>
        <w:t>EN: Jupiter observations reveal a simple scaling law for particle acceleration</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01">
        <w:r>
          <w:rPr>
            <w:color w:val="1155CC"/>
            <w:u w:val="single"/>
          </w:rPr>
          <w:t>10.1038/d41586-026-01412-z</w:t>
        </w:r>
      </w:hyperlink>
    </w:p>
    <w:p>
      <w:pPr>
        <w:spacing w:before="0" w:after="120"/>
      </w:pPr>
      <w:r>
        <w:rPr>
          <w:b/>
        </w:rPr>
        <w:t xml:space="preserve">Notes: </w:t>
      </w:r>
      <w:r>
        <w:t>abstract_source=nature_html</w:t>
      </w:r>
    </w:p>
    <w:p>
      <w:pPr>
        <w:spacing w:before="0" w:after="80" w:lineRule="auto" w:line="276"/>
      </w:pPr>
      <w:r>
        <w:rPr>
          <w:b/>
        </w:rPr>
        <w:t xml:space="preserve">摘要（ZH）: </w:t>
      </w:r>
      <w:r>
        <w:t>木星附近的超音速冲击表明瞬态等离子体结构可以控制穿过太空的粒子的加速度。木星附近的超音速冲击表明瞬态等离子体结构可以控制穿过太空的粒子的加速度。</w:t>
      </w:r>
    </w:p>
    <w:p>
      <w:pPr>
        <w:spacing w:before="0" w:after="200" w:lineRule="auto" w:line="276"/>
      </w:pPr>
      <w:r>
        <w:rPr>
          <w:b/>
        </w:rPr>
        <w:t xml:space="preserve">Abstract (EN): </w:t>
      </w:r>
      <w:r>
        <w:t>Supersonic shocks in the vicinity of Jupiter suggest that transient plasma structures could govern the acceleration of particles travelling through space. Supersonic shocks in the vicinity of Jupiter suggest that transient plasma structures could govern the acceleration of particles travelling through space.</w:t>
      </w:r>
    </w:p>
    <w:p>
      <w:pPr>
        <w:spacing w:before="120" w:after="120"/>
      </w:pPr>
      <w:r>
        <w:rPr>
          <w:sz w:val="18"/>
        </w:rPr>
        <w:t>——————————————————————————————————————————————————————————————————————</w:t>
      </w:r>
    </w:p>
    <w:p>
      <w:pPr>
        <w:spacing w:before="160" w:after="40" w:line="240" w:lineRule="auto"/>
      </w:pPr>
      <w:r>
        <w:rPr>
          <w:b/>
        </w:rPr>
        <w:t xml:space="preserve">[240] </w:t>
      </w:r>
      <w:hyperlink r:id="rId702">
        <w:r>
          <w:rPr>
            <w:color w:val="1155CC"/>
            <w:u w:val="single"/>
          </w:rPr>
          <w:t>Cron作业书</w:t>
        </w:r>
      </w:hyperlink>
    </w:p>
    <w:p>
      <w:pPr>
        <w:spacing w:before="0" w:after="80"/>
      </w:pPr>
      <w:r>
        <w:rPr>
          <w:i/>
          <w:sz w:val="20"/>
        </w:rPr>
        <w:t>EN: Book of Cron Job</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03">
        <w:r>
          <w:rPr>
            <w:color w:val="1155CC"/>
            <w:u w:val="single"/>
          </w:rPr>
          <w:t>10.1038/d41586-026-01716-0</w:t>
        </w:r>
      </w:hyperlink>
    </w:p>
    <w:p>
      <w:pPr>
        <w:spacing w:before="0" w:after="120"/>
      </w:pPr>
      <w:r>
        <w:rPr>
          <w:b/>
        </w:rPr>
        <w:t xml:space="preserve">Notes: </w:t>
      </w:r>
      <w:r>
        <w:t>abstract_source=nature_html</w:t>
      </w:r>
    </w:p>
    <w:p>
      <w:pPr>
        <w:spacing w:before="0" w:after="80" w:lineRule="auto" w:line="276"/>
      </w:pPr>
      <w:r>
        <w:rPr>
          <w:b/>
        </w:rPr>
        <w:t xml:space="preserve">摘要（ZH）: </w:t>
      </w:r>
      <w:r>
        <w:t>行为守则。行为守则。</w:t>
      </w:r>
    </w:p>
    <w:p>
      <w:pPr>
        <w:spacing w:before="0" w:after="200" w:lineRule="auto" w:line="276"/>
      </w:pPr>
      <w:r>
        <w:rPr>
          <w:b/>
        </w:rPr>
        <w:t xml:space="preserve">Abstract (EN): </w:t>
      </w:r>
      <w:r>
        <w:t>Code of conduct. Code of conduct.</w:t>
      </w:r>
    </w:p>
    <w:p>
      <w:pPr>
        <w:spacing w:before="120" w:after="120"/>
      </w:pPr>
      <w:r>
        <w:rPr>
          <w:sz w:val="18"/>
        </w:rPr>
        <w:t>——————————————————————————————————————————————————————————————————————</w:t>
      </w:r>
    </w:p>
    <w:p>
      <w:pPr>
        <w:spacing w:before="160" w:after="40" w:line="240" w:lineRule="auto"/>
      </w:pPr>
      <w:r>
        <w:rPr>
          <w:b/>
        </w:rPr>
        <w:t xml:space="preserve">[241] </w:t>
      </w:r>
      <w:hyperlink r:id="rId704">
        <w:r>
          <w:rPr>
            <w:color w:val="1155CC"/>
            <w:u w:val="single"/>
          </w:rPr>
          <w:t>为什么合成人类基因组仍然值得构建</w:t>
        </w:r>
      </w:hyperlink>
    </w:p>
    <w:p>
      <w:pPr>
        <w:spacing w:before="0" w:after="80"/>
      </w:pPr>
      <w:r>
        <w:rPr>
          <w:i/>
          <w:sz w:val="20"/>
        </w:rPr>
        <w:t>EN: Why a synthetic human genome is still worth building</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05">
        <w:r>
          <w:rPr>
            <w:color w:val="1155CC"/>
            <w:u w:val="single"/>
          </w:rPr>
          <w:t>10.1038/d41586-026-01725-z</w:t>
        </w:r>
      </w:hyperlink>
    </w:p>
    <w:p>
      <w:pPr>
        <w:spacing w:before="0" w:after="120"/>
      </w:pPr>
      <w:r>
        <w:rPr>
          <w:b/>
        </w:rPr>
        <w:t xml:space="preserve">Notes: </w:t>
      </w:r>
      <w:r>
        <w:t>abstract_source=nature_html</w:t>
      </w:r>
    </w:p>
    <w:p>
      <w:pPr>
        <w:spacing w:before="0" w:after="80" w:lineRule="auto" w:line="276"/>
      </w:pPr>
      <w:r>
        <w:rPr>
          <w:b/>
        </w:rPr>
        <w:t xml:space="preserve">摘要（ZH）: </w:t>
      </w:r>
      <w:r>
        <w:t>一个雄心勃勃的项目启动十年后，是时候重新审视从头开始构建人类基因组的原因了。一个雄心勃勃的项目启动十年后，是时候重新审视从头开始构建人类基因组的原因了。</w:t>
      </w:r>
    </w:p>
    <w:p>
      <w:pPr>
        <w:spacing w:before="0" w:after="200" w:lineRule="auto" w:line="276"/>
      </w:pPr>
      <w:r>
        <w:rPr>
          <w:b/>
        </w:rPr>
        <w:t xml:space="preserve">Abstract (EN): </w:t>
      </w:r>
      <w:r>
        <w:t>A decade on from the launch of an ambitious project, it’s time to revisit the reasons for constructing a human genome from scratch. A decade on from the launch of an ambitious project, it’s time to revisit the reasons for constructing a human genome from scratch.</w:t>
      </w:r>
    </w:p>
    <w:p>
      <w:pPr>
        <w:spacing w:before="120" w:after="120"/>
      </w:pPr>
      <w:r>
        <w:rPr>
          <w:sz w:val="18"/>
        </w:rPr>
        <w:t>——————————————————————————————————————————————————————————————————————</w:t>
      </w:r>
    </w:p>
    <w:p>
      <w:pPr>
        <w:spacing w:before="160" w:after="40" w:line="240" w:lineRule="auto"/>
      </w:pPr>
      <w:r>
        <w:rPr>
          <w:b/>
        </w:rPr>
        <w:t xml:space="preserve">[242] </w:t>
      </w:r>
      <w:hyperlink r:id="rId706">
        <w:r>
          <w:rPr>
            <w:color w:val="1155CC"/>
            <w:u w:val="single"/>
          </w:rPr>
          <w:t>蜂王细胞结构决定了蜂王的发育</w:t>
        </w:r>
      </w:hyperlink>
    </w:p>
    <w:p>
      <w:pPr>
        <w:spacing w:before="0" w:after="80"/>
      </w:pPr>
      <w:r>
        <w:rPr>
          <w:i/>
          <w:sz w:val="20"/>
        </w:rPr>
        <w:t>EN: Queen cell architecture shapes honey bee queen development</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07">
        <w:r>
          <w:rPr>
            <w:color w:val="1155CC"/>
            <w:u w:val="single"/>
          </w:rPr>
          <w:t>10.1038/s41586-026-10534-3</w:t>
        </w:r>
      </w:hyperlink>
    </w:p>
    <w:p>
      <w:pPr>
        <w:spacing w:before="0" w:after="120"/>
      </w:pPr>
      <w:r>
        <w:rPr>
          <w:b/>
        </w:rPr>
        <w:t xml:space="preserve">Notes: </w:t>
      </w:r>
      <w:r>
        <w:t>abstract_source=nature_html</w:t>
      </w:r>
    </w:p>
    <w:p>
      <w:pPr>
        <w:spacing w:before="0" w:after="80" w:lineRule="auto" w:line="276"/>
      </w:pPr>
      <w:r>
        <w:rPr>
          <w:b/>
        </w:rPr>
        <w:t xml:space="preserve">摘要（ZH）: </w:t>
      </w:r>
      <w:r>
        <w:t>群居昆虫的巢穴结构通常被视为提供庇护或储存的静态结构组件。然而，人们对这些人工环境在多大程度上积极塑造生物特征仍知之甚少。尽管蜜蜂种姓决定的遗传和营养驱动因素已得到充分证实2,3,4，但特化蜂王细胞的作用很大程度上归因于空间或结构因素，忽视了理化微环境的影响5。在这里，我们表明工蜂建造行为积极地设计了一个对蜜蜂蜂王发育至关重要的理化生态位。皇后细胞表现出明显不同于工细胞的机械和化学特征。这些特性并不是工蜂细胞构建的偶然副产品：工蜂有意构建蜂王细胞，并在此过程中进行特定任务的生理和转录组重编程，从而能够精确设计这些细胞特性。对饲养环境的实验操作表明，这些理化线索是蜂王正常发育所必需的，作为一个关键检查点，可以深刻影响个体幼虫的发育。总之，我们的结果在社会建构行为和发育可塑性之间建立了直接的机制联系，揭示了工程环境如何引导有机体的命运。</w:t>
      </w:r>
    </w:p>
    <w:p>
      <w:pPr>
        <w:spacing w:before="0" w:after="200" w:lineRule="auto" w:line="276"/>
      </w:pPr>
      <w:r>
        <w:rPr>
          <w:b/>
        </w:rPr>
        <w:t xml:space="preserve">Abstract (EN): </w:t>
      </w:r>
      <w:r>
        <w:t>Nest architecture in social insects is often viewed as a static structural component providing shelter or storage1. However, the extent to which these constructed environments actively shape biological traits remains poorly understood. Although the genetic and nutritional drivers of honey bee caste determination are well established2,3,4, the role for specialized queen cells has largely been attributed to spatial or structural factors, overlooking the influence of the physicochemical microenvironment5. Here we show that worker construction behaviour actively engineers a physicochemical niche that is crucial for queen development in honey bees. Queen cells exhibit distinct mechanical and chemical signatures that differ markedly from those of worker cells. These properties are not an accidental by-product of worker cell construction: workers construct queen cells deliberately and, in doing so, undergo task-specific physiological and transcriptomic reprogramming that enables precise engineering of these cell properties. Experimental manipulations of the rearing environment demonstrate that these physicochemical cues are causally required for normal queen development, functioning as a critical checkpoint that can profoundly influence an individual larva’s development. Together, our results establish a direct mechanistic link between social construction behaviour and developmental plasticity, revealing how an engineered environment can channel organismal fate.</w:t>
      </w:r>
    </w:p>
    <w:p>
      <w:pPr>
        <w:spacing w:before="120" w:after="120"/>
      </w:pPr>
      <w:r>
        <w:rPr>
          <w:sz w:val="18"/>
        </w:rPr>
        <w:t>——————————————————————————————————————————————————————————————————————</w:t>
      </w:r>
    </w:p>
    <w:p>
      <w:pPr>
        <w:spacing w:before="160" w:after="40" w:line="240" w:lineRule="auto"/>
      </w:pPr>
      <w:r>
        <w:rPr>
          <w:b/>
        </w:rPr>
        <w:t xml:space="preserve">[243] </w:t>
      </w:r>
      <w:hyperlink r:id="rId708">
        <w:r>
          <w:rPr>
            <w:color w:val="1155CC"/>
            <w:u w:val="single"/>
          </w:rPr>
          <w:t>着丝粒足迹保留 ALT 癌症中端粒的完整性</w:t>
        </w:r>
      </w:hyperlink>
    </w:p>
    <w:p>
      <w:pPr>
        <w:spacing w:before="0" w:after="80"/>
      </w:pPr>
      <w:r>
        <w:rPr>
          <w:i/>
          <w:sz w:val="20"/>
        </w:rPr>
        <w:t>EN: Centromeric footprints preserve telomere integrity in ALT cancers</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09">
        <w:r>
          <w:rPr>
            <w:color w:val="1155CC"/>
            <w:u w:val="single"/>
          </w:rPr>
          <w:t>10.1038/s41586-026-10598-1</w:t>
        </w:r>
      </w:hyperlink>
    </w:p>
    <w:p>
      <w:pPr>
        <w:spacing w:before="0" w:after="120"/>
      </w:pPr>
      <w:r>
        <w:rPr>
          <w:b/>
        </w:rPr>
        <w:t xml:space="preserve">Notes: </w:t>
      </w:r>
      <w:r>
        <w:t>abstract_source=nature_html</w:t>
      </w:r>
    </w:p>
    <w:p>
      <w:pPr>
        <w:spacing w:before="0" w:after="80" w:lineRule="auto" w:line="276"/>
      </w:pPr>
      <w:r>
        <w:rPr>
          <w:b/>
        </w:rPr>
        <w:t xml:space="preserve">摘要（ZH）: </w:t>
      </w:r>
      <w:r>
        <w:t>端粒选择性延长 (ALT) 是一种特殊的端粒延长机制，与 5-10% 的癌症相关1。尽管 ALT 与表观遗传失调和基因组不稳定有关，但 ALT 激活后产生的特定基因组和表观遗传重排尚未确定。在这里，我们报告了着丝粒 α-卫星重复序列和 CENP-B 盒在端粒位置的插入，特别是在 ALT 癌细胞系和原发性 ALT 儿童神经母细胞瘤中，表明这种改变的病理联系。使用长读长测序 (DiMeLo-seq) 的定向甲基化分析揭示了 CENP-A 染色质在染色体子集上的端粒位置组装的离散足迹。通过模拟 ALT 激活，我们发现由于 ATRX 丢失和 DNA 低甲基化导致的表观遗传失调有助于获得这些着丝粒染色质特征。从功能上讲，干扰 HJURP 介导的 CENP-A 沉积会损害端粒完整性和 ALT，导致端粒有丝分裂 DNA 合成 (MiDAS) 异常。我们提出，虽然最初是通过非法重组产生的，但这些着丝粒特征通过在 ALT 癌细胞的独特环境中维持端粒染色质的完整性而成为不可或缺的一部分。</w:t>
      </w:r>
    </w:p>
    <w:p>
      <w:pPr>
        <w:spacing w:before="0" w:after="200" w:lineRule="auto" w:line="276"/>
      </w:pPr>
      <w:r>
        <w:rPr>
          <w:b/>
        </w:rPr>
        <w:t xml:space="preserve">Abstract (EN): </w:t>
      </w:r>
      <w:r>
        <w:t>Alternative lengthening of telomeres (ALT) is a specialized telomere extension mechanism associated with 5–10% of all cancers1. Although ALT has been linked to epigenetic dysregulation and genome instability, specific genomic and epigenetic rearrangements generated after ALT activation have not been identified. Here we report the insertion of centromeric α-satellite repeats and CENP-B boxes at telomeric locations specifically in ALT cancer cell lines and primary ALT paediatric neuroblastomas, indicating a pathological link for this alteration. Analysis using directed methylation with long-read sequencing (DiMeLo-seq) revealed discrete footprints of CENP-A chromatin assembled at telomeric locations on subsets of chromosomes. By modelling ALT activation, we show that epigenetic dysregulation due to ATRX loss and DNA hypomethylation facilitates the acquisition of these centromeric chromatin signatures. Functionally, interfering with HJURP-mediated CENP-A deposition compromises telomere integrity and ALT, leading to aberrant telomeric mitotic DNA synthesis (MiDAS). We propose that, while originally generated by illegitimate recombination, these centromeric signatures became integral by maintaining telomeric chromatin integrity in the unique context of ALT cancer cells.</w:t>
      </w:r>
    </w:p>
    <w:p>
      <w:pPr>
        <w:spacing w:before="120" w:after="120"/>
      </w:pPr>
      <w:r>
        <w:rPr>
          <w:sz w:val="18"/>
        </w:rPr>
        <w:t>——————————————————————————————————————————————————————————————————————</w:t>
      </w:r>
    </w:p>
    <w:p>
      <w:pPr>
        <w:spacing w:before="160" w:after="40" w:line="240" w:lineRule="auto"/>
      </w:pPr>
      <w:r>
        <w:rPr>
          <w:b/>
        </w:rPr>
        <w:t xml:space="preserve">[244] </w:t>
      </w:r>
      <w:hyperlink r:id="rId710">
        <w:r>
          <w:rPr>
            <w:color w:val="1155CC"/>
            <w:u w:val="single"/>
          </w:rPr>
          <w:t>高保真模块化骨架证实了苔藓虫的寒武纪起源</w:t>
        </w:r>
      </w:hyperlink>
    </w:p>
    <w:p>
      <w:pPr>
        <w:spacing w:before="0" w:after="80"/>
      </w:pPr>
      <w:r>
        <w:rPr>
          <w:i/>
          <w:sz w:val="20"/>
        </w:rPr>
        <w:t>EN: High-fidelity modular skeletons authenticate a Cambrian origin for Bryozoa</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11">
        <w:r>
          <w:rPr>
            <w:color w:val="1155CC"/>
            <w:u w:val="single"/>
          </w:rPr>
          <w:t>10.1038/s41586-026-10590-9</w:t>
        </w:r>
      </w:hyperlink>
    </w:p>
    <w:p>
      <w:pPr>
        <w:spacing w:before="0" w:after="120"/>
      </w:pPr>
      <w:r>
        <w:rPr>
          <w:b/>
        </w:rPr>
        <w:t xml:space="preserve">Notes: </w:t>
      </w:r>
      <w:r>
        <w:t>abstract_source=nature_html</w:t>
      </w:r>
    </w:p>
    <w:p>
      <w:pPr>
        <w:spacing w:before="0" w:after="80" w:lineRule="auto" w:line="276"/>
      </w:pPr>
      <w:r>
        <w:rPr>
          <w:b/>
        </w:rPr>
        <w:t xml:space="preserve">摘要（ZH）: </w:t>
      </w:r>
      <w:r>
        <w:t>主要的动物身体结构起源于寒武纪大爆发期间，但苔藓虫门仍然是这种模式的一个明显的例外。 Protomelission gatewayhousei2 的最初发现为苔藓虫以及其他主要后生动物门的寒武纪起源提供了令人信服的证据，并且与独立分子钟估计相一致3,4,5,6,7。然而，由于缺乏明确的软组织解剖学和诊断性骨骼微观结构，导致其系统发育亲和力含糊不清并引起争议8,9。在这里，我们报道了 P.gatehousei 的精美化石和一个新分类单元 Dayingomelission hexaclitia gen。等11月，产自中国早寒武世仙女洞组。这些标本在模块化骨架中保存了原位磷化软组织，揭示了关键的解剖结构，包括样式、环状肌肉、膜囊和环隔膜。这组特征提供了确凿的证据，证明这些类群属于苔藓虫门。结合这些新特征的系统发育分析将它们鉴定为冠群 stenoolaemates。这些结果证实了该门的寒武纪起源，并揭示了殖民建筑中意想不到的早期差异，表明苔藓虫多样化是寒武纪辐射的一个组成部分。此外，分化的茎尖冠群的早期出现表明苔藓虫茎谱系的起源比最初明显的更深。</w:t>
      </w:r>
    </w:p>
    <w:p>
      <w:pPr>
        <w:spacing w:before="0" w:after="200" w:lineRule="auto" w:line="276"/>
      </w:pPr>
      <w:r>
        <w:rPr>
          <w:b/>
        </w:rPr>
        <w:t xml:space="preserve">Abstract (EN): </w:t>
      </w:r>
      <w:r>
        <w:t>The major animal body plans originated during the Cambrian explosion, yet the phylum Bryozoa has remained a conspicuous exception to this pattern1. The initial discovery of Protomelission gatehousei2 provided compelling evidence for a Cambrian origin for the Bryozoa, together with other major metazoan phyla and compatible with independent molecular clock estimates3,4,5,6,7. Nevertheless, the scarcity of definitive soft-tissue anatomy and diagnostic skeletal microstructure has left its phylogenetic affinities ambiguous and debated8,9. Here we report exquisite fossils of P. gatehousei and a new taxon, Dayingomelission hexaclitia gen. et sp. nov., from the early Cambrian Xiannüdong Formation of China. These specimens preserve in situ phosphatized soft tissues in modular skeletons, revealing critical anatomical structures, including styles, annular muscles, membranous sacs and ring septa. This suite of traits provides definitive evidence that these taxa belong to the Bryozoa. Phylogenetic analysis incorporating these new features identifies them as crown group stenolaemates. These results confirm a Cambrian origin for the phylum and reveal an unexpected early disparity in colonial architecture, demonstrating that bryozoan diversification was an integral component of the Cambrian radiation. Moreover, the early appearance of a differentiated stenolaemate crown group indicates a still deeper origin for the bryozoan stem lineage than was first apparent.</w:t>
      </w:r>
    </w:p>
    <w:p>
      <w:pPr>
        <w:spacing w:before="120" w:after="120"/>
      </w:pPr>
      <w:r>
        <w:rPr>
          <w:sz w:val="18"/>
        </w:rPr>
        <w:t>——————————————————————————————————————————————————————————————————————</w:t>
      </w:r>
    </w:p>
    <w:p>
      <w:pPr>
        <w:spacing w:before="160" w:after="40" w:line="240" w:lineRule="auto"/>
      </w:pPr>
      <w:r>
        <w:rPr>
          <w:b/>
        </w:rPr>
        <w:t xml:space="preserve">[245] </w:t>
      </w:r>
      <w:hyperlink r:id="rId712">
        <w:r>
          <w:rPr>
            <w:color w:val="1155CC"/>
            <w:u w:val="single"/>
          </w:rPr>
          <w:t>牙釉质纳米晶体的错误取向随着肉食和农业的增加而增加</w:t>
        </w:r>
      </w:hyperlink>
    </w:p>
    <w:p>
      <w:pPr>
        <w:spacing w:before="0" w:after="80"/>
      </w:pPr>
      <w:r>
        <w:rPr>
          <w:i/>
          <w:sz w:val="20"/>
        </w:rPr>
        <w:t>EN: Enamel nanocrystal misorientation increased with meat-eating and agriculture</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13">
        <w:r>
          <w:rPr>
            <w:color w:val="1155CC"/>
            <w:u w:val="single"/>
          </w:rPr>
          <w:t>10.1038/s41586-026-10583-8</w:t>
        </w:r>
      </w:hyperlink>
    </w:p>
    <w:p>
      <w:pPr>
        <w:spacing w:before="0" w:after="120"/>
      </w:pPr>
      <w:r>
        <w:rPr>
          <w:b/>
        </w:rPr>
        <w:t xml:space="preserve">Notes: </w:t>
      </w:r>
      <w:r>
        <w:t>abstract_source=nature_html</w:t>
      </w:r>
    </w:p>
    <w:p>
      <w:pPr>
        <w:spacing w:before="0" w:after="80" w:lineRule="auto" w:line="276"/>
      </w:pPr>
      <w:r>
        <w:rPr>
          <w:b/>
        </w:rPr>
        <w:t xml:space="preserve">摘要（ZH）: </w:t>
      </w:r>
      <w:r>
        <w:t>牙釉质覆盖牙齿，是脊椎动物体内最坚硬的组织，具有从纳米到毫米的复杂多尺度结构1。该结构由细长的羟基磷灰石 (Ca5(PO4)3OH) 纳米晶体2组成，宽 50–70 nm，长数微米，平行并捆扎成约 5 µm 宽的棒。这些棒波动并交叉形成微型“交叉图案”，通过偏转裂纹来增强牙釉质3,4。然而，人们对牙釉质纳米晶体的晶体取向知之甚少。在这里，我们展示了跨越 9 个物种、1780 万年的进化和多样化饮食的 12 颗灵长类动物牙齿中相邻纳米晶体的错误取向角度存在显着差异。我们使用一种名为“纳米级偏振大输入晶体角度”(PELICAN)5 的方法，比较了相同（前）磨牙位置的纳米晶体，结果表明，在现存和化石的非人类猿类和猴子中，随着食物硬度的增加，定向错误会增加。我们比较了人类进化过程中三个主要饮食转变的错误取向：距今约 2.0-150 万年的肉食转变6,7、向农业的转变（距今约 12,000 年）8,9 以及工业革命（距今约 250 年）10。我们发现，在过去的 160 万年里，人类谱系的迷失方向随着时间的推移而增加，特别是当肉类和石磨谷物被引入人类饮食时，但随着工业革命的到来，这种情况并没有发生。因此，除了宏观变化之外，牙齿在纳米尺度和晶体学上也适应了饮食变化。这一观察结果表明，misorien</w:t>
      </w:r>
    </w:p>
    <w:p>
      <w:pPr>
        <w:spacing w:before="0" w:after="200" w:lineRule="auto" w:line="276"/>
      </w:pPr>
      <w:r>
        <w:rPr>
          <w:b/>
        </w:rPr>
        <w:t xml:space="preserve">Abstract (EN): </w:t>
      </w:r>
      <w:r>
        <w:t>Enamel covers teeth, is the hardest tissue in the vertebrate body and has a complex multiscale structure from nanometres to millimetres1. The structure comprises thin, long hydroxyapatite (Ca5(PO4)3OH) nanocrystals2, 50–70 nm wide, many micrometres long, parallel and bundled into approximately 5-µm-wide rods. The rods undulate and cross into a microscale ‘decussation pattern’ that toughens enamel by deflecting cracks3,4. However, the crystallographic orientation of enamel nanocrystals is poorly understood. Here we show that the misorientation angle of adjacent nanocrystals varies markedly across 12 primate teeth spanning 9 species, 17.8 million years of evolution and diverse diets. Using a method called Polarization Enabled Large Input of Crystal Angles at the Nanoscale (PELICAN)5, we compare nanocrystals in the same (pre)molar locations and show that misorientation increases with food hardness in extant and fossil non-human apes and monkeys. We compare misorientation across three major dietary shifts in human evolution: the transition to meat-eating about 2.0–1.5 million years before present6,7, to agriculture (about 12,000 years before present)8,9, and the Industrial Revolution (about 250 years before present)10. We show that over the past 1.6 million years, in the human lineage misorientation increased with time, especially when meat and stone-ground grains were introduced into human diets, but not with the Industrial Revolution. Thus, besides macro-changes, teeth adapted to dietary change at the nanoscale and crystallographically. This observation suggests that misorientation may contribute to enamel’s resilience; thus, bioinspired materials may consider small misorientation angles for added resilience.</w:t>
      </w:r>
    </w:p>
    <w:p>
      <w:pPr>
        <w:spacing w:before="120" w:after="120"/>
      </w:pPr>
      <w:r>
        <w:rPr>
          <w:sz w:val="18"/>
        </w:rPr>
        <w:t>——————————————————————————————————————————————————————————————————————</w:t>
      </w:r>
    </w:p>
    <w:p>
      <w:pPr>
        <w:spacing w:before="160" w:after="40" w:line="240" w:lineRule="auto"/>
      </w:pPr>
      <w:r>
        <w:rPr>
          <w:b/>
        </w:rPr>
        <w:t xml:space="preserve">[246] </w:t>
      </w:r>
      <w:hyperlink r:id="rId714">
        <w:r>
          <w:rPr>
            <w:color w:val="1155CC"/>
            <w:u w:val="single"/>
          </w:rPr>
          <w:t>公共物品配置中合作与平等的冲突</w:t>
        </w:r>
      </w:hyperlink>
    </w:p>
    <w:p>
      <w:pPr>
        <w:spacing w:before="0" w:after="80"/>
      </w:pPr>
      <w:r>
        <w:rPr>
          <w:i/>
          <w:sz w:val="20"/>
        </w:rPr>
        <w:t>EN: Cooperation conflicts with equality when allocating public goods</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15">
        <w:r>
          <w:rPr>
            <w:color w:val="1155CC"/>
            <w:u w:val="single"/>
          </w:rPr>
          <w:t>10.1038/s41586-026-10550-3</w:t>
        </w:r>
      </w:hyperlink>
    </w:p>
    <w:p>
      <w:pPr>
        <w:spacing w:before="0" w:after="120"/>
      </w:pPr>
      <w:r>
        <w:rPr>
          <w:b/>
        </w:rPr>
        <w:t xml:space="preserve">Notes: </w:t>
      </w:r>
      <w:r>
        <w:t>abstract_source=nature_html</w:t>
      </w:r>
    </w:p>
    <w:p>
      <w:pPr>
        <w:spacing w:before="0" w:after="80" w:lineRule="auto" w:line="276"/>
      </w:pPr>
      <w:r>
        <w:rPr>
          <w:b/>
        </w:rPr>
        <w:t xml:space="preserve">摘要（ZH）: </w:t>
      </w:r>
      <w:r>
        <w:t>合作通常被视为社会困境中的理想结果。由于合作者容易受到剥削，因此许多文献都关注支持亲社会行为和公共产品生产的机制，例如空间结构1,2,3,4,5,6,7,8,9,10,11。然而，分配这些商品的规则也会影响行为和长期繁荣。在这里，我们研究公共物品的分配政策，比较公平分配（回报与潜在贡献成正比）和统一分配（所有个人获得平等份额）。对于大多数社交网络，我们发现与公平分配相比，统一分配有利于合作的传播。但这种成功是有代价的。统一分配将资源集中在少数关系密切的个人身上12，而外围个人获得的利益较少，甚至可能比非合作社会的情况更糟。我们对合作与平等之间的紧张关系进行了理论分析，并在不同的经验社交网络中识别了这种冲突。我们的研究结果表明，不平等可能是旨在促进空间异质人口合作的分配政策不可避免的后果。因此，如何促进合作的问题是不完整的：因为促进合作的政策也会产生社会分层，所以我们必须权衡合作的好处和随之而来的不平等。</w:t>
      </w:r>
    </w:p>
    <w:p>
      <w:pPr>
        <w:spacing w:before="0" w:after="200" w:lineRule="auto" w:line="276"/>
      </w:pPr>
      <w:r>
        <w:rPr>
          <w:b/>
        </w:rPr>
        <w:t xml:space="preserve">Abstract (EN): </w:t>
      </w:r>
      <w:r>
        <w:t>Cooperation is typically seen as the ideal outcome in a social dilemma. Because cooperators are vulnerable to exploitation, much of the literature has focused on mechanisms, such as spatial structure, that support prosocial behaviour and the production of public goods1,2,3,4,5,6,7,8,9,10,11. Yet the rules for distributing these goods also shape behaviour and long-term prosperity. Here we study policies for allocating public goods, comparing equitable allocation, in which returns are proportional to potential contributions, with uniform allocation, in which all individuals receive equal shares. For most social networks, we find that uniform allocation facilitates the spread of cooperation compared with equitable allocation. But this success comes with a cost. Uniform allocation concentrates resources in a small number of highly connected individuals12, whereas peripheral individuals receive fewer benefits and may even be worse off than in a non-cooperative society. We develop a theoretical analysis of the tension between cooperation and equality, and we identify this conflict across diverse empirical social networks. Our results show that inequality may be an unavoidable consequence of allocation policies designed to foster cooperation in spatially heterogeneous populations. The question of how to promote cooperation is therefore incomplete: because policies that facilitate cooperation can also generate social stratification, we must weigh the benefits of cooperation against the inequality that accompanies it.</w:t>
      </w:r>
    </w:p>
    <w:p>
      <w:pPr>
        <w:spacing w:before="120" w:after="120"/>
      </w:pPr>
      <w:r>
        <w:rPr>
          <w:sz w:val="18"/>
        </w:rPr>
        <w:t>——————————————————————————————————————————————————————————————————————</w:t>
      </w:r>
    </w:p>
    <w:p>
      <w:pPr>
        <w:spacing w:before="160" w:after="40" w:line="240" w:lineRule="auto"/>
      </w:pPr>
      <w:r>
        <w:rPr>
          <w:b/>
        </w:rPr>
        <w:t xml:space="preserve">[247] </w:t>
      </w:r>
      <w:hyperlink r:id="rId716">
        <w:r>
          <w:rPr>
            <w:color w:val="1155CC"/>
            <w:u w:val="single"/>
          </w:rPr>
          <w:t>激光将损伤传感与 ESRT 组件耦合以进行溶酶体修复</w:t>
        </w:r>
      </w:hyperlink>
    </w:p>
    <w:p>
      <w:pPr>
        <w:spacing w:before="0" w:after="80"/>
      </w:pPr>
      <w:r>
        <w:rPr>
          <w:i/>
          <w:sz w:val="20"/>
        </w:rPr>
        <w:t>EN: LASER couples damage sensing to ESCRT assembly for lysosome repair</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17">
        <w:r>
          <w:rPr>
            <w:color w:val="1155CC"/>
            <w:u w:val="single"/>
          </w:rPr>
          <w:t>10.1038/s41586-026-10604-6</w:t>
        </w:r>
      </w:hyperlink>
    </w:p>
    <w:p>
      <w:pPr>
        <w:spacing w:before="0" w:after="120"/>
      </w:pPr>
      <w:r>
        <w:rPr>
          <w:b/>
        </w:rPr>
        <w:t xml:space="preserve">Notes: </w:t>
      </w:r>
      <w:r>
        <w:t>abstract_source=nature_html</w:t>
      </w:r>
    </w:p>
    <w:p>
      <w:pPr>
        <w:spacing w:before="0" w:after="80" w:lineRule="auto" w:line="276"/>
      </w:pPr>
      <w:r>
        <w:rPr>
          <w:b/>
        </w:rPr>
        <w:t xml:space="preserve">摘要（ZH）: </w:t>
      </w:r>
      <w:r>
        <w:t>溶酶体膜完整性对于细胞生存至关重要，但损伤感知如何在时空上与修复耦合仍然知之甚少。运输所需的内体分选复合物 (ESCRT) I-III 的募集和组装可快速抵消膜损伤，但尚不清楚 ESCRT-I 如何识别有缺陷的溶酶体膜。在这里，利用损伤敏感遗传背景下的全基因组 CRISPRi 筛选，我们鉴定了用于 ESCRT 募集 (LASER) 的 LC3/GABARAP 辅助刺激物，这是一种多组分蛋白质组装体，在钙从受损的溶酶体中释放后迅速形成，并将溶酶体膜损伤的感应与 ESCRT 依赖性修复结合起来。 LASER 的核心是 TFG，这是一种内质网出口位点驻留蛋白，可通过与与溶酶体磷脂缀合的 ATG8 家族蛋白（LC3 和 GABARAP）结合而转位至受损的溶酶体。 ATG8 结合的 TFG 形成寡聚体组装体，通过亲合力驱动的相互作用增强的保守基序识别直接招募必需的 ESCRT-I 亚基 TSG101。 TFG 与 TSG101 结合会刺激连续的 ESCRT-I–II–III 聚合并促进膜修复。导致遗传性痉挛性截瘫的 TFG 突变会破坏其寡聚化，并损害溶酶体 ESCRT 募集和膜重新密封，这表明修复缺陷是 TFG 相关神经变性的驱动因素。因此，LASER 促进受损溶酶体处的 ESCRT 聚合，并将损伤传感与膜修复结合起来。</w:t>
      </w:r>
    </w:p>
    <w:p>
      <w:pPr>
        <w:spacing w:before="0" w:after="200" w:lineRule="auto" w:line="276"/>
      </w:pPr>
      <w:r>
        <w:rPr>
          <w:b/>
        </w:rPr>
        <w:t xml:space="preserve">Abstract (EN): </w:t>
      </w:r>
      <w:r>
        <w:t>Lysosomal membrane integrity is essential for cell survival, but how damage sensing is spatiotemporally coupled to repair remains poorly understood. Recruitment and assembly of endosomal sorting complex required for transport (ESCRT) I–III rapidly counteracts membrane damage, but it is unclear how ESCRT-I recognizes defective lysosomal membranes. Here, leveraging genome-wide CRISPRi screens in a damage-sensitized genetic background, we identified LC3/GABARAP-assisted stimulator for ESCRT recruitment (LASER), a multicomponent protein assembly that forms rapidly upon calcium release from damaged lysosomes and couples sensing of lysosomal membrane damage to ESCRT-dependent repair. At the core of LASER is TFG, an endoplasmic reticulum exit-site-resident protein that translocates to damaged lysosomes by binding to ATG8 family proteins (LC3 and GABARAP) conjugated to lysosomal phospholipids. ATG8-bound TFG forms oligomeric assemblies that directly recruit the essential ESCRT-I subunit TSG101 via conserved motif recognition enhanced by avidity-driven interactions. TFG binding to TSG101 stimulates sequential ESCRT-I–II–III polymerization and promotes membrane repair. TFG mutations that drive hereditary spastic paraplegia disrupt its oligomerization and impair lysosomal ESCRT recruitment and membrane resealing, implicating defective repair as a driver of TFG-associated neurodegeneration. Thus, LASER promotes ESCRT polymerization at damaged lysosomes and couples damage sensing to membrane repair.</w:t>
      </w:r>
    </w:p>
    <w:p>
      <w:pPr>
        <w:spacing w:before="120" w:after="120"/>
      </w:pPr>
      <w:r>
        <w:rPr>
          <w:sz w:val="18"/>
        </w:rPr>
        <w:t>——————————————————————————————————————————————————————————————————————</w:t>
      </w:r>
    </w:p>
    <w:p>
      <w:pPr>
        <w:spacing w:before="160" w:after="40" w:line="240" w:lineRule="auto"/>
      </w:pPr>
      <w:r>
        <w:rPr>
          <w:b/>
        </w:rPr>
        <w:t xml:space="preserve">[248] </w:t>
      </w:r>
      <w:hyperlink r:id="rId718">
        <w:r>
          <w:rPr>
            <w:color w:val="1155CC"/>
            <w:u w:val="single"/>
          </w:rPr>
          <w:t>采矿引发撒哈拉以南非洲地区大规模的森林砍伐</w:t>
        </w:r>
      </w:hyperlink>
    </w:p>
    <w:p>
      <w:pPr>
        <w:spacing w:before="0" w:after="80"/>
      </w:pPr>
      <w:r>
        <w:rPr>
          <w:i/>
          <w:sz w:val="20"/>
        </w:rPr>
        <w:t>EN: Mining triggers extensive additional deforestation in sub-Saharan Africa</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19">
        <w:r>
          <w:rPr>
            <w:color w:val="1155CC"/>
            <w:u w:val="single"/>
          </w:rPr>
          <w:t>10.1038/s41586-026-10551-2</w:t>
        </w:r>
      </w:hyperlink>
    </w:p>
    <w:p>
      <w:pPr>
        <w:spacing w:before="0" w:after="120"/>
      </w:pPr>
      <w:r>
        <w:rPr>
          <w:b/>
        </w:rPr>
        <w:t xml:space="preserve">Notes: </w:t>
      </w:r>
      <w:r>
        <w:t>abstract_source=nature_html</w:t>
      </w:r>
    </w:p>
    <w:p>
      <w:pPr>
        <w:spacing w:before="0" w:after="80" w:lineRule="auto" w:line="276"/>
      </w:pPr>
      <w:r>
        <w:rPr>
          <w:b/>
        </w:rPr>
        <w:t xml:space="preserve">摘要（ZH）: </w:t>
      </w:r>
      <w:r>
        <w:t>对撒哈拉以南非洲矿物的需求正在迅速增长1,2,3,4,5。如果管理不善，采矿扩张将对整个大陆的热带森林构成主要威胁6,7。在此，我们利用全大陆范围内毁林后土地利用数据和稳健的双重差分框架，对非洲各地采矿驱动的茂密森林砍伐进行了时空评估，对 2001 年至 2020 年间的 16,627 个矿山进行了评估。总共，我们发现了 187,000 公顷直接采矿驱动的森林砍伐，即由于与采矿作业直接相关的特征而导致的砍伐，例如矿坑、尾矿库和弃土堆。我们估计，与未采矿区域相比，采矿还会引发矿场 1 公里范围内的森林砍伐额外增加 8.0 个百分点（pp；95% 置信区间 (CI)：7.2–8.9 pp）。即使在十年后，森林砍伐程度的增加（1.1 pp，95% CI：0.7-1.5）仍然持续到距离矿井 20 公里的地方。由于矿山足迹，采矿造成的每公顷直接森林砍伐，五年内平均会因农业和定居点等辅助活动而造成 34 公顷的场外额外损失。开采钴和铜（关键的能源转换矿物）的矿山造成了最多的额外森林砍伐。将异地毁林水平纳入新采矿项目的环境影响评估中，对于确保关键矿产的零毁林或无净损失供应链以及减少撒哈拉以南非洲地区未来因采矿导致的森林损失至关重要。</w:t>
      </w:r>
    </w:p>
    <w:p>
      <w:pPr>
        <w:spacing w:before="0" w:after="200" w:lineRule="auto" w:line="276"/>
      </w:pPr>
      <w:r>
        <w:rPr>
          <w:b/>
        </w:rPr>
        <w:t xml:space="preserve">Abstract (EN): </w:t>
      </w:r>
      <w:r>
        <w:t>Demand for minerals sourced from sub-Saharan Africa is expanding rapidly1,2,3,4,5. If poorly managed, mining expansion poses a key threat to tropical forests across the continent6,7. Here we present a spatiotemporal assessment of mining-driven deforestation of dense forests across Africa, using continent-wide data on post-deforestation land uses and a robust difference-in-differences framework to assess 16,627 mines between 2001 and 2020. In total, we find 187,000 hectares of direct mining-driven deforestation, that is, deforestation due to features directly associated with mining operations, such as pits, tailing ponds and spoil heaps. We estimate that mining also triggers an additional 8.0 percentage points (pp; 95% confidence interval (CI): 7.2–8.9 pp) increase in deforestation within 1 km of a mine compared with unmined areas. Increased levels of deforestation (1.1 pp, 95% CI: 0.7–1.5) persist up to 20 km from mines even after ten years. For every hectare of direct deforestation due to the mine footprint, mining triggers, on average, 34 hectares of additional offsite loss within five years through ancillary activities, including agriculture and settlements. Mines extracting cobalt and copper—key energy transition minerals—caused the highest amount of additional deforestation. Embedding offsite deforestation levels into environmental impact assessments for new mining projects will be key to ensuring zero-deforestation or no-net-loss supply chains for critical minerals and reduce future mining-driven forest losses in sub-Saharan Africa.</w:t>
      </w:r>
    </w:p>
    <w:p>
      <w:pPr>
        <w:spacing w:before="120" w:after="120"/>
      </w:pPr>
      <w:r>
        <w:rPr>
          <w:sz w:val="18"/>
        </w:rPr>
        <w:t>——————————————————————————————————————————————————————————————————————</w:t>
      </w:r>
    </w:p>
    <w:p>
      <w:pPr>
        <w:spacing w:before="160" w:after="40" w:line="240" w:lineRule="auto"/>
      </w:pPr>
      <w:r>
        <w:rPr>
          <w:b/>
        </w:rPr>
        <w:t xml:space="preserve">[249] </w:t>
      </w:r>
      <w:hyperlink r:id="rId720">
        <w:r>
          <w:rPr>
            <w:color w:val="1155CC"/>
            <w:u w:val="single"/>
          </w:rPr>
          <w:t>核壳结构控制短程核子配对</w:t>
        </w:r>
      </w:hyperlink>
    </w:p>
    <w:p>
      <w:pPr>
        <w:spacing w:before="0" w:after="80"/>
      </w:pPr>
      <w:r>
        <w:rPr>
          <w:i/>
          <w:sz w:val="20"/>
        </w:rPr>
        <w:t>EN: Nuclear shell structure governs short-range nucleon pairing</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21">
        <w:r>
          <w:rPr>
            <w:color w:val="1155CC"/>
            <w:u w:val="single"/>
          </w:rPr>
          <w:t>10.1038/s41586-026-10616-2</w:t>
        </w:r>
      </w:hyperlink>
    </w:p>
    <w:p>
      <w:pPr>
        <w:spacing w:before="0" w:after="120"/>
      </w:pPr>
      <w:r>
        <w:rPr>
          <w:b/>
        </w:rPr>
        <w:t xml:space="preserve">Notes: </w:t>
      </w:r>
      <w:r>
        <w:t>abstract_source=nature_html</w:t>
      </w:r>
    </w:p>
    <w:p>
      <w:pPr>
        <w:spacing w:before="0" w:after="80" w:lineRule="auto" w:line="276"/>
      </w:pPr>
      <w:r>
        <w:rPr>
          <w:b/>
        </w:rPr>
        <w:t xml:space="preserve">摘要（ZH）: </w:t>
      </w:r>
      <w:r>
        <w:t>原子核是复杂的量子系统，其中核子（质子和中子）通过强核力结合在一起。在非常短的距离内，核子可以瞬间形成高动量对（称为短程相关对），从而形成核物质的高动量结构1,2。研究核子如何形成短程相关对，为研究强相互作用的短程行为提供了一个难得的实验窗口3,4。在这里，我们利用 40Ca、48Ca 和 54Fe（因其独特的壳层结构而选择）的高能电子的散射来探测短程相关对的形成。出乎意料的是，我们发现短程相关配对更多地取决于质子和中子占据的特定量子轨道，而不是核质量或中子-质子不平衡。这种依赖性比理论模型预测的要强得多。我们的结果表明需要新的角动量量子选择规则来控制短程核子配对，并揭示长程核壳结构与短程相互作用之间的深层联系。</w:t>
      </w:r>
    </w:p>
    <w:p>
      <w:pPr>
        <w:spacing w:before="0" w:after="200" w:lineRule="auto" w:line="276"/>
      </w:pPr>
      <w:r>
        <w:rPr>
          <w:b/>
        </w:rPr>
        <w:t xml:space="preserve">Abstract (EN): </w:t>
      </w:r>
      <w:r>
        <w:t>Atomic nuclei are intricate quantum systems in which nucleons (protons and neutrons) are held together by the strong nuclear force. At very short distances, nucleons can momentarily form high-momentum pairs—known as short-range-correlated pairs—that shape the high-momentum structure of nuclear matter1,2. Studying how nucleons form short-range-correlated pairs provides a rare experimental window into the short-distance behaviour of the strong interaction3,4. Here we use the scattering of high-energy electrons from 40Ca, 48Ca and 54Fe, chosen for their distinct shell structures, to probe the formation of short-range-correlated pairs. Unexpectedly, we find that short-range-correlated pairing depends far more on the specific quantum orbitals occupied by protons and neutrons than on the nuclear mass or neutron–proton imbalance. This dependence is much stronger than that predicted by theoretical models. Our results point to a need for new angular-momentum quantum selection rules governing short-range nucleon pairing and reveal a deep connection between long-range nuclear shell structure and short-range interactions.</w:t>
      </w:r>
    </w:p>
    <w:p>
      <w:pPr>
        <w:spacing w:before="120" w:after="120"/>
      </w:pPr>
      <w:r>
        <w:rPr>
          <w:sz w:val="18"/>
        </w:rPr>
        <w:t>——————————————————————————————————————————————————————————————————————</w:t>
      </w:r>
    </w:p>
    <w:p>
      <w:pPr>
        <w:spacing w:before="160" w:after="40" w:line="240" w:lineRule="auto"/>
      </w:pPr>
      <w:r>
        <w:rPr>
          <w:b/>
        </w:rPr>
        <w:t xml:space="preserve">[250] </w:t>
      </w:r>
      <w:hyperlink r:id="rId722">
        <w:r>
          <w:rPr>
            <w:color w:val="1155CC"/>
            <w:u w:val="single"/>
          </w:rPr>
          <w:t>共生源乙酰胆碱增强粘膜免疫教育</w:t>
        </w:r>
      </w:hyperlink>
    </w:p>
    <w:p>
      <w:pPr>
        <w:spacing w:before="0" w:after="80"/>
      </w:pPr>
      <w:r>
        <w:rPr>
          <w:i/>
          <w:sz w:val="20"/>
        </w:rPr>
        <w:t>EN: Commensal-derived acetylcholine enhances mucosal immune education</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23">
        <w:r>
          <w:rPr>
            <w:color w:val="1155CC"/>
            <w:u w:val="single"/>
          </w:rPr>
          <w:t>10.1038/s41586-026-10592-7</w:t>
        </w:r>
      </w:hyperlink>
    </w:p>
    <w:p>
      <w:pPr>
        <w:spacing w:before="0" w:after="120"/>
      </w:pPr>
      <w:r>
        <w:rPr>
          <w:b/>
        </w:rPr>
        <w:t xml:space="preserve">Notes: </w:t>
      </w:r>
      <w:r>
        <w:t>abstract_source=nature_html</w:t>
      </w:r>
    </w:p>
    <w:p>
      <w:pPr>
        <w:spacing w:before="0" w:after="80" w:lineRule="auto" w:line="276"/>
      </w:pPr>
      <w:r>
        <w:rPr>
          <w:b/>
        </w:rPr>
        <w:t xml:space="preserve">摘要（ZH）: </w:t>
      </w:r>
      <w:r>
        <w:t>微生物群产生数千种潜在生物活性小分子1,2,3。体外共生培养物的高通量生物活性筛选揭示了微生物群代谢物，这些代谢物通过激活不同的 G 蛋白偶联受体 (GPCR) 来塑造宿主生理学4,5,6,7。然而，由于技术限制，由复杂的饮食-微生物-宿主相互作用产生的体内代谢组的 GPCRome 范围内的生物活性仍不清楚。在这里，我们使用多重 GPCR 筛选技术来评估 100 种在单关联无菌小鼠体内或在体外细菌培养基中生长的共生菌株的 GPCRome 范围内的生物活性。由于 (1) 宿主介导的代谢物降解，体内和体外共生代谢组表现出不同的 GPCR 激活模式； (2)体内微生物代谢重编程； (3)膳食基质的生物转化。值得注意的是，我们发现多种共生菌株通过膳食胆碱的转化在体内产生乙酰胆碱（ACh），包括在生命早期占主导地位的精选双歧杆菌菌株和益生菌片球菌菌株。从机制上讲，我们鉴定并表征了短双歧杆菌和戊糖片球菌中介导这种生物转化的细菌酶，并产生了缺乏乙酰胆碱产生的等基因突变短双歧杆菌菌株。定植有产生乙酰胆碱的短双歧杆菌的小鼠表现出肠道免疫球蛋白 A (IgA) 产量的增强、微生物群组成的改变以及对肠道感染的抵抗力的增强。这些发现强调了深刻的影响</w:t>
      </w:r>
    </w:p>
    <w:p>
      <w:pPr>
        <w:spacing w:before="0" w:after="200" w:lineRule="auto" w:line="276"/>
      </w:pPr>
      <w:r>
        <w:rPr>
          <w:b/>
        </w:rPr>
        <w:t xml:space="preserve">Abstract (EN): </w:t>
      </w:r>
      <w:r>
        <w:t>The microbiota produces thousands of potentially bioactive small molecules1,2,3. High-throughput bioactivity screens of in vitro commensal cultures have exposed microbiota metabolites that shape host physiology by activating diverse G-protein-coupled receptors (GPCRs)4,5,6,7. However, owing to technical limitations, the GPCRome-wide bioactivities of in vivo metabolomes, which result from complex diet–microorganism–host interactions, remain unclear. Here we used a multiplexed GPCR screening technology to assess GPCRome-wide bioactivities of 100 commensal strains grown in vivo in monoassociated germ-free mice or in vitro in bacterial culture medium. In vivo and in vitro commensal metabolomes exhibited distinct GPCR activation patterns due to (1) host-mediated metabolite degradation; (2) in vivo microbial metabolic reprogramming; and (3) biotransformation of dietary substrates. Notably, we found that multiple commensal strains produced acetylcholine (ACh) in vivo through the conversion of dietary choline, including select Bifidobacterium strains that dominate the microbiome in early life and a probiotic Pediococcus strain. Mechanistically, we identified and characterized the bacterial enzymes that mediate this biotransformation in Bifidobacterium breve and Pediococcus pentosaceus, and generated an isogenic mutant B. breve strain lacking ACh production. Mice colonized with ACh-producing B. breve exhibited enhanced intestinal immunoglobulin A (IgA) production, altered microbiota composition and increased resistance to enteric infection. These findings underscore the profound impacts of the in vivo environment on microbiota metabolism and reveal a diet–microbiome–host axis that strengthens mucosal immune defences and reinforces host–microbiota mutualism.</w:t>
      </w:r>
    </w:p>
    <w:p>
      <w:pPr>
        <w:spacing w:before="120" w:after="120"/>
      </w:pPr>
      <w:r>
        <w:rPr>
          <w:sz w:val="18"/>
        </w:rPr>
        <w:t>——————————————————————————————————————————————————————————————————————</w:t>
      </w:r>
    </w:p>
    <w:p>
      <w:pPr>
        <w:spacing w:before="160" w:after="40" w:line="240" w:lineRule="auto"/>
      </w:pPr>
      <w:r>
        <w:rPr>
          <w:b/>
        </w:rPr>
        <w:t xml:space="preserve">[251] </w:t>
      </w:r>
      <w:hyperlink r:id="rId724">
        <w:r>
          <w:rPr>
            <w:color w:val="1155CC"/>
            <w:u w:val="single"/>
          </w:rPr>
          <w:t>力团交联增强聚合物的弹道能量耗散</w:t>
        </w:r>
      </w:hyperlink>
    </w:p>
    <w:p>
      <w:pPr>
        <w:spacing w:before="0" w:after="80"/>
      </w:pPr>
      <w:r>
        <w:rPr>
          <w:i/>
          <w:sz w:val="20"/>
        </w:rPr>
        <w:t>EN: Mechanophore cross-linking enhances ballistic energy dissipation of polymers</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25">
        <w:r>
          <w:rPr>
            <w:color w:val="1155CC"/>
            <w:u w:val="single"/>
          </w:rPr>
          <w:t>10.1038/s41586-026-10557-w</w:t>
        </w:r>
      </w:hyperlink>
    </w:p>
    <w:p>
      <w:pPr>
        <w:spacing w:before="0" w:after="120"/>
      </w:pPr>
      <w:r>
        <w:rPr>
          <w:b/>
        </w:rPr>
        <w:t xml:space="preserve">Notes: </w:t>
      </w:r>
      <w:r>
        <w:t>abstract_source=nature_html</w:t>
      </w:r>
    </w:p>
    <w:p>
      <w:pPr>
        <w:spacing w:before="0" w:after="80" w:lineRule="auto" w:line="276"/>
      </w:pPr>
      <w:r>
        <w:rPr>
          <w:b/>
        </w:rPr>
        <w:t xml:space="preserve">摘要（ZH）: </w:t>
      </w:r>
      <w:r>
        <w:t>机械故障是结构、防护和涂层应用中使用的塑料的一个明显限制。特别是，高速变形下的穿孔很难通过传统的分子设计来缓解1,2。交联广泛用于提高聚合物的热稳定性和化学稳定性，但在机械变形下，它通常会使材料变得更脆，限制抗冲击性和功能寿命3。克服稳定性和韧性之间的基本权衡仍然是一个核心挑战。在这里，我们证明，将一小部分力敏感的机械载体作为交联嵌入到普通聚合物中从根本上扭转了这种权衡，生产出具有显着增强的弹道能量耗散的材料。当应变率超过 107 s−1 时，我们发现机械团交联网络比传统热固性材料吸收的能量多约 115%，甚至超过了未交联的热塑性材料。我们将这种行为归因于力和绝热加热驱动的局部热固性到热塑性的转变，其中选择性机械基团断裂促进了撞击部位的粘塑性变形，同时保持了周围区域的网络完整性。我们在玻璃态聚苯乙烯和橡胶态苯乙烯-丁二烯-苯乙烯三嵌段共聚物中证明了该策略的普遍性。这些结果确立了机械团交联作为将商品聚合物转化为抗冲击材料的设计原则，并在聚合物的交叉点上形成开放方向</w:t>
      </w:r>
    </w:p>
    <w:p>
      <w:pPr>
        <w:spacing w:before="0" w:after="200" w:lineRule="auto" w:line="276"/>
      </w:pPr>
      <w:r>
        <w:rPr>
          <w:b/>
        </w:rPr>
        <w:t xml:space="preserve">Abstract (EN): </w:t>
      </w:r>
      <w:r>
        <w:t>Mechanical failure is a marked limitation for plastics used in structural, protective and coating applications. In particular, perforation under high-rate deformation is difficult to mitigate through conventional molecular design1,2. Cross-linking is widely used to improve the thermal and chemical stability of polymers, yet under mechanical deformation, it typically renders materials more brittle, limiting impact resistance and functional lifetime3. Overcoming this fundamental trade-off between stability and toughness remains a central challenge. Here we demonstrate that embedding a small fraction of force-sensitive mechanophores as cross-links into common polymers fundamentally reverses this trade-off, producing materials with substantially enhanced ballistic energy dissipation. At strain rates exceeding 107 s−1, we show that mechanophore-cross-linked networks absorb up to about 115% more energy than conventional thermosets and surpass even their uncross-linked thermoplastic counterparts. We attribute this behaviour to a force- and adiabatic-heating-driven local thermoset-to-thermoplastic transition, in which selective mechanophore scission facilitates viscoplastic deformation at the impact site while preserving network integrity in the surrounding regions. We demonstrate the generality of this strategy in both glassy polystyrene and rubbery styrene–butadiene–styrene triblock copolymers. These results establish mechanophore cross-linking as a design principle for converting commodity polymers into impact-resilient materials and open directions at the intersection of polymer mechanochemistry and extreme-strain-rate material behaviour.</w:t>
      </w:r>
    </w:p>
    <w:p>
      <w:pPr>
        <w:spacing w:before="120" w:after="120"/>
      </w:pPr>
      <w:r>
        <w:rPr>
          <w:sz w:val="18"/>
        </w:rPr>
        <w:t>——————————————————————————————————————————————————————————————————————</w:t>
      </w:r>
    </w:p>
    <w:p>
      <w:pPr>
        <w:spacing w:before="160" w:after="40" w:line="240" w:lineRule="auto"/>
      </w:pPr>
      <w:r>
        <w:rPr>
          <w:b/>
        </w:rPr>
        <w:t xml:space="preserve">[252] </w:t>
      </w:r>
      <w:hyperlink r:id="rId726">
        <w:r>
          <w:rPr>
            <w:color w:val="1155CC"/>
            <w:u w:val="single"/>
          </w:rPr>
          <w:t>室温下钙钛矿超晶格的手性超荧光</w:t>
        </w:r>
      </w:hyperlink>
    </w:p>
    <w:p>
      <w:pPr>
        <w:spacing w:before="0" w:after="80"/>
      </w:pPr>
      <w:r>
        <w:rPr>
          <w:i/>
          <w:sz w:val="20"/>
        </w:rPr>
        <w:t>EN: Chiral superfluorescence from perovskite superlattices at room temperature</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27">
        <w:r>
          <w:rPr>
            <w:color w:val="1155CC"/>
            <w:u w:val="single"/>
          </w:rPr>
          <w:t>10.1038/s41586-026-10637-x</w:t>
        </w:r>
      </w:hyperlink>
    </w:p>
    <w:p>
      <w:pPr>
        <w:spacing w:before="0" w:after="120"/>
      </w:pPr>
      <w:r>
        <w:rPr>
          <w:b/>
        </w:rPr>
        <w:t xml:space="preserve">Notes: </w:t>
      </w:r>
      <w:r>
        <w:t>abstract_source=nature_html</w:t>
      </w:r>
    </w:p>
    <w:p>
      <w:pPr>
        <w:spacing w:before="0" w:after="80" w:lineRule="auto" w:line="276"/>
      </w:pPr>
      <w:r>
        <w:rPr>
          <w:b/>
        </w:rPr>
        <w:t xml:space="preserve">摘要（ZH）: </w:t>
      </w:r>
      <w:r>
        <w:t>超荧光 (SF) 是从相互作用的量子发射器集合中集体发射强烈的相干光1,2,3,4。尽管已在几种固态材料中观察到SF5,6,7,8，但从手性材料（手性SF）自发生成圆偏振SF尚未实现9,10。在这里，我们报告了室温下大面积（&gt;100 µm × 100 µm）垂直排列的手性钙钛矿超晶格中源自边缘态的手性SF的观察。理论量子光学计算描述了从最初非偏振、不相干自发发射到相干手性 SF 态的转变，定量再现了实验观察到的圆偏振的产生（高达约 14%）及其与相反材料旋向性的符号反转。此外，我们发现手性SF的圆偏振强度和程度都可以通过弱磁场进行调制，从而能够精确控制室温下的固态量子光发射。我们的研究结果证明了手性与多体量子相干性之间的相互作用，从而为手性控制的量子光学应用展示了有希望的新方向。</w:t>
      </w:r>
    </w:p>
    <w:p>
      <w:pPr>
        <w:spacing w:before="0" w:after="200" w:lineRule="auto" w:line="276"/>
      </w:pPr>
      <w:r>
        <w:rPr>
          <w:b/>
        </w:rPr>
        <w:t xml:space="preserve">Abstract (EN): </w:t>
      </w:r>
      <w:r>
        <w:t>Superfluorescence (SF) is the collective emission of intense, coherent light from an interacting ensemble of quantum emitters1,2,3,4. Although SF has been observed in several solid-state materials5,6,7,8, the spontaneous generation of circularly polarized SF from chiral materials (chiral SF) has not been realized9,10. Here, we report the observation of chiral SF originating from edge states in large-area (&gt;100 µm × 100 µm), vertically aligned chiral perovskite superlattices at room temperature. Theoretical quantum optics calculations describe the transition from initially unpolarized, incoherent spontaneous emission to a coherent chiral SF state, quantitatively reproducing both the experimentally observed generation of circular polarization (up to about 14%) and its reversal of sign with opposite material handedness. Moreover, we show that both the intensity and the degree of circular polarization of chiral SF can be modulated by a weak magnetic field, enabling precise control over solid-state quantum light emission at room temperature. Our findings demonstrate an interplay between chirality and many-body quantum coherence, thereby showing promising new directions for chirality-controlled quantum optical applications.</w:t>
      </w:r>
    </w:p>
    <w:p>
      <w:pPr>
        <w:spacing w:before="120" w:after="120"/>
      </w:pPr>
      <w:r>
        <w:rPr>
          <w:sz w:val="18"/>
        </w:rPr>
        <w:t>——————————————————————————————————————————————————————————————————————</w:t>
      </w:r>
    </w:p>
    <w:p>
      <w:pPr>
        <w:spacing w:before="160" w:after="40" w:line="240" w:lineRule="auto"/>
      </w:pPr>
      <w:r>
        <w:rPr>
          <w:b/>
        </w:rPr>
        <w:t xml:space="preserve">[253] </w:t>
      </w:r>
      <w:hyperlink r:id="rId728">
        <w:r>
          <w:rPr>
            <w:color w:val="1155CC"/>
            <w:u w:val="single"/>
          </w:rPr>
          <w:t>每日简报：这些免疫细胞轰然消失</w:t>
        </w:r>
      </w:hyperlink>
    </w:p>
    <w:p>
      <w:pPr>
        <w:spacing w:before="0" w:after="80"/>
      </w:pPr>
      <w:r>
        <w:rPr>
          <w:i/>
          <w:sz w:val="20"/>
        </w:rPr>
        <w:t>EN: Daily briefing: These immune cells go out with a bang</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29">
        <w:r>
          <w:rPr>
            <w:color w:val="1155CC"/>
            <w:u w:val="single"/>
          </w:rPr>
          <w:t>10.1038/d41586-026-01799-9</w:t>
        </w:r>
      </w:hyperlink>
    </w:p>
    <w:p>
      <w:pPr>
        <w:spacing w:before="0" w:after="120"/>
      </w:pPr>
      <w:r>
        <w:rPr>
          <w:b/>
        </w:rPr>
        <w:t xml:space="preserve">Notes: </w:t>
      </w:r>
      <w:r>
        <w:t>abstract_source=nature_html</w:t>
      </w:r>
    </w:p>
    <w:p>
      <w:pPr>
        <w:spacing w:before="0" w:after="80" w:lineRule="auto" w:line="276"/>
      </w:pPr>
      <w:r>
        <w:rPr>
          <w:b/>
        </w:rPr>
        <w:t xml:space="preserve">摘要（ZH）: </w:t>
      </w:r>
      <w:r>
        <w:t>新发现的“破裂细胞”会爆炸，向附近的细胞喷射有毒化学物质。另外，根据数学，心理学如何解决其可重复性危机以及何时解决。新发现的“破裂细胞”会爆炸，向附近的细胞喷射有毒化学物质。另外，根据数学，心理学如何解决其可重复性危机以及何时解决。</w:t>
      </w:r>
    </w:p>
    <w:p>
      <w:pPr>
        <w:spacing w:before="0" w:after="200" w:lineRule="auto" w:line="276"/>
      </w:pPr>
      <w:r>
        <w:rPr>
          <w:b/>
        </w:rPr>
        <w:t xml:space="preserve">Abstract (EN): </w:t>
      </w:r>
      <w:r>
        <w:t>Newly-discovered ‘ruptoblasts’ explode to shower nearby cells with toxic chemicals. Plus, how psychology is tackling its reproducibility crisis and when to settle, according to maths. Newly-discovered ‘ruptoblasts’ explode to shower nearby cells with toxic chemicals. Plus, how psychology is tackling its reproducibility crisis and when to settle, according to maths.</w:t>
      </w:r>
    </w:p>
    <w:p>
      <w:pPr>
        <w:spacing w:before="120" w:after="120"/>
      </w:pPr>
      <w:r>
        <w:rPr>
          <w:sz w:val="18"/>
        </w:rPr>
        <w:t>——————————————————————————————————————————————————————————————————————</w:t>
      </w:r>
    </w:p>
    <w:p>
      <w:pPr>
        <w:spacing w:before="160" w:after="40" w:line="240" w:lineRule="auto"/>
      </w:pPr>
      <w:r>
        <w:rPr>
          <w:b/>
        </w:rPr>
        <w:t xml:space="preserve">[254] </w:t>
      </w:r>
      <w:hyperlink r:id="rId730">
        <w:r>
          <w:rPr>
            <w:color w:val="1155CC"/>
            <w:u w:val="single"/>
          </w:rPr>
          <w:t>“变革性”CAR-T 疗法允许三人接受肾移植</w:t>
        </w:r>
      </w:hyperlink>
    </w:p>
    <w:p>
      <w:pPr>
        <w:spacing w:before="0" w:after="80"/>
      </w:pPr>
      <w:r>
        <w:rPr>
          <w:i/>
          <w:sz w:val="20"/>
        </w:rPr>
        <w:t>EN: ‘Transformative’ CAR-T therapy allows three people to receive kidney transplants</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31">
        <w:r>
          <w:rPr>
            <w:color w:val="1155CC"/>
            <w:u w:val="single"/>
          </w:rPr>
          <w:t>10.1038/d41586-026-01761-9</w:t>
        </w:r>
      </w:hyperlink>
    </w:p>
    <w:p>
      <w:pPr>
        <w:spacing w:before="0" w:after="120"/>
      </w:pPr>
      <w:r>
        <w:rPr>
          <w:b/>
        </w:rPr>
        <w:t xml:space="preserve">Notes: </w:t>
      </w:r>
      <w:r>
        <w:t>abstract_source=nature_html</w:t>
      </w:r>
    </w:p>
    <w:p>
      <w:pPr>
        <w:spacing w:before="0" w:after="80" w:lineRule="auto" w:line="276"/>
      </w:pPr>
      <w:r>
        <w:rPr>
          <w:b/>
        </w:rPr>
        <w:t xml:space="preserve">摘要（ZH）: </w:t>
      </w:r>
      <w:r>
        <w:t>他们拥有“高度敏感”的免疫系统，通常会拒绝捐赠的器官，使他们几乎没有生存的选择。他们拥有“高度敏感”的免疫系统，通常会拒绝捐赠的器官，使他们几乎没有生存的选择。</w:t>
      </w:r>
    </w:p>
    <w:p>
      <w:pPr>
        <w:spacing w:before="0" w:after="200" w:lineRule="auto" w:line="276"/>
      </w:pPr>
      <w:r>
        <w:rPr>
          <w:b/>
        </w:rPr>
        <w:t xml:space="preserve">Abstract (EN): </w:t>
      </w:r>
      <w:r>
        <w:t>They had ‘highly sensitized’ immune systems that usually reject donated organs, leaving them with few options for survival. They had ‘highly sensitized’ immune systems that usually reject donated organs, leaving them with few options for survival.</w:t>
      </w:r>
    </w:p>
    <w:p>
      <w:pPr>
        <w:spacing w:before="120" w:after="120"/>
      </w:pPr>
      <w:r>
        <w:rPr>
          <w:sz w:val="18"/>
        </w:rPr>
        <w:t>——————————————————————————————————————————————————————————————————————</w:t>
      </w:r>
    </w:p>
    <w:p>
      <w:pPr>
        <w:spacing w:before="160" w:after="40" w:line="240" w:lineRule="auto"/>
      </w:pPr>
      <w:r>
        <w:rPr>
          <w:b/>
        </w:rPr>
        <w:t xml:space="preserve">[255] </w:t>
      </w:r>
      <w:hyperlink r:id="rId732">
        <w:r>
          <w:rPr>
            <w:color w:val="1155CC"/>
            <w:u w:val="single"/>
          </w:rPr>
          <w:t>混乱的水域：植物蛋白可以感知细胞何时枯竭</w:t>
        </w:r>
      </w:hyperlink>
    </w:p>
    <w:p>
      <w:pPr>
        <w:spacing w:before="0" w:after="80"/>
      </w:pPr>
      <w:r>
        <w:rPr>
          <w:i/>
          <w:sz w:val="20"/>
        </w:rPr>
        <w:t>EN: Troubled waters: a plant protein senses when cells are running dry</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33">
        <w:r>
          <w:rPr>
            <w:color w:val="1155CC"/>
            <w:u w:val="single"/>
          </w:rPr>
          <w:t>10.1038/d41586-026-01633-2</w:t>
        </w:r>
      </w:hyperlink>
    </w:p>
    <w:p>
      <w:pPr>
        <w:spacing w:before="0" w:after="120"/>
      </w:pPr>
      <w:r>
        <w:rPr>
          <w:b/>
        </w:rPr>
        <w:t xml:space="preserve">Notes: </w:t>
      </w:r>
      <w:r>
        <w:t>abstract_source=nature_html</w:t>
      </w:r>
    </w:p>
    <w:p>
      <w:pPr>
        <w:spacing w:before="0" w:after="80" w:lineRule="auto" w:line="276"/>
      </w:pPr>
      <w:r>
        <w:rPr>
          <w:b/>
        </w:rPr>
        <w:t xml:space="preserve">摘要（ZH）: </w:t>
      </w:r>
      <w:r>
        <w:t>细胞如何感知可用水量的波动长期以来一直不清楚。现在研究表明，蛋白质 SAM8 会经历一种称为相分离的过程，其方式取决于其水合作用，从而感知细胞的水可用性，并将水状态的变化与基因表达的调节联系起来。当水势较低时，蛋白质 SAM8 会经历一个称为相分离的过程。</w:t>
      </w:r>
    </w:p>
    <w:p>
      <w:pPr>
        <w:spacing w:before="0" w:after="200" w:lineRule="auto" w:line="276"/>
      </w:pPr>
      <w:r>
        <w:rPr>
          <w:b/>
        </w:rPr>
        <w:t xml:space="preserve">Abstract (EN): </w:t>
      </w:r>
      <w:r>
        <w:t>How cells sense fluctuations in the availability of water has long been unclear. The protein SAM8 is now shown to undergo a process called phase separation in a way that depends on its hydration, thereby sensing cellular water availability and linking changes in water status to the regulation of gene expression. The protein SAM8 undergoes a process called phase separation when water potential is low.</w:t>
      </w:r>
    </w:p>
    <w:p>
      <w:pPr>
        <w:spacing w:before="120" w:after="120"/>
      </w:pPr>
      <w:r>
        <w:rPr>
          <w:sz w:val="18"/>
        </w:rPr>
        <w:t>——————————————————————————————————————————————————————————————————————</w:t>
      </w:r>
    </w:p>
    <w:p>
      <w:pPr>
        <w:spacing w:before="160" w:after="40" w:line="240" w:lineRule="auto"/>
      </w:pPr>
      <w:r>
        <w:rPr>
          <w:b/>
        </w:rPr>
        <w:t xml:space="preserve">[256] </w:t>
      </w:r>
      <w:hyperlink r:id="rId734">
        <w:r>
          <w:rPr>
            <w:color w:val="1155CC"/>
            <w:u w:val="single"/>
          </w:rPr>
          <w:t>IDH突变神经胶质瘤进展中的获得性遗传和细胞状态变化</w:t>
        </w:r>
      </w:hyperlink>
    </w:p>
    <w:p>
      <w:pPr>
        <w:spacing w:before="0" w:after="80"/>
      </w:pPr>
      <w:r>
        <w:rPr>
          <w:i/>
          <w:sz w:val="20"/>
        </w:rPr>
        <w:t>EN: Acquired genetic and cell-state changes in IDH-mutant glioma progression</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35">
        <w:r>
          <w:rPr>
            <w:color w:val="1155CC"/>
            <w:u w:val="single"/>
          </w:rPr>
          <w:t>10.1038/s41586-026-10612-6</w:t>
        </w:r>
      </w:hyperlink>
    </w:p>
    <w:p>
      <w:pPr>
        <w:spacing w:before="0" w:after="120"/>
      </w:pPr>
      <w:r>
        <w:rPr>
          <w:b/>
        </w:rPr>
        <w:t xml:space="preserve">Notes: </w:t>
      </w:r>
      <w:r>
        <w:t>abstract_source=nature_html</w:t>
      </w:r>
    </w:p>
    <w:p>
      <w:pPr>
        <w:spacing w:before="0" w:after="80" w:lineRule="auto" w:line="276"/>
      </w:pPr>
      <w:r>
        <w:rPr>
          <w:b/>
        </w:rPr>
        <w:t xml:space="preserve">摘要（ZH）: </w:t>
      </w:r>
      <w:r>
        <w:t>异柠檬酸脱氢酶 (IDH) 突变的神经胶质瘤是一种恶性脑肿瘤，通常出现在成年早期到中期，并且在治疗后几乎总是会复发1,2。然而，在治疗过程中驱动 IDH 突变神经胶质瘤进展的遗传和细胞状态变化仍不完全清楚。在这里，我们整合了 35 名患者的 75 个暂时分离的神经胶质瘤的单核转录组图谱、染色质可及性图谱以及批量 DNA 和 RNA 测序，这些患者包括少突胶质细胞瘤和星形细胞瘤 IDH 突变神经胶质瘤肿瘤类型。我们发现，恶性细胞状态在转录上类似于正常胶质神经元谱系发育阶段或反应性间充质样状态，反映了先前在 IDH 野生型胶质母细胞瘤中描述的状态3,4。恶性细胞状态显示出不同的染色质可及性特征，这在两种 IDH 突变神经胶质瘤类型之间具有可比性。分化程度较低的恶性细胞的丰度随着级别和遗传改变（例如 PDGFRA 扩增）的增加而增加。纵向分析强调了两种主要的恶性细胞状态转变模式。首先，复发时谱系分化减少和增殖性恶性细胞增加在获得复发相关遗传事件的神经胶质瘤中富集。这些包括与治疗相关的超突变、拷贝数变化增加和细胞周期改变。其次，间充质样状态丰度的增加与获得性遗传改变无关，而是与巨噬细胞表达的升高同时发生。</w:t>
      </w:r>
    </w:p>
    <w:p>
      <w:pPr>
        <w:spacing w:before="0" w:after="200" w:lineRule="auto" w:line="276"/>
      </w:pPr>
      <w:r>
        <w:rPr>
          <w:b/>
        </w:rPr>
        <w:t xml:space="preserve">Abstract (EN): </w:t>
      </w:r>
      <w:r>
        <w:t>Gliomas with mutant isocitrate dehydrogenase (IDH) are malignant brain tumours that typically arise in early to mid-adulthood and nearly always recur following treatment1,2. However, the genetic and cellular-state changes that drive IDH-mutant glioma progression under treatment remain incompletely understood. Here we integrated single-nucleus transcriptomic profiles, chromatin accessibility profiles and bulk DNA and RNA sequencing from 75 temporally separated gliomas across 35 patients comprising both the oligodendroglioma and astrocytoma IDH-mutant glioma tumour types. We show that malignant cell states transcriptionally resemble stages of normal glial–neuronal lineage development or a reactive mesenchymal-like state, mirroring states previously described in IDH wild-type glioblastoma3,4. Malignant cell states displayed distinct chromatin accessibility profiles that were comparable between both IDH-mutant glioma types. The abundance of less differentiated malignant cells increased with grade and with genetic alterations such as PDGFRA amplification. Longitudinal analysis highlighted two major malignant cell-state transition patterns. First, reduced lineage differentiation and increased proliferative malignant cells at recurrence were enriched in gliomas that acquired recurrence-associated genetic events. These included treatment-associated hypermutation, increased copy number changes and cell cycle alterations. Second, increased mesenchymal-like-state abundance occurred independently of acquired genetic alterations and instead coincided with elevated macrophage expression. Overall, our findings provide an integrative model that traces the cell intrinsic and extrinsic factors that shape cellular states during IDH-mutant glioma disease progression.</w:t>
      </w:r>
    </w:p>
    <w:p>
      <w:pPr>
        <w:spacing w:before="120" w:after="120"/>
      </w:pPr>
      <w:r>
        <w:rPr>
          <w:sz w:val="18"/>
        </w:rPr>
        <w:t>——————————————————————————————————————————————————————————————————————</w:t>
      </w:r>
    </w:p>
    <w:p>
      <w:pPr>
        <w:spacing w:before="160" w:after="40" w:line="240" w:lineRule="auto"/>
      </w:pPr>
      <w:r>
        <w:rPr>
          <w:b/>
        </w:rPr>
        <w:t xml:space="preserve">[257] </w:t>
      </w:r>
      <w:hyperlink r:id="rId736">
        <w:r>
          <w:rPr>
            <w:color w:val="1155CC"/>
            <w:u w:val="single"/>
          </w:rPr>
          <w:t>听毛细胞中 MYO7A 亚型的音调特化</w:t>
        </w:r>
      </w:hyperlink>
    </w:p>
    <w:p>
      <w:pPr>
        <w:spacing w:before="0" w:after="80"/>
      </w:pPr>
      <w:r>
        <w:rPr>
          <w:i/>
          <w:sz w:val="20"/>
        </w:rPr>
        <w:t>EN: Tonotopic specialization of MYO7A isoforms in auditory hair cells</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Myo7a 突变会导致 1B 型 Usher 综合征和非综合征性耳聋，但 MYO7A 在感觉毛细胞中的确切功能仍不清楚。使用长读长测序，我们鉴定并表征了一种新的异构体 MYO7A-N，它与典型的 MYO7A-C 一起在听觉毛细胞中表达。异构体特异性敲入小鼠模型显示，内毛细胞主要表达 MYO7A-C，而外毛细胞以相反的音调梯度表达两种异构体。两种亚型都位于上部尖端连接插入位点，与尖端连接在机械转导中的作用一致。 MYO7A-N 的缺失会导致外毛细胞退化和进行性听力损失。冷冻电镜结构揭示了肌动球蛋白界面的异构体特异性差异，与不同的 ATP 酶活性相关。这些发现揭示了力转导机制中意想不到的分子多样性层。我们认为，MYO7A 亚型特化能够微调尖端连接张力，从而微调听力灵敏度，并有助于提高耳蜗的频率分辨能力。</w:t>
      </w:r>
    </w:p>
    <w:p>
      <w:pPr>
        <w:spacing w:before="0" w:after="200" w:lineRule="auto" w:line="276"/>
      </w:pPr>
      <w:r>
        <w:rPr>
          <w:b/>
        </w:rPr>
        <w:t xml:space="preserve">Abstract (EN): </w:t>
      </w:r>
      <w:r>
        <w:t>Mutations in Myo7a cause Usher syndrome type 1B and non-syndromic deafness, but the precise function of MYO7A in sensory hair cells remains unclear. Using long-read sequencing, we identify and characterize a novel isoform, MYO7A-N, expressed in auditory hair cells alongside the canonical MYO7A-C. Isoform-specific knock-in mouse models reveal that inner hair cells primarily express MYO7A-C, while outer hair cells express both isoforms in opposing tonotopic gradients. Both isoforms are localized to the upper tip-link insertion site, consistent with a role in the tip link for mechanotransduction. Loss of MYO7A-N leads to outer hair cell degeneration and progressive hearing loss. Cryo-EM structures reveal isoform-specific differences at actomyosin interfaces, correlating with distinct ATPase activities. These findings reveal an unexpected layer of molecular diversity within the mechanotransduction machinery. We propose that MYO7A isoform specialization enables fine-tuning of tip-link tension, thus hearing sensitivity, and contributes to the frequency-resolving power of the cochlea.</w:t>
      </w:r>
    </w:p>
    <w:p>
      <w:pPr>
        <w:spacing w:before="120" w:after="120"/>
      </w:pPr>
      <w:r>
        <w:rPr>
          <w:sz w:val="18"/>
        </w:rPr>
        <w:t>——————————————————————————————————————————————————————————————————————</w:t>
      </w:r>
    </w:p>
    <w:p>
      <w:pPr>
        <w:spacing w:before="160" w:after="40" w:line="240" w:lineRule="auto"/>
      </w:pPr>
      <w:r>
        <w:rPr>
          <w:b/>
        </w:rPr>
        <w:t xml:space="preserve">[258] </w:t>
      </w:r>
      <w:hyperlink r:id="rId737">
        <w:r>
          <w:rPr>
            <w:color w:val="1155CC"/>
            <w:u w:val="single"/>
          </w:rPr>
          <w:t>冷诱导的肽信号传导可确保花粉恢复力和作物产量</w:t>
        </w:r>
      </w:hyperlink>
    </w:p>
    <w:p>
      <w:pPr>
        <w:spacing w:before="0" w:after="80"/>
      </w:pPr>
      <w:r>
        <w:rPr>
          <w:i/>
          <w:sz w:val="20"/>
        </w:rPr>
        <w:t>EN: Cold-induced peptide signalling secures pollen resilience and crop yield</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38">
        <w:r>
          <w:rPr>
            <w:color w:val="1155CC"/>
            <w:u w:val="single"/>
          </w:rPr>
          <w:t>10.1038/s41586-026-10603-7</w:t>
        </w:r>
      </w:hyperlink>
    </w:p>
    <w:p>
      <w:pPr>
        <w:spacing w:before="0" w:after="120"/>
      </w:pPr>
      <w:r>
        <w:rPr>
          <w:b/>
        </w:rPr>
        <w:t xml:space="preserve">Notes: </w:t>
      </w:r>
      <w:r>
        <w:t>abstract_source=nature_html</w:t>
      </w:r>
    </w:p>
    <w:p>
      <w:pPr>
        <w:spacing w:before="0" w:after="80" w:lineRule="auto" w:line="276"/>
      </w:pPr>
      <w:r>
        <w:rPr>
          <w:b/>
        </w:rPr>
        <w:t xml:space="preserve">摘要（ZH）: </w:t>
      </w:r>
      <w:r>
        <w:t>寒冷的天气导致严重的农作物损失。气候变化加剧了此类天气事件的不可预测性和频率，凸显了对抗寒作物的需求1。寒冷引起的花粉败育和开花期间的繁殖失败是产量损失的主要原因2,3，但花粉发育中抗寒能力的分子机制和信号通路仍然未知。在这里，我们鉴定了 RGF-GLV-CLEL 家族中的寒冷响应小信号肽的子集 SlRGF9 和 SlRGF10，它们控制番茄花粉的抗冷能力。 SlRGF9和SlRGF10功能丧失后，番茄植株（Solanum lycopersicum）在正常条件下没有表现出缺陷，但在冷胁迫后观察到花粉败育。富含亮氨酸的重复受体样激酶、SlRGFR6 和 SlSERK 蛋白形成细胞表面受体复合物，与这些冷诱导的 SlRGF 结合。此外，SlRGF-SlRGFR6 信号传导通过环核苷酸门控通道激活钙流入，抵消冷延迟程序性细胞死亡并确保绒毡层降解以支持小孢子发育。上调番茄植株中的 SlRGF9 和 SlRGF10 可防止寒冷引起的产量损失高达 52%。这种冷响应肽信号通路在双子叶植物和单子叶植物中都是保守的。例如，水稻 (Oryza sativa) 中 RGF 同系物的上调可增强花粉的抗寒能力，并恢复 18.3% 的谷物产量损失。我们的研究结果揭示了控制花粉抗寒能力的核心肽信号轴，并且在保障作物生产力方面具有广泛的潜力</w:t>
      </w:r>
    </w:p>
    <w:p>
      <w:pPr>
        <w:spacing w:before="0" w:after="200" w:lineRule="auto" w:line="276"/>
      </w:pPr>
      <w:r>
        <w:rPr>
          <w:b/>
        </w:rPr>
        <w:t xml:space="preserve">Abstract (EN): </w:t>
      </w:r>
      <w:r>
        <w:t>Cold weather cause severe crop losses. Climate change exacerbates the unpredictability and frequency of such weather events, highlighting the need for cold-resilient crops1. Cold-induced pollen abortion and reproductive failure during flowering are major causes of yield losses2,3, yet the molecular mechanisms and signalling pathways that underlie cold resilience in pollen development remain unknown. Here we identify a subset of cold-responsive small signalling peptides in the RGF–GLV–CLEL family, SlRGF9 and SlRGF10, that control cold resilience in tomato pollen. After loss of function of SlRGF9 and SlRGF10, tomato plants (Solanum lycopersicum) showed no defects under normal conditions, but pollen abortion was observed after cold stress. The leucine-rich repeat receptor-like kinases, SlRGFR6 and SlSERK proteins, form cell-surface receptor complexes that bind to these cold-induced SlRGFs. Furthermore, SlRGF–SlRGFR6 signalling activates calcium influx through cyclic-nucleotide-gated channels, counteracting cold-delayed programmed cell death and ensuring tapetum degradation to support microspore development. Upregulating SlRGF9 and SlRGF10 in tomato plants prevents cold-induced yield losses by up to 52%. This cold-responsive peptide signalling pathway is conserved across dicots and monocots. For example, upregulation of RGF homologues in rice (Oryza sativa) boosts cold resilience in pollen and recovers 18.3% of grain yield loss. Our findings uncover a core peptide signalling axis that governs cold resilience in pollen and has broad potential for safeguarding crop productivity against cold stress.</w:t>
      </w:r>
    </w:p>
    <w:p>
      <w:pPr>
        <w:spacing w:before="120" w:after="120"/>
      </w:pPr>
      <w:r>
        <w:rPr>
          <w:sz w:val="18"/>
        </w:rPr>
        <w:t>——————————————————————————————————————————————————————————————————————</w:t>
      </w:r>
    </w:p>
    <w:p>
      <w:pPr>
        <w:spacing w:before="160" w:after="40" w:line="240" w:lineRule="auto"/>
      </w:pPr>
      <w:r>
        <w:rPr>
          <w:b/>
        </w:rPr>
        <w:t xml:space="preserve">[259] </w:t>
      </w:r>
      <w:hyperlink r:id="rId739">
        <w:r>
          <w:rPr>
            <w:color w:val="1155CC"/>
            <w:u w:val="single"/>
          </w:rPr>
          <w:t>使用 Mamyshev 振荡器的高脉冲能量集成锁模激光器</w:t>
        </w:r>
      </w:hyperlink>
    </w:p>
    <w:p>
      <w:pPr>
        <w:spacing w:before="0" w:after="80"/>
      </w:pPr>
      <w:r>
        <w:rPr>
          <w:i/>
          <w:sz w:val="20"/>
        </w:rPr>
        <w:t>EN: High-pulse-energy integrated mode-locked laser using a Mamyshev oscillator</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40">
        <w:r>
          <w:rPr>
            <w:color w:val="1155CC"/>
            <w:u w:val="single"/>
          </w:rPr>
          <w:t>10.1038/s41586-026-10517-4</w:t>
        </w:r>
      </w:hyperlink>
    </w:p>
    <w:p>
      <w:pPr>
        <w:spacing w:before="0" w:after="120"/>
      </w:pPr>
      <w:r>
        <w:rPr>
          <w:b/>
        </w:rPr>
        <w:t xml:space="preserve">Notes: </w:t>
      </w:r>
      <w:r>
        <w:t>abstract_source=nature_html</w:t>
      </w:r>
    </w:p>
    <w:p>
      <w:pPr>
        <w:spacing w:before="0" w:after="80" w:lineRule="auto" w:line="276"/>
      </w:pPr>
      <w:r>
        <w:rPr>
          <w:b/>
        </w:rPr>
        <w:t xml:space="preserve">摘要（ZH）: </w:t>
      </w:r>
      <w:r>
        <w:t>超快激光器在科学和技术领域带来了众多进步：它们实现了角膜手术1、揭示了化学反应动力学2并引发了光学原子钟3的发展。在过去的几十年里，人们做出了大量的努力，旨在实现基于光子集成电路 (PIC) 的锁模激光器，这种激光器结构紧凑，以晶圆级制造，并且与其他片上功能兼容4、5、6。然而，迄今为止的现有演示缺乏驱动非线性过程（例如超连续谱产生）所需的脉冲能量。在这里，我们展示了一种锁模激光器，它通过使用铒离子注入氮化硅 PIC 克服了这一挑战。该激光器基于 Mamyshev 振荡器架构8，其中交替光谱滤波和自相位调制可实现锁模，并可支持大的非线性相移9。它无需外部种子即可运行，可提供具有纳焦脉冲能量的 176 MHz 脉冲串，可与光纤激光器相媲美，并且比之前基于 PIC 的光源高出两个数量级。输出表现出高相干性，可线性压缩至 147 fs，并可直接驱动 Si3N4 波导中的 1.5 倍频程跨度超连续谱，无需任何进一步放大。由该光源驱动的紧凑型太赫兹时域光谱仪实现了 5 THz 的带宽和 90 dB 的动态范围。我们展示了其在非接触式化学分析和检测中的应用。我们的结果显示了集成超快激光器的潜力，其应用范围从芯片级频率到</w:t>
      </w:r>
    </w:p>
    <w:p>
      <w:pPr>
        <w:spacing w:before="0" w:after="200" w:lineRule="auto" w:line="276"/>
      </w:pPr>
      <w:r>
        <w:rPr>
          <w:b/>
        </w:rPr>
        <w:t xml:space="preserve">Abstract (EN): </w:t>
      </w:r>
      <w:r>
        <w:t>Ultrafast lasers have led to numerous advances across science and technology: they enabled corneal surgery1, revealed chemical reaction dynamics2 and triggered the development of optical atomic clocks3. Over the past decades, extensive efforts have aimed to realize mode-locked lasers based on photonic integrated circuits (PICs) that are compact, manufactured at wafer scale and are compatible with further on-chip functionalities4,5,6. Yet, existing demonstrations to date lack the pulse energy required to drive nonlinear processes, such as supercontinuum generation. Here we demonstrate a mode-locked laser that overcomes this challenge through the use of erbium-ion-implanted silicon nitride PICs7. The laser is based on the Mamyshev oscillator architecture8, in which alternating spectral filtering and self-phase modulation enable mode-locking and can support large nonlinear phase shifts9. It operates without external seeding, delivering a 176-MHz pulse train with nanojoule pulse energy, comparable with fibre lasers and exceeding previous PIC-based sources by two orders of magnitude. The output exhibits high coherence, can be linearly compressed to 147 fs and can directly drive a 1.5-octave-spanning supercontinuum in a Si3N4 waveguide, without any further amplification. A compact terahertz time-domain spectrometer driven by this source achieved a bandwidth of 5 THz and a 90-dB dynamic range. We demonstrate its application in non-contact chemical analysis and inspection. Our results show the potential of an integrated ultrafast laser, with applications ranging from chip-scale frequency metrology to portable spectroscopy systems.</w:t>
      </w:r>
    </w:p>
    <w:p>
      <w:pPr>
        <w:spacing w:before="120" w:after="120"/>
      </w:pPr>
      <w:r>
        <w:rPr>
          <w:sz w:val="18"/>
        </w:rPr>
        <w:t>——————————————————————————————————————————————————————————————————————</w:t>
      </w:r>
    </w:p>
    <w:p>
      <w:pPr>
        <w:spacing w:before="160" w:after="40" w:line="240" w:lineRule="auto"/>
      </w:pPr>
      <w:r>
        <w:rPr>
          <w:b/>
        </w:rPr>
        <w:t xml:space="preserve">[260] </w:t>
      </w:r>
      <w:hyperlink r:id="rId741">
        <w:r>
          <w:rPr>
            <w:color w:val="1155CC"/>
            <w:u w:val="single"/>
          </w:rPr>
          <w:t>地球东西反照率对称性</w:t>
        </w:r>
      </w:hyperlink>
    </w:p>
    <w:p>
      <w:pPr>
        <w:spacing w:before="0" w:after="80"/>
      </w:pPr>
      <w:r>
        <w:rPr>
          <w:i/>
          <w:sz w:val="20"/>
        </w:rPr>
        <w:t>EN: Earth’s east–west albedo symmetry</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42">
        <w:r>
          <w:rPr>
            <w:color w:val="1155CC"/>
            <w:u w:val="single"/>
          </w:rPr>
          <w:t>10.1038/s41586-026-10624-2</w:t>
        </w:r>
      </w:hyperlink>
    </w:p>
    <w:p>
      <w:pPr>
        <w:spacing w:before="0" w:after="120"/>
      </w:pPr>
      <w:r>
        <w:rPr>
          <w:b/>
        </w:rPr>
        <w:t xml:space="preserve">Notes: </w:t>
      </w:r>
      <w:r>
        <w:t>abstract_source=nature_html</w:t>
      </w:r>
    </w:p>
    <w:p>
      <w:pPr>
        <w:spacing w:before="0" w:after="80" w:lineRule="auto" w:line="276"/>
      </w:pPr>
      <w:r>
        <w:rPr>
          <w:b/>
        </w:rPr>
        <w:t xml:space="preserve">摘要（ZH）: </w:t>
      </w:r>
      <w:r>
        <w:t>地球的反照率是行星能量预算的基础1。北半球 (NH) 和南半球 (SH) 对行星反照率的贡献基本相同，这是一种显着但令人费解的现象，称为半球反照率对称性 1,2,3,4,5,6。尽管这种对称性很罕见，但并不是唯一的7。然而，其他对称对仍未被探索，尽管它们有可能阐明反照率对称性的可能原因以及对行星能量预算的影响。利用 25 年的卫星记录，我们在此表明​​地球还表现出独特且持久的东西 (E-W) 反照率对称性：27° E 子午线将地球分为东半球 (EH) 和西半球 (WH)，它们反射的阳光量几乎相同。与 NH-SH 对称性相反，EH-WH 对称性封装了独特的“三重对称性”，其中晴空反照率、云辐射效应和公海部分都在该子午线周围表现出半球对称性。这种 EH-WH 对称性源于 EH 中更大的高云反射平衡了 WH 中更大的低云反射。此外，EH-WH对称性的年际变化跟踪厄尔尼诺-南方涛动（ENSO）的相位，表明与大气环流的潜在联系。 EH-WH反照率对称性的发现及其作为三重对称性的出现，为地球系统模型（ESM）提供了减少的自由度约束，并强调了在快速变化的气候下持续地球辐射收支观测的关键性质。</w:t>
      </w:r>
    </w:p>
    <w:p>
      <w:pPr>
        <w:spacing w:before="0" w:after="200" w:lineRule="auto" w:line="276"/>
      </w:pPr>
      <w:r>
        <w:rPr>
          <w:b/>
        </w:rPr>
        <w:t xml:space="preserve">Abstract (EN): </w:t>
      </w:r>
      <w:r>
        <w:t>Earth’s albedo is fundamental to the planetary energy budget1. The Northern Hemisphere (NH) and Southern Hemisphere (SH) contribute essentially equally to the planetary albedo—a remarkable yet puzzling phenomenon known as hemispheric albedo symmetry1,2,3,4,5,6. Although such symmetry is rare, it is not unique7. Nevertheless, other symmetry pairs have remained unexplored, despite their potential to illuminate possible causes of albedo symmetries and implications for the planetary energy budget. Using a 25-year satellite record, here we show that Earth also exhibits a unique and persistent east–west (E–W) albedo symmetry: the 27° E meridian divides the planet into an Eastern Hemisphere (EH) and a Western Hemisphere (WH) that reflect nearly identical amounts of sunlight. In contrast to the NH–SH symmetry, the EH–WH symmetry encapsulates a distinctive ‘triple symmetry’ in which clear-sky albedo, cloud radiative effect and open-ocean fraction all exhibit hemispheric symmetry around this meridian. This EH–WH symmetry arises from greater high-cloud reflection in the EH balancing greater low-cloud reflection in the WH. Furthermore, interannual variability in the EH–WH symmetry tracks the phase of the El Niño–Southern Oscillation (ENSO), indicating a potential connection to general circulation. This discovery of the EH–WH albedo symmetry and its emergence as a triple symmetry provides a reduced degree-of-freedom constraint for Earth system models (ESMs) and stresses the critical nature of continued Earth radiation budget observations under a rapidly changing climate.</w:t>
      </w:r>
    </w:p>
    <w:p>
      <w:pPr>
        <w:spacing w:before="120" w:after="120"/>
      </w:pPr>
      <w:r>
        <w:rPr>
          <w:sz w:val="18"/>
        </w:rPr>
        <w:t>——————————————————————————————————————————————————————————————————————</w:t>
      </w:r>
    </w:p>
    <w:p>
      <w:pPr>
        <w:spacing w:before="160" w:after="40" w:line="240" w:lineRule="auto"/>
      </w:pPr>
      <w:r>
        <w:rPr>
          <w:b/>
        </w:rPr>
        <w:t xml:space="preserve">[261] </w:t>
      </w:r>
      <w:hyperlink r:id="rId743">
        <w:r>
          <w:rPr>
            <w:color w:val="1155CC"/>
            <w:u w:val="single"/>
          </w:rPr>
          <w:t>甘露糖基转移酶 DPM1 调节结直肠癌中 ER 应激传感器 IRE1 的活性</w:t>
        </w:r>
      </w:hyperlink>
    </w:p>
    <w:p>
      <w:pPr>
        <w:spacing w:before="0" w:after="80"/>
      </w:pPr>
      <w:r>
        <w:rPr>
          <w:i/>
          <w:sz w:val="20"/>
        </w:rPr>
        <w:t>EN: The mannosyltransferase DPM1 regulates the activity of ER-stress sensor IRE1 in colorectal cancer</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大多数结直肠癌（CRC）患者对免疫检查点阻断（ICB）表现出抵抗力，限制了治疗效果。激活癌细胞中未折叠的蛋白质反应传感器 IRE1α 可以诱导抗癌免疫反应，但其调节机制仍不清楚。在这里，我们使用 BioID 筛选将 Dolichyl-Phosphate Mannosyltransferase 1 (DPM1) 鉴定为 IRE1 表达和活性的调节剂。对 CRC 患者 RNA 测序数据的分析表明，低 DPM1 表达与 IRE1 依赖性转录特征、免疫浸润增加和 ICB 反应改善相关。从机制上讲，DPM1 消除会减少蛋白质糖基化，导致癌细胞中 IRE1 慢性激活，并增强细胞毒性 T 细胞介导的免疫监视。 IRE1 的抑制或敲除可以逆转这种效应。这些发现证实 DPM1 是 IRE1 活性的调节剂，可影响肿瘤免疫原性，表明其作为改善癌症免疫治疗结果的治疗靶点的潜力。</w:t>
      </w:r>
    </w:p>
    <w:p>
      <w:pPr>
        <w:spacing w:before="0" w:after="200" w:lineRule="auto" w:line="276"/>
      </w:pPr>
      <w:r>
        <w:rPr>
          <w:b/>
        </w:rPr>
        <w:t xml:space="preserve">Abstract (EN): </w:t>
      </w:r>
      <w:r>
        <w:t>Most colorectal cancer (CRC) patients exhibit resistance to immune checkpoint blockade (ICB), limiting treatment efficacy. Activating the unfolded protein response sensor IRE1α in cancer cells can induce anticancer immune responses, yet its regulation remains unclear. Here we identify Dolichyl-Phosphate Mannosyltransferase 1 (DPM1) as a regulator of IRE1 expression and activity using BioID screen. Analysis of CRC patient RNA-sequencing data reveals that low DPM1 expression correlates with an IRE1-dependent transcriptional signature, increased immune infiltration, and improved ICB responses. Mechanistically, DPM1 ablation reduces protein glycosylation, causing chronic IRE1 activation in cancer cells and enhanced cytotoxic T cell-mediated immunosurveillance. Inhibition or knock-out of IRE1 reverses this effect. These findings establish DPM1 as a modulator of IRE1 activity that influences tumor immunogenicity, suggesting its potential as a therapeutic target to improve cancer immunotherapy outcomes.</w:t>
      </w:r>
    </w:p>
    <w:p>
      <w:pPr>
        <w:spacing w:before="120" w:after="120"/>
      </w:pPr>
      <w:r>
        <w:rPr>
          <w:sz w:val="18"/>
        </w:rPr>
        <w:t>——————————————————————————————————————————————————————————————————————</w:t>
      </w:r>
    </w:p>
    <w:p>
      <w:pPr>
        <w:spacing w:before="160" w:after="40" w:line="240" w:lineRule="auto"/>
      </w:pPr>
      <w:r>
        <w:rPr>
          <w:b/>
        </w:rPr>
        <w:t xml:space="preserve">[262] </w:t>
      </w:r>
      <w:hyperlink r:id="rId744">
        <w:r>
          <w:rPr>
            <w:color w:val="1155CC"/>
            <w:u w:val="single"/>
          </w:rPr>
          <w:t>倍半萜链霉菌引发 10-HCA 分泌并招募抑制疾病的微生物群以增强香蕉枯萎病抗性</w:t>
        </w:r>
      </w:hyperlink>
    </w:p>
    <w:p>
      <w:pPr>
        <w:spacing w:before="0" w:after="80"/>
      </w:pPr>
      <w:r>
        <w:rPr>
          <w:i/>
          <w:sz w:val="20"/>
        </w:rPr>
        <w:t>EN: Streptomyces sesquiterpenes elicit 10-HCA secretion and recruit disease-suppressive microbiota to enhance banana Fusarium wilt resistance</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有益于植物的微生物相互作用对于增强土传疾病的抵抗力至关重要，这主要是通过抑制疾病的微生物组的组装来实现的。然而，控制这些相互作用的机制仍然难以捉摸。在这里，我们建立了香蕉和永兴链霉菌之间的相互作用模型。十一月2-11.我们证明菌株 Sy2-11 通过招募保护性根际微生物组来抑制香蕉枯萎病 (BFW)。此外，我们还发现菌株 Sy2-11 产生的倍半萜烯（马兜铃烯和莱烯）是触发香蕉根生物合成 10-羟基癸酸 (10-HCA) 的关键信号分子。有趣的是，10-HCA 专门富集有益的芽孢杆菌属，这对于抑制 BFW 至关重要。这种效应得到了贝莱斯芽孢杆菌的合成群落 (SynComs) 和趋化性缺陷突变体的验证。我们的研究结果揭示了一种先前未报道的机制，该机制不同于传统的植物-微生物相互作用，即链霉菌作为有益的激发子，释放倍半萜信号以触发香蕉植物中的 10-HCA 分泌，从而协调抑制 BFW 的根际微生物组的组装。这些发现为根际微生态调控和可持续土传疾病控制提供了一种有前景的策略，对于推进可持续农业具有巨大潜力。</w:t>
      </w:r>
    </w:p>
    <w:p>
      <w:pPr>
        <w:spacing w:before="0" w:after="200" w:lineRule="auto" w:line="276"/>
      </w:pPr>
      <w:r>
        <w:rPr>
          <w:b/>
        </w:rPr>
        <w:t xml:space="preserve">Abstract (EN): </w:t>
      </w:r>
      <w:r>
        <w:t>Plant-beneficial microbe interactions are vital for enhancing soil-borne disease resistance, largely through the assembly of a disease-suppressive microbiome. However, the mechanisms governing these interactions remain elusive. Here, we establish an interaction model between banana and Streptomyces yongxingensis sp. nov. 2-11. We demonstrate that strain Sy2-11 suppresses banana Fusarium wilt (BFW) by recruiting a protective rhizosphere microbiome. Furthermore, we identify sesquiterpenes (aristolene and ledene), produced by strain Sy2-11, as key signaling molecules that trigger banana roots to biosynthesize 10-hydroxycapric acid (10-HCA). Interestingly, 10-HCA specifically enriches beneficial Bacillus spp., which is essential for the suppression of BFW. This effect is validated by synthetic communities (SynComs) and chemotaxis-deficient mutants of Bacillus velezensis. Our findings reveal a previously unreported mechanism that differs from conventional plant-microbe interactions, whereby Streptomyces, acting as a beneficial elicitor, releases sesquiterpene signals to trigger 10-HCA secretion in banana plants, thereby orchestrating the assembly of a rhizosphere microbiome that suppresses BFW. These findings provide a promising strategy for rhizosphere micro-ecological regulation and sustainable soil-borne disease control, with significant potential for advancing sustainable agriculture.</w:t>
      </w:r>
    </w:p>
    <w:p>
      <w:pPr>
        <w:spacing w:before="120" w:after="120"/>
      </w:pPr>
      <w:r>
        <w:rPr>
          <w:sz w:val="18"/>
        </w:rPr>
        <w:t>——————————————————————————————————————————————————————————————————————</w:t>
      </w:r>
    </w:p>
    <w:p>
      <w:pPr>
        <w:spacing w:before="160" w:after="40" w:line="240" w:lineRule="auto"/>
      </w:pPr>
      <w:r>
        <w:rPr>
          <w:b/>
        </w:rPr>
        <w:t xml:space="preserve">[263] </w:t>
      </w:r>
      <w:hyperlink r:id="rId745">
        <w:r>
          <w:rPr>
            <w:color w:val="1155CC"/>
            <w:u w:val="single"/>
          </w:rPr>
          <w:t>双分子马达中的光化学转子偏置</w:t>
        </w:r>
      </w:hyperlink>
    </w:p>
    <w:p>
      <w:pPr>
        <w:spacing w:before="0" w:after="80"/>
      </w:pPr>
      <w:r>
        <w:rPr>
          <w:i/>
          <w:sz w:val="20"/>
        </w:rPr>
        <w:t>EN: A photochemical rotor bias in dual molecular motors</w:t>
      </w:r>
    </w:p>
    <w:p>
      <w:pPr>
        <w:spacing w:before="0" w:after="120"/>
      </w:pPr>
      <w:r>
        <w:rPr>
          <w:b/>
        </w:rPr>
        <w:t xml:space="preserve">Source: </w:t>
      </w:r>
      <w:r>
        <w:t>Nature Chemistry</w:t>
      </w:r>
      <w:r>
        <w:t xml:space="preserve">    </w:t>
      </w:r>
      <w:r>
        <w:rPr>
          <w:b/>
        </w:rPr>
        <w:t xml:space="preserve">Pub date: </w:t>
      </w:r>
      <w:r>
        <w:t>2026-06-03 00:00:00+00:00</w:t>
      </w:r>
      <w:r>
        <w:t xml:space="preserve">    </w:t>
      </w:r>
      <w:r>
        <w:rPr>
          <w:b/>
        </w:rPr>
        <w:t xml:space="preserve">DOI: </w:t>
      </w:r>
      <w:hyperlink r:id="rId746">
        <w:r>
          <w:rPr>
            <w:color w:val="1155CC"/>
            <w:u w:val="single"/>
          </w:rPr>
          <w:t>10.1038/s41557-026-02142-5</w:t>
        </w:r>
      </w:hyperlink>
    </w:p>
    <w:p>
      <w:pPr>
        <w:spacing w:before="0" w:after="120"/>
      </w:pPr>
      <w:r>
        <w:rPr>
          <w:b/>
        </w:rPr>
        <w:t xml:space="preserve">Notes: </w:t>
      </w:r>
      <w:r>
        <w:t>abstract_source=nature_html</w:t>
      </w:r>
    </w:p>
    <w:p>
      <w:pPr>
        <w:spacing w:before="0" w:after="80" w:lineRule="auto" w:line="276"/>
      </w:pPr>
      <w:r>
        <w:rPr>
          <w:b/>
        </w:rPr>
        <w:t xml:space="preserve">摘要（ZH）: </w:t>
      </w:r>
      <w:r>
        <w:t>受到生物机械中分子运动的特殊控制的启发，能够单向旋转的人造分子马达已经被开发出来。然而，在单个分子内以不同频率实现两个主动驱动的旋转仍然难以实现。这里展示的分子马达包含两个结构不同的转子，每个转子都以独特的旋转频率运行，类似于分子转向系统。转子激活偏好源于光化学行为而非热行为的差异，并且可以通过转子结构、溶剂和光源进行调整。原则上，这种控制混合转子系统的发现可以应用于其他转子、其组合，甚至可以应用于其他类别的分子马达，因此可以作为构建未来先进合成分子机器的蓝图。该图像的替代文本可能是使用人工智能生成的。</w:t>
      </w:r>
    </w:p>
    <w:p>
      <w:pPr>
        <w:spacing w:before="0" w:after="200" w:lineRule="auto" w:line="276"/>
      </w:pPr>
      <w:r>
        <w:rPr>
          <w:b/>
        </w:rPr>
        <w:t xml:space="preserve">Abstract (EN): </w:t>
      </w:r>
      <w:r>
        <w:t>Inspired by the exceptional control over molecular motion in biological machinery, artificial molecular motors capable of unidirectional rotation have been developed. However, achieving two actively powered rotations at different frequencies within a single molecule has remained elusive. Here molecular motors are presented incorporating two structurally distinct rotors, each operating at a unique rotational frequency—resembling a molecular steering system. The rotor activation preference arises from differences in photochemical, rather than thermal, behaviour and can be tuned by the rotor structure, solvent and light source. This discovery of controlling mixed rotor systems could, in principle, be applied to other rotors, combinations thereof and even to other classes of molecular motors, and thus could serve as a blueprint for the construction of future advanced synthetic molecular machines.The alternative text for this image may have been generated using AI.</w:t>
      </w:r>
    </w:p>
    <w:p>
      <w:pPr>
        <w:spacing w:before="120" w:after="120"/>
      </w:pPr>
      <w:r>
        <w:rPr>
          <w:sz w:val="18"/>
        </w:rPr>
        <w:t>——————————————————————————————————————————————————————————————————————</w:t>
      </w:r>
    </w:p>
    <w:p>
      <w:pPr>
        <w:spacing w:before="160" w:after="40" w:line="240" w:lineRule="auto"/>
      </w:pPr>
      <w:r>
        <w:rPr>
          <w:b/>
        </w:rPr>
        <w:t xml:space="preserve">[264] </w:t>
      </w:r>
      <w:hyperlink r:id="rId747">
        <w:r>
          <w:rPr>
            <w:color w:val="1155CC"/>
            <w:u w:val="single"/>
          </w:rPr>
          <w:t>用于下一代计算的纳米流体离子存储器</w:t>
        </w:r>
      </w:hyperlink>
    </w:p>
    <w:p>
      <w:pPr>
        <w:spacing w:before="0" w:after="80"/>
      </w:pPr>
      <w:r>
        <w:rPr>
          <w:i/>
          <w:sz w:val="20"/>
        </w:rPr>
        <w:t>EN: Nanofluidic ionic memory for next-generation computing</w:t>
      </w:r>
    </w:p>
    <w:p>
      <w:pPr>
        <w:spacing w:before="0" w:after="120"/>
      </w:pPr>
      <w:r>
        <w:rPr>
          <w:b/>
        </w:rPr>
        <w:t xml:space="preserve">Source: </w:t>
      </w:r>
      <w:r>
        <w:t>Nature Reviews Materials</w:t>
      </w:r>
      <w:r>
        <w:t xml:space="preserve">    </w:t>
      </w:r>
      <w:r>
        <w:rPr>
          <w:b/>
        </w:rPr>
        <w:t xml:space="preserve">Pub date: </w:t>
      </w:r>
      <w:r>
        <w:t>2026-06-03 00:00:00+00:00</w:t>
      </w:r>
      <w:r>
        <w:t xml:space="preserve">    </w:t>
      </w:r>
      <w:r>
        <w:rPr>
          <w:b/>
        </w:rPr>
        <w:t xml:space="preserve">DOI: </w:t>
      </w:r>
      <w:hyperlink r:id="rId748">
        <w:r>
          <w:rPr>
            <w:color w:val="1155CC"/>
            <w:u w:val="single"/>
          </w:rPr>
          <w:t>10.1038/s41578-026-00919-1</w:t>
        </w:r>
      </w:hyperlink>
    </w:p>
    <w:p>
      <w:pPr>
        <w:spacing w:before="0" w:after="120"/>
      </w:pPr>
      <w:r>
        <w:rPr>
          <w:b/>
        </w:rPr>
        <w:t xml:space="preserve">Notes: </w:t>
      </w:r>
      <w:r>
        <w:t>abstract_source=nature_html</w:t>
      </w:r>
    </w:p>
    <w:p>
      <w:pPr>
        <w:spacing w:before="0" w:after="80" w:lineRule="auto" w:line="276"/>
      </w:pPr>
      <w:r>
        <w:rPr>
          <w:b/>
        </w:rPr>
        <w:t xml:space="preserve">摘要（ZH）: </w:t>
      </w:r>
      <w:r>
        <w:t>生物大脑以卓越的能源效率存储和处理信息，促使人们寻找传统冯诺依曼计算系统的替代方案，将内存与处理分开。纳米流体忆阻器已成为非常规神经形态计算的有前景的构建模块，其中纳米级限制下的离子传输产生用于模拟或数字切换的历史依赖性电导。它们的性能受到表面化学、器件几何形状和电解质特性的控制，这些特性共同产生了不同的忆阻机制和磁滞回线类型。探索新材料不仅可以提高功能性，还可以加深我们对驱动忆阻行为的不同物理机制的理解。尽管取得了快速进展，但在机制识别、制造可扩展性、可变性控制、忆阻特性的微调以及与高阶神经形态架构的集成方面仍然存在挑战。本视角总结了材料和机制的最新进展，概述了表征协议，并重点介绍了从传感器内计算到视觉处理和储层计算的新兴应用，同时讨论了定制的纳米通道材料如何实现下一代受大脑启发的离子电子神经形态系统。</w:t>
      </w:r>
    </w:p>
    <w:p>
      <w:pPr>
        <w:spacing w:before="0" w:after="200" w:lineRule="auto" w:line="276"/>
      </w:pPr>
      <w:r>
        <w:rPr>
          <w:b/>
        </w:rPr>
        <w:t xml:space="preserve">Abstract (EN): </w:t>
      </w:r>
      <w:r>
        <w:t>The biological brain stores and processes information with exceptional energy efficiency, motivating the search for alternatives to traditional von Neumann computing systems that separate memory from processing. Nanofluidic memristors have emerged as promising building blocks for non-conventional neuromorphic computing, in which ion transport under nanoscale confinement generates history-dependent conductance for analog or digital switching. Their performance is governed by surface chemistry, device geometry and electrolyte properties, which together give rise to diverse memristive mechanisms and hysteresis loop types. Exploring new materials not only improves functionality but also deepens our understanding of the diverse physical mechanisms driving memristive behaviour. Despite rapid progress, challenges remain in mechanisms identification, fabrication scalability, variability control, fine tuning of memristive properties, and integration into higher-order neuromorphic architectures. This Perspective summarizes recent advances in materials and mechanisms, outlines characterization protocols and highlights emerging applications from in-sensor computing to visual processing and reservoir computing, while discussing how tailored nanochannel materials may enable next-generation, brain-inspired iontronic neuromorphic systems.</w:t>
      </w:r>
    </w:p>
    <w:p>
      <w:pPr>
        <w:spacing w:before="120" w:after="120"/>
      </w:pPr>
      <w:r>
        <w:rPr>
          <w:sz w:val="18"/>
        </w:rPr>
        <w:t>——————————————————————————————————————————————————————————————————————</w:t>
      </w:r>
    </w:p>
    <w:p>
      <w:pPr>
        <w:spacing w:before="160" w:after="40" w:line="240" w:lineRule="auto"/>
      </w:pPr>
      <w:r>
        <w:rPr>
          <w:b/>
        </w:rPr>
        <w:t xml:space="preserve">[265] </w:t>
      </w:r>
      <w:hyperlink r:id="rId749">
        <w:r>
          <w:rPr>
            <w:color w:val="1155CC"/>
            <w:u w:val="single"/>
          </w:rPr>
          <w:t>通过振动诱导发射实现 4D 打印可视化</w:t>
        </w:r>
      </w:hyperlink>
    </w:p>
    <w:p>
      <w:pPr>
        <w:spacing w:before="0" w:after="80"/>
      </w:pPr>
      <w:r>
        <w:rPr>
          <w:i/>
          <w:sz w:val="20"/>
        </w:rPr>
        <w:t>EN: Visualizing 4D printing through vibration-induced emission</w:t>
      </w:r>
    </w:p>
    <w:p>
      <w:pPr>
        <w:spacing w:before="0" w:after="120"/>
      </w:pPr>
      <w:r>
        <w:rPr>
          <w:b/>
        </w:rPr>
        <w:t xml:space="preserve">Source: </w:t>
      </w:r>
      <w:r>
        <w:t>Chem</w:t>
      </w:r>
      <w:r>
        <w:t xml:space="preserve">    </w:t>
      </w:r>
      <w:r>
        <w:rPr>
          <w:b/>
        </w:rPr>
        <w:t xml:space="preserve">Pub date: </w:t>
      </w:r>
      <w:r>
        <w:t>2026-06-03 00:00:00+00:00</w:t>
      </w:r>
      <w:r>
        <w:t xml:space="preserve">    </w:t>
      </w:r>
      <w:r>
        <w:rPr>
          <w:b/>
        </w:rPr>
        <w:t xml:space="preserve">DOI: </w:t>
      </w:r>
      <w:hyperlink r:id="rId750">
        <w:r>
          <w:rPr>
            <w:color w:val="1155CC"/>
            <w:u w:val="single"/>
          </w:rPr>
          <w:t>10.1016/j.chempr.2026.103082</w:t>
        </w:r>
      </w:hyperlink>
    </w:p>
    <w:p>
      <w:pPr>
        <w:spacing w:before="0" w:after="120"/>
      </w:pPr>
      <w:r>
        <w:rPr>
          <w:b/>
        </w:rPr>
        <w:t xml:space="preserve">Notes: </w:t>
      </w:r>
      <w:r>
        <w:t>abstract_source=rss_cell</w:t>
      </w:r>
    </w:p>
    <w:p>
      <w:pPr>
        <w:spacing w:before="0" w:after="80" w:lineRule="auto" w:line="276"/>
      </w:pPr>
      <w:r>
        <w:rPr>
          <w:b/>
        </w:rPr>
        <w:t xml:space="preserve">摘要（ZH）: </w:t>
      </w:r>
      <w:r>
        <w:t>在《Matter &amp; Light》创刊号中，Ma 和同事介绍了一种振动诱导发射策略，用于 4D 打印中光固化和动态驱动的实时可视化。多色发光反映了聚合度和网络刚性，允许可编程形状变形、多级防伪和软机器人应用。这种方法为智能刺激响应材料的合理设计提供了一个化学直观的平台，以连接分子设计和材料工程。</w:t>
      </w:r>
    </w:p>
    <w:p>
      <w:pPr>
        <w:spacing w:before="0" w:after="200" w:lineRule="auto" w:line="276"/>
      </w:pPr>
      <w:r>
        <w:rPr>
          <w:b/>
        </w:rPr>
        <w:t xml:space="preserve">Abstract (EN): </w:t>
      </w:r>
      <w:r>
        <w:t>In the inaugural issue of Matter &amp; Light, Ma and co-workers introduce a vibration-induced emission strategy for real-time visualization of photocuring and dynamic actuation in 4D printing. Multicolor luminescence reflects the degree of polymerization and network rigidity, allowing programmable shape morphing, multi-level anti-counterfeiting, and soft robotic applications. This approach provides a chemically intuitive platform for the rational design of intelligent stimulus-responsive materials to bridge molecular design and materials engineering.</w:t>
      </w:r>
    </w:p>
    <w:p>
      <w:pPr>
        <w:spacing w:before="120" w:after="120"/>
      </w:pPr>
      <w:r>
        <w:rPr>
          <w:sz w:val="18"/>
        </w:rPr>
        <w:t>——————————————————————————————————————————————————————————————————————</w:t>
      </w:r>
    </w:p>
    <w:p>
      <w:pPr>
        <w:spacing w:before="160" w:after="40" w:line="240" w:lineRule="auto"/>
      </w:pPr>
      <w:r>
        <w:rPr>
          <w:b/>
        </w:rPr>
        <w:t xml:space="preserve">[266] </w:t>
      </w:r>
      <w:hyperlink r:id="rId751">
        <w:r>
          <w:rPr>
            <w:color w:val="1155CC"/>
            <w:u w:val="single"/>
          </w:rPr>
          <w:t>人类胰岛的表观遗传景观揭示了适应年龄和 2 型糖尿病的独特驱动因素</w:t>
        </w:r>
      </w:hyperlink>
    </w:p>
    <w:p>
      <w:pPr>
        <w:spacing w:before="0" w:after="80"/>
      </w:pPr>
      <w:r>
        <w:rPr>
          <w:i/>
          <w:sz w:val="20"/>
        </w:rPr>
        <w:t>EN: Epigenetic landscapes in human pancreatic islets reveal distinct drivers for adaptation to age and type 2 diabetes</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年龄是 2 型糖尿病的最强危险因素，但其对胰岛功能障碍的独立影响仍不清楚。我们整合了 144 个胰岛供体的 DNA 甲基化、转录组和基因分型数据。我们鉴定了 996 个与年龄相关的 CpG 和 902 个与 T2D 相关的 CpG，其重叠程度最小，以及 251 个与年龄相关的 CpG 目标基因和 310 个糖尿病 CpG 目标基因，通常远离 CpG。与年龄相关的 CpG 富含启动子，形成共同调节的基因模块，与 β 细胞功能（包括胰岛素分泌）相关。糖尿病相关的 CpG 在增强子/非调节区域中富集，模块表明存在应激诱导的表观遗传漂移。 CpG 基因关联与遗传变异无关。孟德尔随机化支持调节 T2D GWAS 位点 KLHL42 的年龄相关 CpG 的因果作用。基于与年龄相关的 CpG 的血液甲基化风险评分与胰岛素分泌相关，与遗传风险相结合可改善糖尿病分类 (AUC = 0.91)。总而言之，年龄与协调的表观遗传程序相关，而糖尿病则与异质的、与压力相关的表观遗传特征相关。</w:t>
      </w:r>
    </w:p>
    <w:p>
      <w:pPr>
        <w:spacing w:before="0" w:after="200" w:lineRule="auto" w:line="276"/>
      </w:pPr>
      <w:r>
        <w:rPr>
          <w:b/>
        </w:rPr>
        <w:t xml:space="preserve">Abstract (EN): </w:t>
      </w:r>
      <w:r>
        <w:t>Age is the strongest risk factor for type 2 diabetes, yet their independent contribution to pancreatic islet dysfunction remains unclear. We integrate DNA methylation, transcriptomic, and genotyping data from 144 islet donors. We identify 996 age- and 902 T2D-associated CpGs with minimal overlap, and 251 age- and 310 diabetes CpG target genes, usually distant from the CpG. Age-linked CpGs are enriched in promoters, form co-regulated gene modules, link to beta-cell function, including insulin secretion. Diabetes-associated CpGs are enriched in enhancer/non-regulatory regions, and modules suggest stress-induced epigenetic drift. CpG-gene associations are independent of genetic variation. Mendelian randomisation supports a causal role for age-associated CpGs regulating KLHL42, a T2D GWAS locus. A blood-based methylation risk score based on age-linked CpGs correlates with insulin secretion and improves diabetes classification when combined with genetic risk (AUC = 0.91). Altogether, age is associated with a coordinated epigenetic programme, whereas diabetes links to a heterogeneous, stress-related epigenetic signature.</w:t>
      </w:r>
    </w:p>
    <w:p>
      <w:pPr>
        <w:spacing w:before="120" w:after="120"/>
      </w:pPr>
      <w:r>
        <w:rPr>
          <w:sz w:val="18"/>
        </w:rPr>
        <w:t>——————————————————————————————————————————————————————————————————————</w:t>
      </w:r>
    </w:p>
    <w:p>
      <w:pPr>
        <w:spacing w:before="160" w:after="40" w:line="240" w:lineRule="auto"/>
      </w:pPr>
      <w:r>
        <w:rPr>
          <w:b/>
        </w:rPr>
        <w:t xml:space="preserve">[267] </w:t>
      </w:r>
      <w:hyperlink r:id="rId752">
        <w:r>
          <w:rPr>
            <w:color w:val="1155CC"/>
            <w:u w:val="single"/>
          </w:rPr>
          <w:t>内脏脂肪组织中脂肪细胞分化程度降低导致代谢功能障碍相关的脂肪肝病</w:t>
        </w:r>
      </w:hyperlink>
    </w:p>
    <w:p>
      <w:pPr>
        <w:spacing w:before="0" w:after="80"/>
      </w:pPr>
      <w:r>
        <w:rPr>
          <w:i/>
          <w:sz w:val="20"/>
        </w:rPr>
        <w:t>EN: Decreased degree of adipocyte differentiation in visceral adipose tissue contributes to metabolic dysfunction-associated steatotic liver disease</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人类脂肪库、皮下脂肪组织（SAT）和内脏脂肪组织（VAT）与代谢功能障碍相关的脂肪肝病（MASLD）之间的联系机制仍然难以捉摸。我们假设，在肥胖个体中，脂肪细胞分化程度降低可能导致肝脏异位脂肪堆积，如 MASLD 中所见。在这里，我们使用脂肪组织活检的单核 RNA 测序表明，MASLD 个体中预测的 VAT 脂肪细胞分化程度降低，在 SAT 脂肪细胞中观察到的影响减弱。接下来，我们发现 VAT 脂肪细胞分化基因组的区域变异解释了 MASLD 遗传性的很大一部分（17%）。这些基因与 MASLD 差异表达的脂肪细胞基因大部分重叠 (&gt;50%)，并受顺式变异的调节。最后，我们证明这些基因与较小的脂肪细胞尺寸有关。总之，我们的研究结果表明，VAT 脂肪细胞分化的预测程度降低会导致 MASLD。</w:t>
      </w:r>
    </w:p>
    <w:p>
      <w:pPr>
        <w:spacing w:before="0" w:after="200" w:lineRule="auto" w:line="276"/>
      </w:pPr>
      <w:r>
        <w:rPr>
          <w:b/>
        </w:rPr>
        <w:t xml:space="preserve">Abstract (EN): </w:t>
      </w:r>
      <w:r>
        <w:t>The mechanisms connecting the human fat depots, subcutaneous adipose tissue (SAT) and visceral adipose tissue (VAT), to metabolic dysfunction-associated steatotic liver disease (MASLD) remain elusive. We hypothesize that in individuals with obesity, a decreased degree of adipocyte differentiation may contribute to ectopic fat accumulation in the liver, seen in MASLD. Here we show, using single nucleus RNA-sequencing from adipose tissue biopsies, that the predicted degree of VAT adipocyte differentiation is decreased in individuals with MASLD, with an attenuated impact observed in SAT adipocytes. Next, we discover that regional variants of the VAT adipocyte differentiation gene set explain a substantial proportion (17%) of MASLD heritability. These genes largely overlap (&gt;50%) with adipocyte genes differentially expressed by MASLD, regulated by variants in cis. Finally, we show that these genes are linked to smaller adipocyte size. Together, our findings reveal that a decreased predicted degree of VAT adipocyte differentiation contributes to MASLD.</w:t>
      </w:r>
    </w:p>
    <w:p>
      <w:pPr>
        <w:spacing w:before="120" w:after="120"/>
      </w:pPr>
      <w:r>
        <w:rPr>
          <w:sz w:val="18"/>
        </w:rPr>
        <w:t>——————————————————————————————————————————————————————————————————————</w:t>
      </w:r>
    </w:p>
    <w:p>
      <w:pPr>
        <w:spacing w:before="160" w:after="40" w:line="240" w:lineRule="auto"/>
      </w:pPr>
      <w:r>
        <w:rPr>
          <w:b/>
        </w:rPr>
        <w:t xml:space="preserve">[268] </w:t>
      </w:r>
      <w:hyperlink r:id="rId753">
        <w:r>
          <w:rPr>
            <w:color w:val="1155CC"/>
            <w:u w:val="single"/>
          </w:rPr>
          <w:t>转基因钩虫分泌抗河豚毒素人单链抗体</w:t>
        </w:r>
      </w:hyperlink>
    </w:p>
    <w:p>
      <w:pPr>
        <w:spacing w:before="0" w:after="80"/>
      </w:pPr>
      <w:r>
        <w:rPr>
          <w:i/>
          <w:sz w:val="20"/>
        </w:rPr>
        <w:t>EN: Transgenic hookworm secretes anti-tetrodotoxin human single chain antibody</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源自活生物体或细胞系的生物制剂、蛋白质和肽类药物已成为多种适应症的有效疗法。然而，肠外给药和频繁给药的需要增加了成本并限制了依从性，迫切需要能够在宿主体内持续、安全、有效地在原位持续输送生物制剂的创新平台。在这里，我们描述了一种生物工程钩虫平台，用于在体内制造和提供生物疗法。作为概念证明，我们通过将人单链可变片段抗体 (s16-HuScFv) 插入其基因组中来设计锡兰钩虫分泌组。转基因表达不会干扰周围的基因表达，并且证实了可遗传的转基因。 s16-HuScFv 转基因产物分泌到宿主循环中并部分中和河豚毒素。鉴于受控人类感染的可用性，我们的疾病不可知生物工程钩虫平台提供了解决一系列慢性人类疾病的下一代方法，并且通过单剂量给药，有可能在人类宿主体内生产和输送生物药物多年。</w:t>
      </w:r>
    </w:p>
    <w:p>
      <w:pPr>
        <w:spacing w:before="0" w:after="200" w:lineRule="auto" w:line="276"/>
      </w:pPr>
      <w:r>
        <w:rPr>
          <w:b/>
        </w:rPr>
        <w:t xml:space="preserve">Abstract (EN): </w:t>
      </w:r>
      <w:r>
        <w:t>Biologics, protein- and peptide-based drugs derived from living organisms or cell lines have emerged as effective therapies across a broad range of indications. However, parenteral administration and the need for frequent dosing increase costs and limit compliance, creating an urgent need for innovative platforms capable of continuously, safely, and efficiently delivering sustained biologics in situ within the host. Here, we describe a bioengineered hookworm platform to manufacture and deliver biologic therapeutics in vivo. As proof of concept, we engineer the Ancylostoma ceylanicum secretome by inserting a human single-chain variable fragment antibody (s16-HuScFv) into its genome. Transgene expression does not perturb surrounding gene expression, and heritable transgenesis is confirmed. The s16-HuScFv transgene product is secreted into host circulation and partially neutralizes tetrodotoxin. Given the availability of controlled human infections, our disease-agnostic bioengineered hookworm platform offers a next-generation approach to address a suite of chronic human diseases, and with a single-dose administration, could potentially produce and deliver biologic medicines within the human host for years.</w:t>
      </w:r>
    </w:p>
    <w:p>
      <w:pPr>
        <w:spacing w:before="120" w:after="120"/>
      </w:pPr>
      <w:r>
        <w:rPr>
          <w:sz w:val="18"/>
        </w:rPr>
        <w:t>——————————————————————————————————————————————————————————————————————</w:t>
      </w:r>
    </w:p>
    <w:p>
      <w:pPr>
        <w:spacing w:before="160" w:after="40" w:line="240" w:lineRule="auto"/>
      </w:pPr>
      <w:r>
        <w:rPr>
          <w:b/>
        </w:rPr>
        <w:t xml:space="preserve">[269] </w:t>
      </w:r>
      <w:hyperlink r:id="rId754">
        <w:r>
          <w:rPr>
            <w:color w:val="1155CC"/>
            <w:u w:val="single"/>
          </w:rPr>
          <w:t>科学招聘中的人工智能：朋友还是敌人？加入我们的免费网络研讨会</w:t>
        </w:r>
      </w:hyperlink>
    </w:p>
    <w:p>
      <w:pPr>
        <w:spacing w:before="0" w:after="80"/>
      </w:pPr>
      <w:r>
        <w:rPr>
          <w:i/>
          <w:sz w:val="20"/>
        </w:rPr>
        <w:t>EN: AI in science recruitment: friend or foe? Join our free webinar</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55">
        <w:r>
          <w:rPr>
            <w:color w:val="1155CC"/>
            <w:u w:val="single"/>
          </w:rPr>
          <w:t>10.1038/d41586-026-01774-4</w:t>
        </w:r>
      </w:hyperlink>
    </w:p>
    <w:p>
      <w:pPr>
        <w:spacing w:before="0" w:after="120"/>
      </w:pPr>
      <w:r>
        <w:rPr>
          <w:b/>
        </w:rPr>
        <w:t xml:space="preserve">Notes: </w:t>
      </w:r>
      <w:r>
        <w:t>abstract_source=nature_html</w:t>
      </w:r>
    </w:p>
    <w:p>
      <w:pPr>
        <w:spacing w:before="0" w:after="80" w:lineRule="auto" w:line="276"/>
      </w:pPr>
      <w:r>
        <w:rPr>
          <w:b/>
        </w:rPr>
        <w:t xml:space="preserve">摘要（ZH）: </w:t>
      </w:r>
      <w:r>
        <w:t>了解在科学工作申请中使用人工智能的优势、局限性和风险。了解在科学工作申请中使用人工智能的优势、局限性和风险。</w:t>
      </w:r>
    </w:p>
    <w:p>
      <w:pPr>
        <w:spacing w:before="0" w:after="200" w:lineRule="auto" w:line="276"/>
      </w:pPr>
      <w:r>
        <w:rPr>
          <w:b/>
        </w:rPr>
        <w:t xml:space="preserve">Abstract (EN): </w:t>
      </w:r>
      <w:r>
        <w:t>Discover the strengths, limitations and risks associated with using artificial intelligence in your science job applications. Discover the strengths, limitations and risks associated with using artificial intelligence in your science job applications.</w:t>
      </w:r>
    </w:p>
    <w:p>
      <w:pPr>
        <w:spacing w:before="120" w:after="120"/>
      </w:pPr>
      <w:r>
        <w:rPr>
          <w:sz w:val="18"/>
        </w:rPr>
        <w:t>——————————————————————————————————————————————————————————————————————</w:t>
      </w:r>
    </w:p>
    <w:p>
      <w:pPr>
        <w:spacing w:before="160" w:after="40" w:line="240" w:lineRule="auto"/>
      </w:pPr>
      <w:r>
        <w:rPr>
          <w:b/>
        </w:rPr>
        <w:t xml:space="preserve">[270] </w:t>
      </w:r>
      <w:hyperlink r:id="rId756">
        <w:r>
          <w:rPr>
            <w:color w:val="1155CC"/>
            <w:u w:val="single"/>
          </w:rPr>
          <w:t>您的手机可以利用微小的肤色变化来测量您的心率</w:t>
        </w:r>
      </w:hyperlink>
    </w:p>
    <w:p>
      <w:pPr>
        <w:spacing w:before="0" w:after="80"/>
      </w:pPr>
      <w:r>
        <w:rPr>
          <w:i/>
          <w:sz w:val="20"/>
        </w:rPr>
        <w:t>EN: Your phone can use tiny skin-colour changes to measure your heart rate</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57">
        <w:r>
          <w:rPr>
            <w:color w:val="1155CC"/>
            <w:u w:val="single"/>
          </w:rPr>
          <w:t>10.1038/d41586-026-01793-1</w:t>
        </w:r>
      </w:hyperlink>
    </w:p>
    <w:p>
      <w:pPr>
        <w:spacing w:before="0" w:after="120"/>
      </w:pPr>
      <w:r>
        <w:rPr>
          <w:b/>
        </w:rPr>
        <w:t xml:space="preserve">Notes: </w:t>
      </w:r>
      <w:r>
        <w:t>abstract_source=nature_html</w:t>
      </w:r>
    </w:p>
    <w:p>
      <w:pPr>
        <w:spacing w:before="0" w:after="80" w:lineRule="auto" w:line="276"/>
      </w:pPr>
      <w:r>
        <w:rPr>
          <w:b/>
        </w:rPr>
        <w:t xml:space="preserve">摘要（ZH）: </w:t>
      </w:r>
      <w:r>
        <w:t>日常使用手机期间的被动心率监测可以提供健康问题的早期预警，此外，还可以测试理查德·费曼（Richard Feynman）针对“餐厅困境”问题的解决方案。聆听科学界最伟大的故事 | 2026 年 6 月 3 日</w:t>
      </w:r>
    </w:p>
    <w:p>
      <w:pPr>
        <w:spacing w:before="0" w:after="200" w:lineRule="auto" w:line="276"/>
      </w:pPr>
      <w:r>
        <w:rPr>
          <w:b/>
        </w:rPr>
        <w:t xml:space="preserve">Abstract (EN): </w:t>
      </w:r>
      <w:r>
        <w:t>Passive heart-rate monitoring during regular phone use could provide early warning of health issues — plus, testing Richard Feynman’s solution to the ‘restaurant dilemma’ problem. Hear the biggest stories from the world of science | 03 June 2026</w:t>
      </w:r>
    </w:p>
    <w:p>
      <w:pPr>
        <w:spacing w:before="120" w:after="120"/>
      </w:pPr>
      <w:r>
        <w:rPr>
          <w:sz w:val="18"/>
        </w:rPr>
        <w:t>——————————————————————————————————————————————————————————————————————</w:t>
      </w:r>
    </w:p>
    <w:p>
      <w:pPr>
        <w:spacing w:before="160" w:after="40" w:line="240" w:lineRule="auto"/>
      </w:pPr>
      <w:r>
        <w:rPr>
          <w:b/>
        </w:rPr>
        <w:t xml:space="preserve">[271] </w:t>
      </w:r>
      <w:hyperlink r:id="rId758">
        <w:r>
          <w:rPr>
            <w:color w:val="1155CC"/>
            <w:u w:val="single"/>
          </w:rPr>
          <w:t>回复：热带植被初级生产总值规模</w:t>
        </w:r>
      </w:hyperlink>
    </w:p>
    <w:p>
      <w:pPr>
        <w:spacing w:before="0" w:after="80"/>
      </w:pPr>
      <w:r>
        <w:rPr>
          <w:i/>
          <w:sz w:val="20"/>
        </w:rPr>
        <w:t>EN: Reply to: The size of tropical vegetation gross primary production</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59">
        <w:r>
          <w:rPr>
            <w:color w:val="1155CC"/>
            <w:u w:val="single"/>
          </w:rPr>
          <w:t>10.1038/s41586-026-10561-0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[272] </w:t>
      </w:r>
      <w:hyperlink r:id="rId760">
        <w:r>
          <w:rPr>
            <w:color w:val="1155CC"/>
            <w:u w:val="single"/>
          </w:rPr>
          <w:t>天然缩酚肽抗生素结合细菌核糖体的 E 位点</w:t>
        </w:r>
      </w:hyperlink>
    </w:p>
    <w:p>
      <w:pPr>
        <w:spacing w:before="0" w:after="80"/>
      </w:pPr>
      <w:r>
        <w:rPr>
          <w:i/>
          <w:sz w:val="20"/>
        </w:rPr>
        <w:t>EN: A natural depsipeptide antibiotic binds the E-site of the bacterial ribosome</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61">
        <w:r>
          <w:rPr>
            <w:color w:val="1155CC"/>
            <w:u w:val="single"/>
          </w:rPr>
          <w:t>10.1038/s41586-026-10589-2</w:t>
        </w:r>
      </w:hyperlink>
    </w:p>
    <w:p>
      <w:pPr>
        <w:spacing w:before="0" w:after="120"/>
      </w:pPr>
      <w:r>
        <w:rPr>
          <w:b/>
        </w:rPr>
        <w:t xml:space="preserve">Notes: </w:t>
      </w:r>
      <w:r>
        <w:t>abstract_source=nature_html</w:t>
      </w:r>
    </w:p>
    <w:p>
      <w:pPr>
        <w:spacing w:before="0" w:after="80" w:lineRule="auto" w:line="276"/>
      </w:pPr>
      <w:r>
        <w:rPr>
          <w:b/>
        </w:rPr>
        <w:t xml:space="preserve">摘要（ZH）: </w:t>
      </w:r>
      <w:r>
        <w:t>解决抗生素耐药性危机的一个关键挑战是确定新的抗菌化合物1。尽管真菌和细菌（特别是放线菌）产生的天然产物是过去 80 年来发现的大多数抗生素的来源，但由于已知药物支架的频繁重新发现，它们已不再受欢迎2。目前的看法是，产生抗生素的放线菌已被过度开采，几乎没有什么新奇的东西可以产出。在这里，我们证明，通过使用改进的分馏方法来丰富以前被忽视的次要产物，即使是经过充分研究的产生抗生素的放线菌菌株也可以提供具有独特作用模式的新化学支架。通过对土壤细菌中的天然产物提取物文库进行分级分离，我们发现，众所周知的抗生素土霉素的来源——裂缘链霉菌（Streptomyces rimosus）可以产生一种环状缩酚肽抗生素，我们称之为马尼科霉素。马尼科霉素可以杀死多重耐药肠杆菌科细菌，并且不易受到与临床使用的抗生素相关的耐药性的影响。生化、遗传和结构分析表明，Manikomycin 结合在细菌核糖体大亚基的 E 位点上，阻止 tRNA 的 3' 端进入 E 位点，并以序列上下文特异性的方式有效阻碍蛋白质合成的易位步骤。据我们所知，Manikomycin 是第一种针对大核糖体亚基中关键但尚未充分研究的 E 位点的抗菌剂，凸显了其作为 d 药物的先导价值。</w:t>
      </w:r>
    </w:p>
    <w:p>
      <w:pPr>
        <w:spacing w:before="0" w:after="200" w:lineRule="auto" w:line="276"/>
      </w:pPr>
      <w:r>
        <w:rPr>
          <w:b/>
        </w:rPr>
        <w:t xml:space="preserve">Abstract (EN): </w:t>
      </w:r>
      <w:r>
        <w:t>A key challenge in addressing the antibiotic resistance crisis is identifying new antimicrobial compounds1. Although natural products produced by fungi and bacteria, particularly actinomycetes, have been the source of most antibiotics discovered over the past 80 years, they have fallen out of favour owing to the frequent rediscovery of known drug scaffolds2. The current perception is that antibiotic-producing actinomycetes have been over-mined and possess little novelty left to yield. Here we demonstrate that by using improved fractionation approaches that enrich previously overlooked minor products, even well-studied strains of antibiotic-producing actinomycetes can provide new chemical scaffolds with unique modes of action. By fractionating a library of natural product extracts from soil bacteria, we show that Streptomyces rimosus, the source of the well-known antibiotic oxytetracycline, produces a cyclic depsipeptide antibiotic that we call manikomycin. Manikomycin can kill multidrug-resistant Enterobacteriaceae and is not susceptible to resistance associated with clinically used antibiotics. Biochemical, genetic and structural analyses reveal that manikomycin binds in the E-site of the large subunit of the bacterial ribosome, preventing entry of the 3′ end of the tRNA into the E-site and effectively hindering the translocation step of protein synthesis in a sequence-context-specific manner. Manikomycin is the first antibacterial agent, to our knowledge, to target the critical but underexplored E-site in the large ribosomal subunit, highlighting its value as a lead for developing new antibiotics.</w:t>
      </w:r>
    </w:p>
    <w:p>
      <w:pPr>
        <w:spacing w:before="120" w:after="120"/>
      </w:pPr>
      <w:r>
        <w:rPr>
          <w:sz w:val="18"/>
        </w:rPr>
        <w:t>——————————————————————————————————————————————————————————————————————</w:t>
      </w:r>
    </w:p>
    <w:p>
      <w:pPr>
        <w:spacing w:before="160" w:after="40" w:line="240" w:lineRule="auto"/>
      </w:pPr>
      <w:r>
        <w:rPr>
          <w:b/>
        </w:rPr>
        <w:t xml:space="preserve">[273] </w:t>
      </w:r>
      <w:hyperlink r:id="rId762">
        <w:r>
          <w:rPr>
            <w:color w:val="1155CC"/>
            <w:u w:val="single"/>
          </w:rPr>
          <w:t>植物转录因子结合的全基因组建模捕获与表型性状相关的调控变异</w:t>
        </w:r>
      </w:hyperlink>
    </w:p>
    <w:p>
      <w:pPr>
        <w:spacing w:before="0" w:after="80"/>
      </w:pPr>
      <w:r>
        <w:rPr>
          <w:i/>
          <w:sz w:val="20"/>
        </w:rPr>
        <w:t>EN: Genome-wide modelling of plant transcription factor binding captures regulatory variants associated with phenotypic traits</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转录因子 (TF) 对顺式调控元件 (CRE) 的序列特异性识别将基因型信息传播为表型。了解遗传变异如何影响基因调控仍然受到 CRE 相互作用的多样性和复杂性的限制。在这里，我们使用在拟南芥 DNA 结合数据上训练的可解释的多标签深度学习模型来应对这一挑战，以捕获 CRE 序列、其更广泛的序列上下文和语法如何影响 TF 占用。经过训练后，该模型会注释顺反子范围内的 TF 结合位点并揭示特定条件的调控语法。通过整合拟南芥的基因组和 GWAS 数据，我们的方法可以预测差异 TF 结合并识别数量性状基因座内的调控基因变异。实验验证强调了顺式调控变异、基因表达和表型结果之间的联系。最后，将我们的模型应用于热应激条件下玉米的非靶向 DNA 结合测定，证明了其在系统发育较远的作物中表征条件响应 TF 结合的潜力。</w:t>
      </w:r>
    </w:p>
    <w:p>
      <w:pPr>
        <w:spacing w:before="0" w:after="200" w:lineRule="auto" w:line="276"/>
      </w:pPr>
      <w:r>
        <w:rPr>
          <w:b/>
        </w:rPr>
        <w:t xml:space="preserve">Abstract (EN): </w:t>
      </w:r>
      <w:r>
        <w:t>The sequence-specific recognition of cis-regulatory elements (CRE) by transcription factors (TF) propagates genotype information to phenotypes. Understanding how genetic variation affects gene regulation remains limited by the diversity and complexity of CRE interactions. Here, we address this challenge using an explainable multi-label deep learning model trained on A. thaliana DNA-binding data to capture how CRE sequence, their broader sequence context, and syntax influence TF occupancy. Once trained, the model annotates cistrome-wide TF-binding sites and uncovers condition-specific regulatory syntax. By integrating genomic and GWAS data from A. thaliana, our approach predicts differential TF-binding and identifies regulatory gene variants within quantitative trait loci. Experimental validation highlights the link between cis-regulatory variation, gene expression, and phenotypic outcomes. Finally, applying our model to untargeted DNA binding assays in Z. mays under heat-stress conditions demonstrates its potential to characterize condition-responsive TF binding in phylogenetically distant crops.</w:t>
      </w:r>
    </w:p>
    <w:p>
      <w:pPr>
        <w:spacing w:before="120" w:after="120"/>
      </w:pPr>
      <w:r>
        <w:rPr>
          <w:sz w:val="18"/>
        </w:rPr>
        <w:t>——————————————————————————————————————————————————————————————————————</w:t>
      </w:r>
    </w:p>
    <w:p>
      <w:pPr>
        <w:spacing w:before="160" w:after="40" w:line="240" w:lineRule="auto"/>
      </w:pPr>
      <w:r>
        <w:rPr>
          <w:b/>
        </w:rPr>
        <w:t xml:space="preserve">[274] </w:t>
      </w:r>
      <w:hyperlink r:id="rId763">
        <w:r>
          <w:rPr>
            <w:color w:val="1155CC"/>
            <w:u w:val="single"/>
          </w:rPr>
          <w:t>在细菌核糖体出口隧道中翻转抗菌肽</w:t>
        </w:r>
      </w:hyperlink>
    </w:p>
    <w:p>
      <w:pPr>
        <w:spacing w:before="0" w:after="80"/>
      </w:pPr>
      <w:r>
        <w:rPr>
          <w:i/>
          <w:sz w:val="20"/>
        </w:rPr>
        <w:t>EN: Flipping antimicrobial peptides in the exit tunnel of the bacterial ribosome</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富含脯氨酸的抗菌肽 (PrAMP) 通过与核糖体新生肽出口通道结合来杀死细菌。 II 型 PrAMP 以与新生蛋白质相匹配的方向结合，捕获释放因子并将核糖体捕获在终止密码子处。相反，I 型 PrAMP 以相反的方向结合：它们的 N 末端侵入肽基转移酶中心，在起始密码子处阻止翻译。在这里，通过挖掘基因组数据库，我们鉴定了许多与 II 型 PrAMP Drosocin 具有高度序列相似性的 PrAMP。值得注意的是，许多新的 PrAMP 不会在终止密码子处阻止核糖体，而是充当 I 型 PrAMP 在起始密码子处阻止翻译。结构分析表明此类肽以 I 型方向结合。肽结构的最小改变可以翻转出口通道中 PrAMP 的方向，从而切换翻译抑制机制。仅通过少量突变改变 PrAMP 的结合和作用模式就可以被宿主用来对抗新出现的细菌病原体。</w:t>
      </w:r>
    </w:p>
    <w:p>
      <w:pPr>
        <w:spacing w:before="0" w:after="200" w:lineRule="auto" w:line="276"/>
      </w:pPr>
      <w:r>
        <w:rPr>
          <w:b/>
        </w:rPr>
        <w:t xml:space="preserve">Abstract (EN): </w:t>
      </w:r>
      <w:r>
        <w:t>Proline-rich antimicrobial peptides (PrAMPs) kill bacteria by binding in the ribosomal nascent peptide exit tunnel. Type II PrAMPs bind in an orientation matching that of the nascent protein, trap the release factors and arrest ribosomes at stop codons. Conversely, Type I PrAMPs bind in an opposite orientation: their N-terminus invades the peptidyl transferase center arresting translation at start codons. Here, by mining the genome databases, we identify a number of PrAMPs with high sequence similarity to the Type II PrAMP Drosocin. Notably, many of the new PrAMPs do not stall ribosomes at stop codons, but act as Type I PrAMPs arresting translation at start codons. Structural analysis shows that such peptides bind with a Type I orientation. Minimal alterations in the peptide structure can flip the orientation of the PrAMP in the exit tunnel, switching the mechanism of translation inhibition. Altering the mode of binding and action of a PrAMP by only few mutations could be exploited by the host to combat newly emerging bacterial pathogens.</w:t>
      </w:r>
    </w:p>
    <w:p>
      <w:pPr>
        <w:spacing w:before="120" w:after="120"/>
      </w:pPr>
      <w:r>
        <w:rPr>
          <w:sz w:val="18"/>
        </w:rPr>
        <w:t>——————————————————————————————————————————————————————————————————————</w:t>
      </w:r>
    </w:p>
    <w:p>
      <w:pPr>
        <w:spacing w:before="160" w:after="40" w:line="240" w:lineRule="auto"/>
      </w:pPr>
      <w:r>
        <w:rPr>
          <w:b/>
        </w:rPr>
        <w:t xml:space="preserve">[275] </w:t>
      </w:r>
      <w:hyperlink r:id="rId764">
        <w:r>
          <w:rPr>
            <w:color w:val="1155CC"/>
            <w:u w:val="single"/>
          </w:rPr>
          <w:t>类蜀黍等位基因增强玉米的氮同化和种子蛋白质</w:t>
        </w:r>
      </w:hyperlink>
    </w:p>
    <w:p>
      <w:pPr>
        <w:spacing w:before="0" w:after="80"/>
      </w:pPr>
      <w:r>
        <w:rPr>
          <w:i/>
          <w:sz w:val="20"/>
        </w:rPr>
        <w:t>EN: Teosinte alleles enhance nitrogen assimilation and seed protein in maize</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65">
        <w:r>
          <w:rPr>
            <w:color w:val="1155CC"/>
            <w:u w:val="single"/>
          </w:rPr>
          <w:t>10.1038/s41586-026-10575-8</w:t>
        </w:r>
      </w:hyperlink>
    </w:p>
    <w:p>
      <w:pPr>
        <w:spacing w:before="0" w:after="120"/>
      </w:pPr>
      <w:r>
        <w:rPr>
          <w:b/>
        </w:rPr>
        <w:t xml:space="preserve">Notes: </w:t>
      </w:r>
      <w:r>
        <w:t>abstract_source=nature_html</w:t>
      </w:r>
    </w:p>
    <w:p>
      <w:pPr>
        <w:spacing w:before="0" w:after="80" w:lineRule="auto" w:line="276"/>
      </w:pPr>
      <w:r>
        <w:rPr>
          <w:b/>
        </w:rPr>
        <w:t xml:space="preserve">摘要（ZH）: </w:t>
      </w:r>
      <w:r>
        <w:t>在玉米 (Zea mays L.) 驯化过程中，种子蛋白质含量急剧下降1,2。在植物中，谷氨酰胺和天冬酰胺水平与蛋白质含量密切相关3,4。天冬酰胺由谷氨酰胺合成，这一过程由天冬酰胺合酶 5 催化。类蜀黍具有天冬酰胺合酶 4 (ASN4)2 的高级单倍型。在这里，我们报道类蜀黍还拥有促进谷氨酰胺合成的优质单倍型基因。我们鉴定并克隆了类蜀黍高蛋白 3 (THP3)，它编码谷氨酸-草酰乙酸转氨酶 1 (GOT1)，这是一种参与氮同化和碳氮平衡的关键酶。优良的 THP3-T 等位基因在驯化过程中受到负选择，具有增强其表达和酶活性的自然变异。过表达 THP3-T（而非现代 THP3-B 等位基因）显着增加种子蛋白质，代表碳氮组成发生改变。 THP3-T 与 THP9-T（后者编码天冬酰胺合酶 4 (ASN4)）的金字塔化可协同提高良种杂种中的种子和全株蛋白质，同时保持产量。我们的研究结果证明了通过重新引入野生近缘种驯化过程中不受欢迎的有益稀有等位基因来改良作物的强大策略。</w:t>
      </w:r>
    </w:p>
    <w:p>
      <w:pPr>
        <w:spacing w:before="0" w:after="200" w:lineRule="auto" w:line="276"/>
      </w:pPr>
      <w:r>
        <w:rPr>
          <w:b/>
        </w:rPr>
        <w:t xml:space="preserve">Abstract (EN): </w:t>
      </w:r>
      <w:r>
        <w:t>During maize (Zea mays L.) domestication, seed protein content sharply declined1,2. In plants, glutamine and asparagine levels are closely correlated with protein content3,4. Asparagine is synthesized from glutamine, a process catalysed by asparagine synthase5. Teosinte harbours a superior haplotype of asparagine synthase 4 (ASN4)2. Here, we report that teosinte also possesses a superior haplotype gene promoting glutamine synthesis. We identify and clone teosinte high protein 3 (THP3), which encodes glutamate-oxaloacetate transaminase 1 (GOT1), a key enzyme involved in nitrogen assimilation and carbon–nitrogen balance. The superior THP3-T allele, subjected to negative selection during domestication, has natural variations that boost both its expression and enzymatic activity. Overexpressing THP3-T, but not the modern THP3-B allele, significantly increases seed protein, representing altered carbon–nitrogen composition. Pyramiding THP3-T with THP9-T (the latter encoding asparagine synthase 4 (ASN4)) synergistically elevates both seed and whole-plant protein in elite hybrids while maintaining yield. Our findings demonstrate a powerful strategy for crop improvement by reintroducing beneficial rare alleles disfavoured during domestication from wild relatives.</w:t>
      </w:r>
    </w:p>
    <w:p>
      <w:pPr>
        <w:spacing w:before="120" w:after="120"/>
      </w:pPr>
      <w:r>
        <w:rPr>
          <w:sz w:val="18"/>
        </w:rPr>
        <w:t>——————————————————————————————————————————————————————————————————————</w:t>
      </w:r>
    </w:p>
    <w:p>
      <w:pPr>
        <w:spacing w:before="160" w:after="40" w:line="240" w:lineRule="auto"/>
      </w:pPr>
      <w:r>
        <w:rPr>
          <w:b/>
        </w:rPr>
        <w:t xml:space="preserve">[276] </w:t>
      </w:r>
      <w:hyperlink r:id="rId766">
        <w:r>
          <w:rPr>
            <w:color w:val="1155CC"/>
            <w:u w:val="single"/>
          </w:rPr>
          <w:t>手语叙事揭示了皮质时间尺度层次结构的普遍性和特定模态特征</w:t>
        </w:r>
      </w:hyperlink>
    </w:p>
    <w:p>
      <w:pPr>
        <w:spacing w:before="0" w:after="80"/>
      </w:pPr>
      <w:r>
        <w:rPr>
          <w:i/>
          <w:sz w:val="20"/>
        </w:rPr>
        <w:t>EN: Sign language narrative reveals universal and modality-specific features of cortical timescale hierarchy</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人类语言在讲述故事的能力上是独一无二的。先前的神经影像学研究表明，口语叙事理解涉及从单词和句子到叙事的神经时间尺度层次结构。手语与口语具有共同的核心特征，但也具有特定的模态元素，例如使用手、面部和空间位置来传达含义和标记语法。在这里，我们使用自然主义功能磁共振成像来检查语言层次结构的哪些方面是特定于语音的，哪些是通用的。母语手语者 (n = 20) 在功能磁共振成像期间观看了 20 分钟的波兰手语解释《厄舍屋的倒塌》及其逐渐打乱的版本。我们表明，签名叙事同步分层神经网络，揭示了跟踪句子级结构的额颞叶区域与默认模式网络跟踪图之间的模态不变分离。我们确定了之前未报道过的两个语音特征：上顶叶皮层在长话语时间尺度上同步，而腹侧枕叶皮层对单词和句子级别的处理做出反应。这些结果揭示了语言神经生物学的普遍性和潜在的特定模态方面。</w:t>
      </w:r>
    </w:p>
    <w:p>
      <w:pPr>
        <w:spacing w:before="0" w:after="200" w:lineRule="auto" w:line="276"/>
      </w:pPr>
      <w:r>
        <w:rPr>
          <w:b/>
        </w:rPr>
        <w:t xml:space="preserve">Abstract (EN): </w:t>
      </w:r>
      <w:r>
        <w:t>Human languages are unique in their capacity to tell stories. Prior neuroimaging studies show that spoken language narrative comprehension engages a neural time-scale hierarchy, from words and sentences to narratives. Sign languages share core features with spoken languages but also have modality-specific elements such as use of hands, face and spatial position to convey meaning and mark grammar. Here, we use naturalistic fMRI to examine which aspects of the language hierarchy are speech-specific versus modality-general. Native signers (n = 20) watched a 20-minute Polish Sign Language interpretation of The Fall of the House of Usher and its progressively scrambled versions during fMRI. We show that signed narratives synchronize hierarchical neural networks, revealing a modality-invariant dissociation between frontotemporal regions, which track sentence-level structure, and the Default Mode Network tracking plot. We identify two signatures not previously reported for speech: the superior parietal cortex synchronizes at long discourse timescales, while the ventral occipital cortex responds to word- and sentence-level processing. These results reveal both universal and potentially modality-specific aspects of language neurobiology.</w:t>
      </w:r>
    </w:p>
    <w:p>
      <w:pPr>
        <w:spacing w:before="120" w:after="120"/>
      </w:pPr>
      <w:r>
        <w:rPr>
          <w:sz w:val="18"/>
        </w:rPr>
        <w:t>——————————————————————————————————————————————————————————————————————</w:t>
      </w:r>
    </w:p>
    <w:p>
      <w:pPr>
        <w:spacing w:before="160" w:after="40" w:line="240" w:lineRule="auto"/>
      </w:pPr>
      <w:r>
        <w:rPr>
          <w:b/>
        </w:rPr>
        <w:t xml:space="preserve">[277] </w:t>
      </w:r>
      <w:hyperlink r:id="rId767">
        <w:r>
          <w:rPr>
            <w:color w:val="1155CC"/>
            <w:u w:val="single"/>
          </w:rPr>
          <w:t>通过分数各向异性图的无监督深度表示学习捕获的白质微结构的遗传结构</w:t>
        </w:r>
      </w:hyperlink>
    </w:p>
    <w:p>
      <w:pPr>
        <w:spacing w:before="0" w:after="80"/>
      </w:pPr>
      <w:r>
        <w:rPr>
          <w:i/>
          <w:sz w:val="20"/>
        </w:rPr>
        <w:t>EN: Genetic architecture of white matter microstructure captured by unsupervised deep representation learning of fractional anisotropy maps</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扩散 MRI 的分数各向异性 (FA) 是白质 (WM) 完整性的广泛使用的标记，但基于 FA 的传统遗传研究通常依赖于纤维束或图谱定义的平均值，这可能会掩盖空间分布的 WM 变异并限制遗传发现。在这里，我们提出了一种深度学习框架，称为 WM 无监督深度表示（UDR-WM），它使用体素 FA 图来导出全脑无监督深度成像表型（UDIP-FA），而无需事先进行解剖假设。与传统的 FA 表型相比，UDIP-FA 对衰老表现出更高的敏感性，并且基于 SNP 的遗传力显着提高。多变量 GWAS 确定了 586 个位点的 939 个先导 SNP，映射到 3,480 个 UDIP-FA 相关基因。这些基因在神经胶质细胞中富集，特别是星形胶质细胞和少突胶质细胞，并在涉及髓鞘形成和轴突结构的蛋白质相互作用和共表达网络中形成与疾病相关的模块。 UDIP-FA 在遗传上与多种脑部疾病、认知特征和多基因风险相关。总之，我们的结果表明 UDIP-FA 提供了具有生物学意义的白质视图，补充了传统的基于 ROI 的 FA 测量，并提供了一种更精细的方法来研究其遗传结构。</w:t>
      </w:r>
    </w:p>
    <w:p>
      <w:pPr>
        <w:spacing w:before="0" w:after="200" w:lineRule="auto" w:line="276"/>
      </w:pPr>
      <w:r>
        <w:rPr>
          <w:b/>
        </w:rPr>
        <w:t xml:space="preserve">Abstract (EN): </w:t>
      </w:r>
      <w:r>
        <w:t>Fractional anisotropy (FA) from diffusion MRI is a widely used marker of white matter (WM) integrity, but conventional FA-based genetic studies typically rely on tract- or atlas-defined averages that may obscure spatially distributed WM variation and limit genetic discovery. Here, we propose a deep learning framework, termed unsupervised deep representation of WM (UDR-WM), which uses voxel-wise FA maps to derive brain-wide unsupervised deep imaging phenotypes (UDIP-FA) without prior anatomical assumptions. Compared with traditional FA phenotypes, UDIP-FA shows greater sensitivity to aging and substantially higher SNP-based heritability. Multivariate GWAS identified 939 lead SNPs across 586 loci, mapping to 3,480 UDIP-FA-associated genes. These genes are enriched in glial cells, especially astrocytes and oligodendrocytes, and form disease-relevant modules in protein interaction and co-expression networks implicating myelination and axonal structure. UDIP-FA is genetically associated with multiple brain disorders, cognitive traits, and polygenic risk. Together, our results suggest that UDIP-FA provides a biologically meaningful view of white matter, complementing conventional ROI-based FA measures and offering a more refined way to study its genetic architecture.</w:t>
      </w:r>
    </w:p>
    <w:p>
      <w:pPr>
        <w:spacing w:before="120" w:after="120"/>
      </w:pPr>
      <w:r>
        <w:rPr>
          <w:sz w:val="18"/>
        </w:rPr>
        <w:t>——————————————————————————————————————————————————————————————————————</w:t>
      </w:r>
    </w:p>
    <w:p>
      <w:pPr>
        <w:spacing w:before="160" w:after="40" w:line="240" w:lineRule="auto"/>
      </w:pPr>
      <w:r>
        <w:rPr>
          <w:b/>
        </w:rPr>
        <w:t xml:space="preserve">[278] </w:t>
      </w:r>
      <w:hyperlink r:id="rId768">
        <w:r>
          <w:rPr>
            <w:color w:val="1155CC"/>
            <w:u w:val="single"/>
          </w:rPr>
          <w:t>节肢动物生命树中精子结合的普遍趋同进化</w:t>
        </w:r>
      </w:hyperlink>
    </w:p>
    <w:p>
      <w:pPr>
        <w:spacing w:before="0" w:after="80"/>
      </w:pPr>
      <w:r>
        <w:rPr>
          <w:i/>
          <w:sz w:val="20"/>
        </w:rPr>
        <w:t>EN: Pervasive convergent evolution of sperm conjugation across the Arthropoda tree of life</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理论表明，射精应该通过其组成部分（精子、精液和射精结构）的整合而进化出增强的功能。在这里，我们详尽地回顾了有关节肢动物精子超微结构的大量文献，以研究精子结合（精子之间的一种社会合作形式）及其与表面上的前因：膜结合的细胞外精子相关物质（SAM）的关系。我们的重建表明，在寒武纪或奥陶纪（即 452.6 – 5.085 亿年前），精子结合首先出现在导致昆虫和足足类的分支上。从那时起，节肢动物和相关的蜕皮动物估计有三分之二的时间都花在精子接合上，而精子接合在进化过程中各有大约 45 次的消失和获得。我们表明，大多数缀合的进化衍生发生在 SAM 起源之后，SAM 随后多样化以促进多种缀合类型的进化。最后，对真正的虫子和甲虫的会聚衍生的精子样式（精子附着的 SAM 的特殊杆）的蛋白质组的比较分析表明，共同的遗传工具包的并行利用可能会利用深度同源性来实现复杂的射精适应的进化。我们的分析揭示了射精形式和功能的进化实验的古老、普遍和动态的历史。</w:t>
      </w:r>
    </w:p>
    <w:p>
      <w:pPr>
        <w:spacing w:before="0" w:after="200" w:lineRule="auto" w:line="276"/>
      </w:pPr>
      <w:r>
        <w:rPr>
          <w:b/>
        </w:rPr>
        <w:t xml:space="preserve">Abstract (EN): </w:t>
      </w:r>
      <w:r>
        <w:t>Theory suggests that ejaculates should evolve heightened functionality through integration of their component parts: spermatozoa, seminal fluid, and ejaculate structures. Here, we exhaustively review the vast literature on sperm ultrastructure in arthropods to examine sperm conjugation - a form of social cooperation among sperm - and its relationship with an ostensible antecedent: membrane-bound, extracellular sperm-associated material (SAM). Our reconstructions suggest that sperm conjugation first arose on the branch leading to insects and remipedes during the Cambrian or Ordovician Periods (i.e., 452.6 – 508.5 million years ago). Since then, arthropods and related ecdysozoans have spent an estimated two-thirds of their time with sperm conjugation, which has been evolutionarily lost and gained approximately 45 times each. We show that most evolutionary derivations of conjugation occurred following the origin of SAM, with SAM subsequent diversifying to facilitate the evolution of multiple conjugate types. Finally, comparative analyses of proteomes of the convergently-derived spermatostyles (specialized rods of SAM to which sperm attach) of true bugs and beetles indicate parallel utilization of a common genetic toolkit that may draw upon deep homology for the evolution of complex ejaculate adaptations. Our analyses reveal an ancient, pervasive and dynamic history of evolutionary experimentation with ejaculate form and function.</w:t>
      </w:r>
    </w:p>
    <w:p>
      <w:pPr>
        <w:spacing w:before="120" w:after="120"/>
      </w:pPr>
      <w:r>
        <w:rPr>
          <w:sz w:val="18"/>
        </w:rPr>
        <w:t>——————————————————————————————————————————————————————————————————————</w:t>
      </w:r>
    </w:p>
    <w:p>
      <w:pPr>
        <w:spacing w:before="160" w:after="40" w:line="240" w:lineRule="auto"/>
      </w:pPr>
      <w:r>
        <w:rPr>
          <w:b/>
        </w:rPr>
        <w:t xml:space="preserve">[279] </w:t>
      </w:r>
      <w:hyperlink r:id="rId769">
        <w:r>
          <w:rPr>
            <w:color w:val="1155CC"/>
            <w:u w:val="single"/>
          </w:rPr>
          <w:t>多样性驱动的生化调查揭示了整个 rubisco 超家族中广泛的二聚化</w:t>
        </w:r>
      </w:hyperlink>
    </w:p>
    <w:p>
      <w:pPr>
        <w:spacing w:before="0" w:after="80"/>
      </w:pPr>
      <w:r>
        <w:rPr>
          <w:i/>
          <w:sz w:val="20"/>
        </w:rPr>
        <w:t>EN: Diversity-driven biochemical survey reveals widespread dimerization throughout the rubisco superfamily</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Rubisco 是几乎所有有机碳进入生物圈的入口点，存在于生命的各个领域。尽管其具有全球重要性，但对该酶超家族的生化研究仅限于相对狭窄的一组分支。宏基因组学的最新进展极大地重塑了我们对微生物和 Rubisco 多样性的理解。然而，这些序列的生化特征并没有跟上序列数据的指数增长。为了更好地研究 rubisco 的功能和结构多样性，我们系统地采样并合成了不同 rubisco 序列的文库，重点关注生化文献中很少出现的进化枝。我们更新的系统发育分析表明，许多深分支的 rubisco 组装为二聚体，支持超家族的二聚体起源 - 与生态上占主导地位的十六聚体形式 I 形成鲜明对比。此外，我们发现并在结构上表征了特征性 rubiscos 中异常大的催化亚基，该亚基源自早期分支子分支，其二级结构元素不存在于典型的 rubisco 结构中。</w:t>
      </w:r>
    </w:p>
    <w:p>
      <w:pPr>
        <w:spacing w:before="0" w:after="200" w:lineRule="auto" w:line="276"/>
      </w:pPr>
      <w:r>
        <w:rPr>
          <w:b/>
        </w:rPr>
        <w:t xml:space="preserve">Abstract (EN): </w:t>
      </w:r>
      <w:r>
        <w:t>Rubisco is the entry point of nearly all organic carbon into the biosphere and is present in all domains of life. Despite its global importance, biochemical studies of this enzyme superfamily have been limited to a relatively narrow set of subclades. Recent advances in metagenomics have dramatically reshaped our understanding of both microbial and rubisco diversity; however, biochemical characterization of these sequences has not kept pace with the exponential growth in sequence data. To better survey the functional and structural diversity of rubisco, we systematically sample and synthesize a library of diverse rubisco sequences with an emphasis on clades that are sparsely represented in the biochemical literature. Our updated phylogenetic analysis reveals that many deep‑branching rubiscos assemble as dimers, supporting a dimeric origin for the superfamily — in contrast to the ecologically dominant hexadecameric form I. Additionally, we discover and structurally characterize an unusually large catalytic subunit among characterized rubiscos, originating from a early-branching subclade with secondary structural elements not present in canonical rubisco architectures.</w:t>
      </w:r>
    </w:p>
    <w:p>
      <w:pPr>
        <w:spacing w:before="120" w:after="120"/>
      </w:pPr>
      <w:r>
        <w:rPr>
          <w:sz w:val="18"/>
        </w:rPr>
        <w:t>——————————————————————————————————————————————————————————————————————</w:t>
      </w:r>
    </w:p>
    <w:p>
      <w:pPr>
        <w:spacing w:before="160" w:after="40" w:line="240" w:lineRule="auto"/>
      </w:pPr>
      <w:r>
        <w:rPr>
          <w:b/>
        </w:rPr>
        <w:t xml:space="preserve">[280] </w:t>
      </w:r>
      <w:hyperlink r:id="rId770">
        <w:r>
          <w:rPr>
            <w:color w:val="1155CC"/>
            <w:u w:val="single"/>
          </w:rPr>
          <w:t>非编码结构变异破坏早期神经发育中的 FOXG1 转录调控</w:t>
        </w:r>
      </w:hyperlink>
    </w:p>
    <w:p>
      <w:pPr>
        <w:spacing w:before="0" w:after="80"/>
      </w:pPr>
      <w:r>
        <w:rPr>
          <w:i/>
          <w:sz w:val="20"/>
        </w:rPr>
        <w:t>EN: Non-coding structural variants disrupt FOXG1 transcriptional regulation in early neurodevelopment</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FOXG1 转录因子是胚胎大脑发育的重要调节因子。致病性 FOXG1 变异会导致 FOXG1 综合征。尽管 FOXG1 下游非编码区的结构变异已在 38 个具有相似特征的个体中报道，但其调节病理机制仍不清楚。在这里，我们在具有 FOXG1 综合征样特征的个体中鉴定出两种非编码结构变异，使我们能够描绘出约 124 kb 的常见受影响的调节区域。使用表观基因组分析和体内增强子测定，我们表征并验证了常见受影响的调控区域和更广泛的 FOXG1 TAD 内的调控元件。我们发现先前验证的前脑增强子被强烈激活，并鉴定出在前脑定向神经祖细胞分化过程中被强烈激活的增强子簇和祖细胞特异性增强子区域，FOXG1 是这一过程的重要调节因子。这些元件的扰动会导致前脑神经祖细胞中 FOXG1 转录的不同程度减少以及这些细胞内的群体变化，而 TAD 边界的去除会导致邻近 PRKD1 基因的异常表达。我们的研究结果描述了神经发育过程中 FOXG1 正确转录所必需的增强子和结构元件，从而改善了该区域的变异解释。</w:t>
      </w:r>
    </w:p>
    <w:p>
      <w:pPr>
        <w:spacing w:before="0" w:after="200" w:lineRule="auto" w:line="276"/>
      </w:pPr>
      <w:r>
        <w:rPr>
          <w:b/>
        </w:rPr>
        <w:t xml:space="preserve">Abstract (EN): </w:t>
      </w:r>
      <w:r>
        <w:t>The FOXG1 transcription factor is a crucial regulator of embryonic brain development. Pathogenic FOXG1 variants cause FOXG1 syndrome. Although structural variants in the non-coding region downstream of FOXG1 have been reported in 38 individuals with similar characteristics, the regulatory pathomechanisms remain unknown. Here, we identify two non-coding structural variants in individuals with FOXG1 syndrome-like features, allowing us to delineate a ~ 124 kb commonly affected regulatory region. Using epigenomic profiling and in vivo enhancer assays, we characterize and validate regulatory elements within the commonly affected regulatory region and wider FOXG1 TAD. We see strong activation of previously validated forebrain enhancers, and identify an enhancer cluster and progenitor-specific enhancer region that are strongly activated during forebrain-directed neural progenitor cell differentiation, a process in which FOXG1 is an important regulator. Perturbation of these elements results in varying degrees of reduced FOXG1 transcription in forebrain neural progenitor cells and in population shifts within these cells, while removal of the TAD boundary leads to aberrant expression of the neighbouring PRKD1 gene. Our findings characterize enhancer and architectural elements essential for proper FOXG1 transcription during neurodevelopment, therefore improving variant interpretation in this region.</w:t>
      </w:r>
    </w:p>
    <w:p>
      <w:pPr>
        <w:spacing w:before="120" w:after="120"/>
      </w:pPr>
      <w:r>
        <w:rPr>
          <w:sz w:val="18"/>
        </w:rPr>
        <w:t>——————————————————————————————————————————————————————————————————————</w:t>
      </w:r>
    </w:p>
    <w:p>
      <w:pPr>
        <w:spacing w:before="160" w:after="40" w:line="240" w:lineRule="auto"/>
      </w:pPr>
      <w:r>
        <w:rPr>
          <w:b/>
        </w:rPr>
        <w:t xml:space="preserve">[281] </w:t>
      </w:r>
      <w:hyperlink r:id="rId771">
        <w:r>
          <w:rPr>
            <w:color w:val="1155CC"/>
            <w:u w:val="single"/>
          </w:rPr>
          <w:t>登革热感染中 DENV 特异性 CD8 + T 细胞的异质性和动态</w:t>
        </w:r>
      </w:hyperlink>
    </w:p>
    <w:p>
      <w:pPr>
        <w:spacing w:before="0" w:after="80"/>
      </w:pPr>
      <w:r>
        <w:rPr>
          <w:i/>
          <w:sz w:val="20"/>
        </w:rPr>
        <w:t>EN: Heterogeneity and dynamics of DENV-specific CD8 + T cells in dengue infection</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登革热病毒（DENV）是全球主要的健康威胁，继发性异型感染可能会诱发有害的记忆免疫反应。抗原特异性 CD8 + T 细胞有助于保护性和致病性，但其表型异质性与疾病严重程度的关系仍不清楚。在这里，我们对循环的 DENV 特异性 CD8 + T 细胞进行了基于平板的单细胞 RNA 测序，这些细胞是由装载有 DENV NS3 衍生表位的 HLA 四聚体鉴定的。利用与当前和血清学推断的先前感染的主要血清型相对应的肽的四聚体结合，我们鉴定了与疾病严重程度相关的不同的CD8+T细胞亚群。无症状登革热富含具有中等细胞毒性程序的低四聚体结合细胞，而登革热出血热与高四聚体结合CX3CR1 + CD8 + T细胞相关，表现出与T细胞受体信号传导和细胞毒性相关的基因表达增强。有症状病例中的 T 细胞受体库相似，但显示出时间动态。总体而言，不同疾病严重程度和时间的 DENV NS3 特异性 CD8 + T 细胞与不同的转录组状态和 T 细胞受体特征相关。</w:t>
      </w:r>
    </w:p>
    <w:p>
      <w:pPr>
        <w:spacing w:before="0" w:after="200" w:lineRule="auto" w:line="276"/>
      </w:pPr>
      <w:r>
        <w:rPr>
          <w:b/>
        </w:rPr>
        <w:t xml:space="preserve">Abstract (EN): </w:t>
      </w:r>
      <w:r>
        <w:t>Dengue virus (DENV) is a major global health threat, with secondary heterotypic infections potentially inducing detrimental memory immune responses. Antigen-specific CD8 + T cells contribute to both protection and pathogenicity, yet how their phenotypic heterogeneity relates to disease severity remains unclear. Here, we performed plate-based single-cell RNA sequencing of circulating DENV-specific CD8 + T cells identified by HLA tetramers loaded with DENV NS3-derived epitopes. Using tetramer binding to peptides corresponding to the currently and serologically inferred dominant previously infecting serotypes, we identify distinct CD8 + T cell subsets associated with disease severity. Asymptomatic dengue is enriched for lower tetramer binding cells with moderate cytotoxic programs, whereas dengue hemorrhagic fever is associated with high tetramer binding CX3CR1 + CD8 + T cells exhibiting enhanced expression of genes related to T cell receptor signaling and cytotoxicity. T cell receptor repertoires are similar among symptomatic cases but displayed temporal dynamics. Overall, DENV NS3-specific CD8 + T cells across disease severity and time are associated with distinct transcriptomic states and T cell receptor features.</w:t>
      </w:r>
    </w:p>
    <w:p>
      <w:pPr>
        <w:spacing w:before="120" w:after="120"/>
      </w:pPr>
      <w:r>
        <w:rPr>
          <w:sz w:val="18"/>
        </w:rPr>
        <w:t>——————————————————————————————————————————————————————————————————————</w:t>
      </w:r>
    </w:p>
    <w:p>
      <w:pPr>
        <w:spacing w:before="160" w:after="40" w:line="240" w:lineRule="auto"/>
      </w:pPr>
      <w:r>
        <w:rPr>
          <w:b/>
        </w:rPr>
        <w:t xml:space="preserve">[282] </w:t>
      </w:r>
      <w:hyperlink r:id="rId772">
        <w:r>
          <w:rPr>
            <w:color w:val="1155CC"/>
            <w:u w:val="single"/>
          </w:rPr>
          <w:t>非洲维持MPOX疫苗接种的必要性</w:t>
        </w:r>
      </w:hyperlink>
    </w:p>
    <w:p>
      <w:pPr>
        <w:spacing w:before="0" w:after="80"/>
      </w:pPr>
      <w:r>
        <w:rPr>
          <w:i/>
          <w:sz w:val="20"/>
        </w:rPr>
        <w:t>EN: The need for sustaining mpox vaccination in Africa</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维持和过渡mpox疫苗接种需要在机构间协调小组（ICG）下建立全球mpox疫苗库存并为其提供资源，并得到可持续融资、透明分配标准、多元化制造（包括非洲本地生产）以及强大的物流、监测和操作系统的支持。此外，还需要加强全球、区域和社区行为者之间的合作；持续的数据生成和研究为政策提供信息，包括基因组和疫苗有效性研究；并通过快速的本地制造加速研发，以增强供应弹性和长期的流行病准备。</w:t>
      </w:r>
    </w:p>
    <w:p>
      <w:pPr>
        <w:spacing w:before="0" w:after="200" w:lineRule="auto" w:line="276"/>
      </w:pPr>
      <w:r>
        <w:rPr>
          <w:b/>
        </w:rPr>
        <w:t xml:space="preserve">Abstract (EN): </w:t>
      </w:r>
      <w:r>
        <w:t>Sustaining and transitioning mpox vaccination requires establishing and resourcing a global mpox vaccine stockpile under the Inter-Agency Coordinating Group (ICG), supported by sustainable financing, transparent allocation criteria, diversified manufacturing (including local production in Africa), and robust logistics, surveillance, and operational systems. Moreover, it requires strengthened collaboration among global, regional, and community actors; continuous data generation and research to inform policy, including genomic and vaccine effectiveness studies; and accelerated R&amp;D with fast-tracked local manufacturing to enhance supply resilience and long-term epidemic preparedness.</w:t>
      </w:r>
    </w:p>
    <w:p>
      <w:pPr>
        <w:spacing w:before="120" w:after="120"/>
      </w:pPr>
      <w:r>
        <w:rPr>
          <w:sz w:val="18"/>
        </w:rPr>
        <w:t>——————————————————————————————————————————————————————————————————————</w:t>
      </w:r>
    </w:p>
    <w:p>
      <w:pPr>
        <w:spacing w:before="160" w:after="40" w:line="240" w:lineRule="auto"/>
      </w:pPr>
      <w:r>
        <w:rPr>
          <w:b/>
        </w:rPr>
        <w:t xml:space="preserve">[283] </w:t>
      </w:r>
      <w:hyperlink r:id="rId773">
        <w:r>
          <w:rPr>
            <w:color w:val="1155CC"/>
            <w:u w:val="single"/>
          </w:rPr>
          <w:t>热带植被初级生产总值规模</w:t>
        </w:r>
      </w:hyperlink>
    </w:p>
    <w:p>
      <w:pPr>
        <w:spacing w:before="0" w:after="80"/>
      </w:pPr>
      <w:r>
        <w:rPr>
          <w:i/>
          <w:sz w:val="20"/>
        </w:rPr>
        <w:t>EN: The size of tropical vegetation gross primary production</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74">
        <w:r>
          <w:rPr>
            <w:color w:val="1155CC"/>
            <w:u w:val="single"/>
          </w:rPr>
          <w:t>10.1038/s41586-026-10562-z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775">
        <w:r>
          <w:rPr>
            <w:color w:val="1155CC"/>
            <w:u w:val="single"/>
          </w:rPr>
          <w:t>细胞类型决定的遗传变异影响炎症性肠病的风险</w:t>
        </w:r>
      </w:hyperlink>
    </w:p>
    <w:p>
      <w:pPr>
        <w:spacing w:before="0" w:after="80"/>
      </w:pPr>
      <w:r>
        <w:rPr>
          <w:i/>
          <w:sz w:val="20"/>
        </w:rPr>
        <w:t>EN: Cell-type-resolved genetic variation shapes inflammatory bowel disease risk</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76">
        <w:r>
          <w:rPr>
            <w:color w:val="1155CC"/>
            <w:u w:val="single"/>
          </w:rPr>
          <w:t>10.1038/s41586-026-10627-z</w:t>
        </w:r>
      </w:hyperlink>
    </w:p>
    <w:p>
      <w:pPr>
        <w:spacing w:before="0" w:after="120"/>
      </w:pPr>
      <w:r>
        <w:rPr>
          <w:b/>
        </w:rPr>
        <w:t xml:space="preserve">Notes: </w:t>
      </w:r>
      <w:r>
        <w:t>abstract_source=nature_html</w:t>
      </w:r>
    </w:p>
    <w:p>
      <w:pPr>
        <w:spacing w:before="0" w:after="80" w:lineRule="auto" w:line="276"/>
      </w:pPr>
      <w:r>
        <w:rPr>
          <w:b/>
        </w:rPr>
        <w:t xml:space="preserve">摘要（ZH）: </w:t>
      </w:r>
      <w:r>
        <w:t>大多数与复杂疾病相关的遗传变异位于非编码区1，这使得识别效应基因和相关细胞类型的工作变得更加复杂。在这里，我们使用来自 421 名个体（其中 125 名患有炎症性肠病 (IBD)）的肠道活检和血液，绘制了 220 万个单细胞中的顺式表达数量性状位点 (eQTL)。细胞类型水平的 eQTL 距离转录起始位点更远，富含增强子，不太可能调节最近的基因，并且与全基因组关联研究 (GWAS) 中检测到的 IBD 位点共定位的可能性比组织水平分辨率检测到的 eQTL 高 3.5 倍。我们在超过一半的已知 IBD 基因座上提名了效应基因，包括骨髓细胞中的 MAML2、PSEN2 和 ZMIZ1，这表明肠道免疫功能障碍中 Notch 信号传导减少。我们还在上皮干细胞和祖细胞中鉴定出 Wnt 调节基因，包括 MYC，这表明更新受损会导致屏障破坏。我们的结果提供了一个将遗传风险与 IBD 中特定基因和细胞类型联系起来的机制图，以及使用复杂疾病中疾病相关组织的单细胞 eQTL 作图来解释 GWAS 基因座的通用框架。</w:t>
      </w:r>
    </w:p>
    <w:p>
      <w:pPr>
        <w:spacing w:before="0" w:after="200" w:lineRule="auto" w:line="276"/>
      </w:pPr>
      <w:r>
        <w:rPr>
          <w:b/>
        </w:rPr>
        <w:t xml:space="preserve">Abstract (EN): </w:t>
      </w:r>
      <w:r>
        <w:t>Most genetic variants associated with complex diseases lie in non-coding regions1, complicating efforts to identify effector genes and relevant cell types. Here we map cis-expression quantitative trait loci (eQTLs) across 2.2 million single cells using intestinal biopsies and blood from 421 individuals, including 125 with inflammatory bowel disease (IBD). Cell-type-level eQTLs were more distal to transcription start sites, enriched in enhancers, less likely to regulate the nearest gene, and more than 3.5-fold more likely to colocalize with IBD loci detected in genome-wide association studies (GWASs) than eQTLs detected at tissue-level resolution. We nominate effector genes at more than half of known IBD loci, including MAML2, PSEN2 and ZMIZ1 in myeloid cells, implicating reduced Notch signalling in intestinal immune dysfunction. We also identify Wnt-regulated genes, including MYC, in epithelial stem and progenitor cells, suggesting that impaired renewal contributes to barrier breakdown. Our results provide a mechanistic map that links genetic risk to specific genes and cell types in IBD, and a generalized framework for interpretation of GWAS loci using single-cell eQTL mapping of disease-relevant tissues in complex diseases.</w:t>
      </w:r>
    </w:p>
    <w:p>
      <w:pPr>
        <w:spacing w:before="120" w:after="120"/>
      </w:pPr>
      <w:r>
        <w:rPr>
          <w:sz w:val="18"/>
        </w:rPr>
        <w:t>——————————————————————————————————————————————————————————————————————</w:t>
      </w:r>
    </w:p>
    <w:p>
      <w:pPr>
        <w:spacing w:before="160" w:after="40" w:line="240" w:lineRule="auto"/>
      </w:pPr>
      <w:r>
        <w:rPr>
          <w:b/>
        </w:rPr>
        <w:t xml:space="preserve">[285] </w:t>
      </w:r>
      <w:hyperlink r:id="rId777">
        <w:r>
          <w:rPr>
            <w:color w:val="1155CC"/>
            <w:u w:val="single"/>
          </w:rPr>
          <w:t>协调开花的玉米基因有助于抗旱</w:t>
        </w:r>
      </w:hyperlink>
    </w:p>
    <w:p>
      <w:pPr>
        <w:spacing w:before="0" w:after="80"/>
      </w:pPr>
      <w:r>
        <w:rPr>
          <w:i/>
          <w:sz w:val="20"/>
        </w:rPr>
        <w:t>EN: A maize gene that coordinates flowering aids drought resistance</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78">
        <w:r>
          <w:rPr>
            <w:color w:val="1155CC"/>
            <w:u w:val="single"/>
          </w:rPr>
          <w:t>10.1038/d41586-026-01745-9</w:t>
        </w:r>
      </w:hyperlink>
    </w:p>
    <w:p>
      <w:pPr>
        <w:spacing w:before="0" w:after="120"/>
      </w:pPr>
      <w:r>
        <w:rPr>
          <w:b/>
        </w:rPr>
        <w:t xml:space="preserve">Notes: </w:t>
      </w:r>
      <w:r>
        <w:t>abstract_source=nature_html</w:t>
      </w:r>
    </w:p>
    <w:p>
      <w:pPr>
        <w:spacing w:before="0" w:after="80" w:lineRule="auto" w:line="276"/>
      </w:pPr>
      <w:r>
        <w:rPr>
          <w:b/>
        </w:rPr>
        <w:t xml:space="preserve">摘要（ZH）: </w:t>
      </w:r>
      <w:r>
        <w:t>玉米雄花和雌花簇的同步开花至关重要，但干旱破坏了这种同步，导致相当大的产量损失。一种名为 SAUR72 的基因被证明可以在干旱条件下保持开花同步性，为培育抗旱玉米品种提供了潜在的策略。在控制 SAUR72 基因表达的序列中插入 DNA 会降低耐旱性。</w:t>
      </w:r>
    </w:p>
    <w:p>
      <w:pPr>
        <w:spacing w:before="0" w:after="200" w:lineRule="auto" w:line="276"/>
      </w:pPr>
      <w:r>
        <w:rPr>
          <w:b/>
        </w:rPr>
        <w:t xml:space="preserve">Abstract (EN): </w:t>
      </w:r>
      <w:r>
        <w:t>The synchronous flowering of male and female flower clusters in maize is crucial, but drought disrupts this synchrony, leading to considerable yield losses. A gene called SAUR72 is shown to preserve flowering synchrony in drought conditions, offering a potential strategy for breeding drought-resilient maize varieties. A DNA insertion in the sequence that controls the expression of the gene SAUR72 reduces drought tolerance.</w:t>
      </w:r>
    </w:p>
    <w:p>
      <w:pPr>
        <w:spacing w:before="120" w:after="120"/>
      </w:pPr>
      <w:r>
        <w:rPr>
          <w:sz w:val="18"/>
        </w:rPr>
        <w:t>——————————————————————————————————————————————————————————————————————</w:t>
      </w:r>
    </w:p>
    <w:p>
      <w:pPr>
        <w:spacing w:before="160" w:after="40" w:line="240" w:lineRule="auto"/>
      </w:pPr>
      <w:r>
        <w:rPr>
          <w:b/>
        </w:rPr>
        <w:t xml:space="preserve">[286] </w:t>
      </w:r>
      <w:hyperlink r:id="rId779">
        <w:r>
          <w:rPr>
            <w:color w:val="1155CC"/>
            <w:u w:val="single"/>
          </w:rPr>
          <w:t>使用新方法检测非蛋白质生物分子上的泛素标签</w:t>
        </w:r>
      </w:hyperlink>
    </w:p>
    <w:p>
      <w:pPr>
        <w:spacing w:before="0" w:after="80"/>
      </w:pPr>
      <w:r>
        <w:rPr>
          <w:i/>
          <w:sz w:val="20"/>
        </w:rPr>
        <w:t>EN: Ubiquitin tags detected on non-protein biomolecules using new method</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80">
        <w:r>
          <w:rPr>
            <w:color w:val="1155CC"/>
            <w:u w:val="single"/>
          </w:rPr>
          <w:t>10.1038/d41586-026-01741-z</w:t>
        </w:r>
      </w:hyperlink>
    </w:p>
    <w:p>
      <w:pPr>
        <w:spacing w:before="0" w:after="120"/>
      </w:pPr>
      <w:r>
        <w:rPr>
          <w:b/>
        </w:rPr>
        <w:t xml:space="preserve">Notes: </w:t>
      </w:r>
      <w:r>
        <w:t>abstract_source=nature_html</w:t>
      </w:r>
    </w:p>
    <w:p>
      <w:pPr>
        <w:spacing w:before="0" w:after="80" w:lineRule="auto" w:line="276"/>
      </w:pPr>
      <w:r>
        <w:rPr>
          <w:b/>
        </w:rPr>
        <w:t xml:space="preserve">摘要（ZH）: </w:t>
      </w:r>
      <w:r>
        <w:t>一种创新的质谱方法检测到蛋白质以外的生物分子上的小蛋白泛素。在小鼠肝脏中，禁食期间糖原被分解时，能量储存分子糖原的泛素化程度大幅增加（涉及肝脏总泛素的 1%）。结果表明，肝糖原分子分解为葡萄糖可能受到泛素化的调节。</w:t>
      </w:r>
    </w:p>
    <w:p>
      <w:pPr>
        <w:spacing w:before="0" w:after="200" w:lineRule="auto" w:line="276"/>
      </w:pPr>
      <w:r>
        <w:rPr>
          <w:b/>
        </w:rPr>
        <w:t xml:space="preserve">Abstract (EN): </w:t>
      </w:r>
      <w:r>
        <w:t>An innovative method of mass spectrometry has detected the small protein ubiquitin on biomolecules other than proteins. In mouse liver, the energy-storing molecule glycogen has a large increase in ubiquitination — involving 1% of the liver’s total ubiquitin — during fasting, when glycogen is broken down. The results indicate that the breakdown of liver glycogen molecules into glucose might be regulated by ubiquitination.</w:t>
      </w:r>
    </w:p>
    <w:p>
      <w:pPr>
        <w:spacing w:before="120" w:after="120"/>
      </w:pPr>
      <w:r>
        <w:rPr>
          <w:sz w:val="18"/>
        </w:rPr>
        <w:t>——————————————————————————————————————————————————————————————————————</w:t>
      </w:r>
    </w:p>
    <w:p>
      <w:pPr>
        <w:spacing w:before="160" w:after="40" w:line="240" w:lineRule="auto"/>
      </w:pPr>
      <w:r>
        <w:rPr>
          <w:b/>
        </w:rPr>
        <w:t xml:space="preserve">[287] </w:t>
      </w:r>
      <w:hyperlink r:id="rId781">
        <w:r>
          <w:rPr>
            <w:color w:val="1155CC"/>
            <w:u w:val="single"/>
          </w:rPr>
          <w:t>大尺寸单晶杂化有机-无机钙钛矿薄膜的二维熔融生长</w:t>
        </w:r>
      </w:hyperlink>
    </w:p>
    <w:p>
      <w:pPr>
        <w:spacing w:before="0" w:after="80"/>
      </w:pPr>
      <w:r>
        <w:rPr>
          <w:i/>
          <w:sz w:val="20"/>
        </w:rPr>
        <w:t>EN: Two-dimensional melt growth of large-scale, single-crystalline hybrid organic-inorganic perovskite films</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熔融生长是通过凝固熔融材料来制造大块单晶的过程。它结合了直拉法（创建熔融相）和布里奇曼法（控制温度梯度）的元素。在这里，我们应用二维（2D）熔体生长来合成大规模单晶杂化有机-无机钙钛矿（HOIP），实现与基底无关的结晶和精确的厚度控制。我们的方法涉及气-液-固过程，其中预沉积的无机 NaxPbBry 晶种层与有机前体助熔剂之间的反应产生 HOIP 的 2D 熔融相。这种熔融相扩散成二维液膜，并允许超薄 HOIP 以与基底无关的方式均匀、大规模结晶，绕过晶格匹配的要求。利用这种方法，我们成功地以低热预算在 SiO2/Si 晶圆上生长了 2D (n = 1) 和准 2D (n &gt; 1) 铁电 HOIP 薄膜，从而实现了直接大规模器件制造。器件的统计分析表明，整个薄膜具有可靠的铁电开关和均匀的电子性能。我们的方法对于其他类型的 HOIP 和异质结构具有巨大的潜力，为大规模片上设备的应用铺平了道路。</w:t>
      </w:r>
    </w:p>
    <w:p>
      <w:pPr>
        <w:spacing w:before="0" w:after="200" w:lineRule="auto" w:line="276"/>
      </w:pPr>
      <w:r>
        <w:rPr>
          <w:b/>
        </w:rPr>
        <w:t xml:space="preserve">Abstract (EN): </w:t>
      </w:r>
      <w:r>
        <w:t>Melt growth is a process for creating large, bulk single crystals by solidifying a molten material. It combines elements of the Czochralski method, which creates a molten phase, and the Bridgman method, which controls the temperature gradient. Here, we apply two-dimensional (2D) melt growth to synthesize large-scale, single-crystal hybrid organic-inorganic perovskites (HOIPs), enabling substrate-agnostic crystallization with precise thickness control. Our method involves a vapor-liquid-solid process, where the reaction between the pre-deposited inorganic NaxPbBry seeding layer and the organic precursor flux produces the 2D molten phase of HOIPs. This molten phase spreads into a 2D liquid film and allows uniform, large-scale crystallization of ultrathin HOIPs in a substrate-agnostic manner, bypassing requirements for lattice matching. Using this approach, we successfully grow 2D (n = 1) and quasi-2D (n &gt; 1) ferroelectric HOIP films on SiO2/Si wafers at a low thermal budget, enabling direct large-scale device fabrication. Statistical analysis of devices demonstrates reliable ferroelectric switching and uniform electronic performance across the film. Our method holds great potential for other types of HOIPs and heterostructures, paving the way for applications in large-scale on-chip devices.</w:t>
      </w:r>
    </w:p>
    <w:p>
      <w:pPr>
        <w:spacing w:before="120" w:after="120"/>
      </w:pPr>
      <w:r>
        <w:rPr>
          <w:sz w:val="18"/>
        </w:rPr>
        <w:t>——————————————————————————————————————————————————————————————————————</w:t>
      </w:r>
    </w:p>
    <w:p>
      <w:pPr>
        <w:spacing w:before="160" w:after="40" w:line="240" w:lineRule="auto"/>
      </w:pPr>
      <w:r>
        <w:rPr>
          <w:b/>
        </w:rPr>
        <w:t xml:space="preserve">[288] </w:t>
      </w:r>
      <w:hyperlink r:id="rId782">
        <w:r>
          <w:rPr>
            <w:color w:val="1155CC"/>
            <w:u w:val="single"/>
          </w:rPr>
          <w:t>由机械力通过挠曲电产生的细胞外电子驱动微生物自养</w:t>
        </w:r>
      </w:hyperlink>
    </w:p>
    <w:p>
      <w:pPr>
        <w:spacing w:before="0" w:after="80"/>
      </w:pPr>
      <w:r>
        <w:rPr>
          <w:i/>
          <w:sz w:val="20"/>
        </w:rPr>
        <w:t>EN: Microbial autotrophy driven by extracellular electrons generated from mechanical forces via flexoelectricity</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机械力最近通过直接机械能到电能的转换而成为一种微生物能源。然而，挠曲电效应是一种普遍的机电耦合现象，作为微生物生命的能源，仍未得到充分探索。在这里，我们报告了一种机械驱动的微生物生长机制，通过矿物的挠曲电效应将机械能转化为电能。这个过程在没有阳光和化学能源的情况下支持微生物的生长。使用柔性电氧化锰和电活性沼泽红假单胞菌作为生物杂交模型，我们证明了机械力使氧化锰纳米片弯曲以产生自由电荷。在黑暗条件下缺乏化学电子供体的情况下，沼泽红藻通过耦合碳固定和反硝化来捕获并利用这种电能进行生长。各种电活性微生物和挠电矿物质都可以进入该途径。这些发现揭示了在能量有限的环境中微生物生存的一个值得注意的能量获取途径，为生物过程中机械代谢耦合的多样性提供了重要证据。</w:t>
      </w:r>
    </w:p>
    <w:p>
      <w:pPr>
        <w:spacing w:before="0" w:after="200" w:lineRule="auto" w:line="276"/>
      </w:pPr>
      <w:r>
        <w:rPr>
          <w:b/>
        </w:rPr>
        <w:t xml:space="preserve">Abstract (EN): </w:t>
      </w:r>
      <w:r>
        <w:t>Mechanical force has recently emerged as a microbial energy source through direct mechanical-to-electrical energy conversion. However, the flexoelectric effect, a universal mechanoelectrical coupling phenomenon, remains underexplored as an energy source for microbial life. Here, we report a mechanically-driven microbial growth mechanism whereby mechanical energy is converted into electrical energy via the flexoelectric effect of a mineral. This process supports microbial growth in the absence of sunlight and chemical energy sources. Using flexoelectric manganese oxide and electroactive Rhodopseudomonas palustris as a model biohybrid, we demonstrate that mechanical force bends manganese oxide nanosheets to generate free electrical charge. R. palustris captures and utilizes this electrical energy for growth by coupling carbon fixation and denitrification in the absence of chemical electron donors under dark conditions. This pathway is accessible to various electroactive microorganisms and flexoelectric minerals. These findings reveal a noteworthy energy acquisition pathway for microbial survival in energy-limited settings, providing crucial evidence for the diversity of mechanical-to-metabolic coupling in biological processes.</w:t>
      </w:r>
    </w:p>
    <w:p>
      <w:pPr>
        <w:spacing w:before="120" w:after="120"/>
      </w:pPr>
      <w:r>
        <w:rPr>
          <w:sz w:val="18"/>
        </w:rPr>
        <w:t>——————————————————————————————————————————————————————————————————————</w:t>
      </w:r>
    </w:p>
    <w:p>
      <w:pPr>
        <w:spacing w:before="160" w:after="40" w:line="240" w:lineRule="auto"/>
      </w:pPr>
      <w:r>
        <w:rPr>
          <w:b/>
        </w:rPr>
        <w:t xml:space="preserve">[289] </w:t>
      </w:r>
      <w:hyperlink r:id="rId783">
        <w:r>
          <w:rPr>
            <w:color w:val="1155CC"/>
            <w:u w:val="single"/>
          </w:rPr>
          <w:t>SuperARC：基于压缩建模、递归预测和问题复杂性的人工超级智能测试</w:t>
        </w:r>
      </w:hyperlink>
    </w:p>
    <w:p>
      <w:pPr>
        <w:spacing w:before="0" w:after="80"/>
      </w:pPr>
      <w:r>
        <w:rPr>
          <w:i/>
          <w:sz w:val="20"/>
        </w:rPr>
        <w:t>EN: SuperARC: a test for artificial superintelligence based on compressed modelling, recursive prediction and problem complexity</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我们引入了一种日益复杂的、开放式的、与人类无关的指标来评估通用人工智能 (AGI) 和超级人工智能 (ASI) 背景下的基础和前沿人工智能模型。与其他依赖于以人为中心的问题和预期答案或模式匹配方法的测试不同，这里引入的测试基于随机性和最优推理的基本数学领域。我们认为，基于算法信息论（AIT）建立的普遍原则的与人类无关的指标正式构建了模型抽象和预测的概念，提供了一个强大的计量框架。当应用于前沿模型时，领先的法学硕士在多项任务中表现优于大多数其他模型，但他们的最新模型版本并不总是能做到这一点，这些版本经常会出现倒退，并且与使用 AIT 定义通用智能 (UAI) 点和基准趋势的原则估计的任何全球最大值或目标相去甚远。相反，在与基于压缩的模型抽象和序列预测相关的简化但相关的示例中，基于相同原理的 UAI 混合神经符号方法显示出优于前沿专业预测模型的性能。最后，我们证明并得出结论，通过任意形式理论的预测能力与算法空间的压缩成正比，而不是与统计空间的压缩成正比，因此人工智能模型的进一步进步只能与法学硕士开发人员经常采用的符号方法相结合才能实现</w:t>
      </w:r>
    </w:p>
    <w:p>
      <w:pPr>
        <w:spacing w:before="0" w:after="200" w:lineRule="auto" w:line="276"/>
      </w:pPr>
      <w:r>
        <w:rPr>
          <w:b/>
        </w:rPr>
        <w:t xml:space="preserve">Abstract (EN): </w:t>
      </w:r>
      <w:r>
        <w:t>We introduce an increasing-complexity, open-ended, and human-agnostic metric to evaluate foundational and frontier AI models in the context of Artificial General Intelligence (AGI) and Artificial Super Intelligence (ASI) claims. Unlike other tests that rely on human-centric questions and expected answers, or on pattern-matching methods, the test here introduced is grounded on fundamental mathematical areas of randomness and optimal inference. We argue that human-agnostic metrics based on the universal principles established by Algorithmic Information Theory (AIT) formally framing the concepts of model abstraction and prediction offer a powerful metrological framework. When applied to frontiers models, the leading LLMs outperform most others in multiple tasks, but they do not always do so with their latest model versions, which often regress and appear far from any global maximum or target estimated using the principles of AIT defining a Universal Intelligence (UAI) point and trend in the benchmarking. Conversely, a hybrid neuro-symbolic approach to UAI based on the same principles is shown to outperform frontier specialised prediction models in a simplified but relevant example related to compression-based model abstraction and sequence prediction. Finally, we prove and conclude that predictive power through arbitrary formal theories is directly proportional to compression over the algorithmic space, not the statistical space, and so further AI models’ progress can only be achieved in combination with symbolic approaches that LLMs developers are adopting often without acknowledgement or realisation.</w:t>
      </w:r>
    </w:p>
    <w:p>
      <w:pPr>
        <w:spacing w:before="120" w:after="120"/>
      </w:pPr>
      <w:r>
        <w:rPr>
          <w:sz w:val="18"/>
        </w:rPr>
        <w:t>——————————————————————————————————————————————————————————————————————</w:t>
      </w:r>
    </w:p>
    <w:p>
      <w:pPr>
        <w:spacing w:before="160" w:after="40" w:line="240" w:lineRule="auto"/>
      </w:pPr>
      <w:r>
        <w:rPr>
          <w:b/>
        </w:rPr>
        <w:t xml:space="preserve">[290] </w:t>
      </w:r>
      <w:hyperlink r:id="rId784">
        <w:r>
          <w:rPr>
            <w:color w:val="1155CC"/>
            <w:u w:val="single"/>
          </w:rPr>
          <w:t>超快电子衍射观察到 Berry 赝旋转使 Fe(CO)5 光解离</w:t>
        </w:r>
      </w:hyperlink>
    </w:p>
    <w:p>
      <w:pPr>
        <w:spacing w:before="0" w:after="80"/>
      </w:pPr>
      <w:r>
        <w:rPr>
          <w:i/>
          <w:sz w:val="20"/>
        </w:rPr>
        <w:t>EN: Berry pseudorotation enabled photodissociation of Fe(CO)5 observed by ultrafast electron diffraction</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金属羰基化合物的结构动力学是从催化到有机金属合成等过程的核心。在这里，我们使用兆电子伏超快电子衍射研究了原型过渡金属羰基 Fe(CO)5 的光解。通过分别跟踪沿轴向和赤道方向的结构演化，我们提供了 CO 解离前核运动的原子角度分辨视图，并从实验观察中推断出激发态势能表面的关键特征。我们进一步表明，到达圆锥形交叉点之前的振动耦合通过贝里假旋转机制促进了随机羰基配体的损失。</w:t>
      </w:r>
    </w:p>
    <w:p>
      <w:pPr>
        <w:spacing w:before="0" w:after="200" w:lineRule="auto" w:line="276"/>
      </w:pPr>
      <w:r>
        <w:rPr>
          <w:b/>
        </w:rPr>
        <w:t xml:space="preserve">Abstract (EN): </w:t>
      </w:r>
      <w:r>
        <w:t>The structural dynamics of metal carbonyls are central to processes ranging from catalysis to organometallic synthesis. Here we investigate the photodissociation of a prototypical transition metal carbonyl, Fe(CO)5, using mega-electron-volt ultrafast electron diffraction. By separately tracking structural evolution along the axial and equatorial directions, we provide an atomistic, angle-resolved view of the nuclear motions preceding CO dissociation and infer key features of the excited-state potential energy surface from the experimental observations. We further show that vibrational coupling before reaching the conical intersection facilitates the loss of a random carbonyl ligand via the Berry pseudorotation mechanism.</w:t>
      </w:r>
    </w:p>
    <w:p>
      <w:pPr>
        <w:spacing w:before="120" w:after="120"/>
      </w:pPr>
      <w:r>
        <w:rPr>
          <w:sz w:val="18"/>
        </w:rPr>
        <w:t>——————————————————————————————————————————————————————————————————————</w:t>
      </w:r>
    </w:p>
    <w:p>
      <w:pPr>
        <w:spacing w:before="160" w:after="40" w:line="240" w:lineRule="auto"/>
      </w:pPr>
      <w:r>
        <w:rPr>
          <w:b/>
        </w:rPr>
        <w:t xml:space="preserve">[291] </w:t>
      </w:r>
      <w:hyperlink r:id="rId785">
        <w:r>
          <w:rPr>
            <w:color w:val="1155CC"/>
            <w:u w:val="single"/>
          </w:rPr>
          <w:t>植入式原电池沉默骨神经轴工程技术治疗痛风性关节炎</w:t>
        </w:r>
      </w:hyperlink>
    </w:p>
    <w:p>
      <w:pPr>
        <w:spacing w:before="0" w:after="80"/>
      </w:pPr>
      <w:r>
        <w:rPr>
          <w:i/>
          <w:sz w:val="20"/>
        </w:rPr>
        <w:t>EN: Engineering technology of implantable galvanic cells for silencing the bone-neural axis in gouty arthritis therapy</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由于其复杂的病理生理微环境，痛风关节炎面临多重挑战，例如难以治愈和反复发作。最近的研究仅关注降低尿酸、缓解疼痛或抗炎作用，但往往无法提供令人满意的结果。为了应对这些挑战，开发了一种植入式锰铂微型原电池（Mn@Pt micro-GC）。该系统利用铂的尿酸氧化酶样活性来降解沉积的尿酸钠晶体，而Mn2+和氢气协同作用，有效逆转促炎环境。除了减少与痛风相关的疼痛信号的产生外，Mn@Pt micro-GC 通过连续电刺激有效抑制沿着 CXCL5-神经元 CXCR2-TRPA1 轴的疼痛信号传输。这种多模式治疗方法强调痛风中骨骼和神经之间的紧密关系，同时考虑到降尿酸、抗炎和缓解疼痛在痛风治疗中的重要性，从而改善了治疗效果。</w:t>
      </w:r>
    </w:p>
    <w:p>
      <w:pPr>
        <w:spacing w:before="0" w:after="200" w:lineRule="auto" w:line="276"/>
      </w:pPr>
      <w:r>
        <w:rPr>
          <w:b/>
        </w:rPr>
        <w:t xml:space="preserve">Abstract (EN): </w:t>
      </w:r>
      <w:r>
        <w:t>Gouty arthritis faces multiple challenges, such as recalcitrance to cure and recurrent flares, owing to its intricate pathophysiological microenvironment. Recent studies have focused on urate reduction, pain relief, or anti-inflammation effects alone, which often fail to provide satisfactory results. To address these challenges, an implantable manganese platinum microscale galvanic cell (Mn@Pt micro-GC) is developed. This system utilizes the urate oxidase-like activity of platinum to degrade deposited monosodium urate crystals, while the Mn2+ and hydrogen gas work synergistically to effectively reversing the pro-inflammatory environment. In addition to decreasing the production of pain signals associated with gout, Mn@Pt micro-GC effectively inhibits pain signal transmission along the CXCL5-neuronal CXCR2-TRPA1 axis through continuous electrical stimulation. This multimodal treatment approach emphasizes the strong relationship between bone and nerve in gout, taking into account the importance of reducing uric acid, anti-inflammation, and pain relief in gout therapy, which has led to improved treatment results.</w:t>
      </w:r>
    </w:p>
    <w:p>
      <w:pPr>
        <w:spacing w:before="120" w:after="120"/>
      </w:pPr>
      <w:r>
        <w:rPr>
          <w:sz w:val="18"/>
        </w:rPr>
        <w:t>——————————————————————————————————————————————————————————————————————</w:t>
      </w:r>
    </w:p>
    <w:p>
      <w:pPr>
        <w:spacing w:before="160" w:after="40" w:line="240" w:lineRule="auto"/>
      </w:pPr>
      <w:r>
        <w:rPr>
          <w:b/>
        </w:rPr>
        <w:t xml:space="preserve">[292] </w:t>
      </w:r>
      <w:hyperlink r:id="rId786">
        <w:r>
          <w:rPr>
            <w:color w:val="1155CC"/>
            <w:u w:val="single"/>
          </w:rPr>
          <w:t>跟踪微观结构和机械响应</w:t>
        </w:r>
      </w:hyperlink>
    </w:p>
    <w:p>
      <w:pPr>
        <w:spacing w:before="0" w:after="80"/>
      </w:pPr>
      <w:r>
        <w:rPr>
          <w:i/>
          <w:sz w:val="20"/>
        </w:rPr>
        <w:t>EN: Tracking microstructure and mechanical response</w:t>
      </w:r>
    </w:p>
    <w:p>
      <w:pPr>
        <w:spacing w:before="0" w:after="120"/>
      </w:pPr>
      <w:r>
        <w:rPr>
          <w:b/>
        </w:rPr>
        <w:t xml:space="preserve">Source: </w:t>
      </w:r>
      <w:r>
        <w:t>Nature Materials</w:t>
      </w:r>
      <w:r>
        <w:t xml:space="preserve">    </w:t>
      </w:r>
      <w:r>
        <w:rPr>
          <w:b/>
        </w:rPr>
        <w:t xml:space="preserve">Pub date: </w:t>
      </w:r>
      <w:r>
        <w:t>2026-06-03 00:00:00+00:00</w:t>
      </w:r>
      <w:r>
        <w:t xml:space="preserve">    </w:t>
      </w:r>
      <w:r>
        <w:rPr>
          <w:b/>
        </w:rPr>
        <w:t xml:space="preserve">DOI: </w:t>
      </w:r>
      <w:hyperlink r:id="rId787">
        <w:r>
          <w:rPr>
            <w:color w:val="1155CC"/>
            <w:u w:val="single"/>
          </w:rPr>
          <w:t>10.1038/s41563-026-02633-3</w:t>
        </w:r>
      </w:hyperlink>
    </w:p>
    <w:p>
      <w:pPr>
        <w:spacing w:before="0" w:after="120"/>
      </w:pPr>
      <w:r>
        <w:rPr>
          <w:b/>
        </w:rPr>
        <w:t xml:space="preserve">Notes: </w:t>
      </w:r>
      <w:r>
        <w:t>abstract_source=nature_html</w:t>
      </w:r>
    </w:p>
    <w:p>
      <w:pPr>
        <w:spacing w:before="0" w:after="80" w:lineRule="auto" w:line="276"/>
      </w:pPr>
      <w:r>
        <w:rPr>
          <w:b/>
        </w:rPr>
        <w:t xml:space="preserve">摘要（ZH）: </w:t>
      </w:r>
      <w:r>
        <w:t>对于微米和纳米结构材料来说，表征结构演化和机械行为具有挑战性，这凸显了先进原位表征技术的必要性。</w:t>
      </w:r>
    </w:p>
    <w:p>
      <w:pPr>
        <w:spacing w:before="0" w:after="200" w:lineRule="auto" w:line="276"/>
      </w:pPr>
      <w:r>
        <w:rPr>
          <w:b/>
        </w:rPr>
        <w:t xml:space="preserve">Abstract (EN): </w:t>
      </w:r>
      <w:r>
        <w:t>Characterizing structural evolution alongside mechanical behaviour is challenging for micro- and nanostructured materials, highlighting the need for advancing in situ characterization techniques.</w:t>
      </w:r>
    </w:p>
    <w:p>
      <w:pPr>
        <w:spacing w:before="120" w:after="120"/>
      </w:pPr>
      <w:r>
        <w:rPr>
          <w:sz w:val="18"/>
        </w:rPr>
        <w:t>——————————————————————————————————————————————————————————————————————</w:t>
      </w:r>
    </w:p>
    <w:p>
      <w:pPr>
        <w:spacing w:before="160" w:after="40" w:line="240" w:lineRule="auto"/>
      </w:pPr>
      <w:r>
        <w:rPr>
          <w:b/>
        </w:rPr>
        <w:t xml:space="preserve">[293] </w:t>
      </w:r>
      <w:hyperlink r:id="rId788">
        <w:r>
          <w:rPr>
            <w:color w:val="1155CC"/>
            <w:u w:val="single"/>
          </w:rPr>
          <w:t>夏威夷的双火山迹是由富含桥锰矿的原始地幔斑点造成的</w:t>
        </w:r>
      </w:hyperlink>
    </w:p>
    <w:p>
      <w:pPr>
        <w:spacing w:before="0" w:after="80"/>
      </w:pPr>
      <w:r>
        <w:rPr>
          <w:i/>
          <w:sz w:val="20"/>
        </w:rPr>
        <w:t>EN: Double volcanic tracks at Hawaii caused by bridgmanite-enriched primordial mantle blobs</w:t>
      </w:r>
    </w:p>
    <w:p>
      <w:pPr>
        <w:spacing w:before="0" w:after="120"/>
      </w:pPr>
      <w:r>
        <w:rPr>
          <w:b/>
        </w:rPr>
        <w:t xml:space="preserve">Source: </w:t>
      </w:r>
      <w:r>
        <w:t>Earth and environmental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从地球内部深处升起的地幔柱预计会产生单一的年龄渐进热点轨道。然而，夏威夷火山的年龄不到 700 万年，形成了两条近平行的火山链：洛阿火山链和凯亚火山链。这种双轨火山活动背后的机制及其与深部地幔储层的联系仍未解决。在这里，我们表明，特性粘度比周围地幔高 10-30 倍的富含桥锰矿的原始地幔斑点 (BPMB) 可以使用三维热化学地幔羽流模型产生双边分区羽流。 BPMB 内增强的粘性加热不对称地提高了羽流温度，再现了 Loa 和 Kea 趋势之间观察到的同位素组成、羽流温度、熔体通量和地震速度的对比。全球范围内出现的类似双轨火山活动表明，BPMB 分散在大片低速区 (LLVP) 内，可能是古代基底岩浆海洋的残余物。我们的结果提供了双轨火山作用的机制以及对 LLVP 结构和组成的约束。</w:t>
      </w:r>
    </w:p>
    <w:p>
      <w:pPr>
        <w:spacing w:before="0" w:after="200" w:lineRule="auto" w:line="276"/>
      </w:pPr>
      <w:r>
        <w:rPr>
          <w:b/>
        </w:rPr>
        <w:t xml:space="preserve">Abstract (EN): </w:t>
      </w:r>
      <w:r>
        <w:t>Mantle plumes, rising from Earth’s deep interior, are expected to produce a single age-progressive hotspot track. However, Hawaiian volcanoes younger than ~7 million years form two subparallel volcanic chains, the Loa and Kea trends. The mechanism behind this double-track volcanism and its connection to deep mantle reservoirs remain unresolved. Here we show that bridgmanite-enriched primordial mantle blobs (BPMBs) with intrinsic viscosities 10–30 times higher than the ambient mantle can generate bilaterally zoned plumes using three-dimensional thermochemical mantle plume models. Enhanced viscous heating within BPMBs raises plume temperatures asymmetrically, reproducing observed contrasts in isotopic composition, plume temperature, melt flux, and seismic velocity between the Loa and Kea trends. The global occurrence of similar double-track volcanism suggests that BPMBs are scattered within large low velocity provinces (LLVPs), likely remnants of an ancient basal magma ocean. Our results provide a mechanism for double-track volcanism and constraints on the structure and composition of LLVPs.</w:t>
      </w:r>
    </w:p>
    <w:p>
      <w:pPr>
        <w:spacing w:before="120" w:after="120"/>
      </w:pPr>
      <w:r>
        <w:rPr>
          <w:sz w:val="18"/>
        </w:rPr>
        <w:t>——————————————————————————————————————————————————————————————————————</w:t>
      </w:r>
    </w:p>
    <w:p>
      <w:pPr>
        <w:spacing w:before="160" w:after="40" w:line="240" w:lineRule="auto"/>
      </w:pPr>
      <w:r>
        <w:rPr>
          <w:b/>
        </w:rPr>
        <w:t xml:space="preserve">[294] </w:t>
      </w:r>
      <w:hyperlink r:id="rId789">
        <w:r>
          <w:rPr>
            <w:color w:val="1155CC"/>
            <w:u w:val="single"/>
          </w:rPr>
          <w:t>通过钻孔应变计和分布式声学传感的 P 波应变进行快速地震震级分类</w:t>
        </w:r>
      </w:hyperlink>
    </w:p>
    <w:p>
      <w:pPr>
        <w:spacing w:before="0" w:after="80"/>
      </w:pPr>
      <w:r>
        <w:rPr>
          <w:i/>
          <w:sz w:val="20"/>
        </w:rPr>
        <w:t>EN: Rapid earthquake magnitude classification via P-wave strains from borehole strainmeters and Distributed Acoustic Sensing</w:t>
      </w:r>
    </w:p>
    <w:p>
      <w:pPr>
        <w:spacing w:before="0" w:after="120"/>
      </w:pPr>
      <w:r>
        <w:rPr>
          <w:b/>
        </w:rPr>
        <w:t xml:space="preserve">Source: </w:t>
      </w:r>
      <w:r>
        <w:t>Earth and environmental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分布式声学传感 (DAS) 为地震网络维护成本高昂的环境中的地震早期预警 (EEW) 提供了一种很有前景的方法。通过将光纤电缆重新用作密集应变计阵列，DAS 可以在任何可触及光纤的地方实现实时地震检测。然而，方位角覆盖范围差以及通过应变测量估计震级的挑战仍然是将 DAS 应用到地震监测的主要障碍。在这里，我们开发了一种机器学习方法，可以在 P 波到达后应变波形的前 4 秒内区分中到大（此处定义为 M ≥ 5.4）地震和较小地震，而无需确定地震位置。使用在钻孔应变计数据 (3.5 ≤ M ≤ 7.1) 上训练并在陆上 DAS 波形（包括 2024 年 M7 海上门多西诺角地震）上进行测试的集合决策树模型，我们发现，除了应变幅度之外，低频 (0.2–0.5 Hz) 连续小波变换系数是最强的震级预测因子。 DAS 和钻孔应变计都能有效捕获长周期应变信号，使这些结果对于 EEW 系统很有价值。与实时 EEW 系统 ShakeAlert® 相比，我们的方法显示出较高的精度，支持 DAS 是地震监测和震级分类的可行技术的立场。光纤电缆加上机器学习可以通过在震动的最初几秒钟内估计地震规模来帮助地震早期预警。</w:t>
      </w:r>
    </w:p>
    <w:p>
      <w:pPr>
        <w:spacing w:before="0" w:after="200" w:lineRule="auto" w:line="276"/>
      </w:pPr>
      <w:r>
        <w:rPr>
          <w:b/>
        </w:rPr>
        <w:t xml:space="preserve">Abstract (EN): </w:t>
      </w:r>
      <w:r>
        <w:t>Distributed Acoustic Sensing (DAS) offers a promising approach for earthquake early warning (EEW) in settings where seismic networks are costly to maintain. By repurposing fiber optic cables as dense strainmeter arrays, DAS enables real-time earthquake detection wherever those fibers are accessible. However, poor azimuthal coverage and challenges in estimating magnitude from strain measurements remain key hurdles in applying DAS to earthquake monitoring. Here, we develop a machine learning method to distinguish moderate-to-large (defined here as M ≥ 5.4) earthquakes from smaller ones within the first 4 sec of a strain waveform after a P-wave arrival without determining the earthquake location. Using ensemble decision tree models trained on borehole strainmeter data (3.5 ≤ M ≤ 7.1) and tested on onshore DAS waveforms (including the 2024 M7 Offshore Cape Mendocino earthquake), we find that low-frequency (0.2–0.5 Hz) continuous wavelet transform coefficients are the strongest predictors of magnitude, in addition to strain amplitude. Both DAS and borehole strainmeters effectively capture long-period strain signals, making these results valuable for EEW systems. Our method shows high precision compared to the real-time EEW system, ShakeAlert®, supporting the position that DAS is a viable technology for earthquake monitoring and magnitude classification. Fiber optic cables plus machine learning could aid earthquake early warning by estimating earthquake size within the first few seconds of shaking.</w:t>
      </w:r>
    </w:p>
    <w:p>
      <w:pPr>
        <w:spacing w:before="120" w:after="120"/>
      </w:pPr>
      <w:r>
        <w:rPr>
          <w:sz w:val="18"/>
        </w:rPr>
        <w:t>——————————————————————————————————————————————————————————————————————</w:t>
      </w:r>
    </w:p>
    <w:p>
      <w:pPr>
        <w:spacing w:before="160" w:after="40" w:line="240" w:lineRule="auto"/>
      </w:pPr>
      <w:r>
        <w:rPr>
          <w:b/>
        </w:rPr>
        <w:t xml:space="preserve">[295] </w:t>
      </w:r>
      <w:hyperlink r:id="rId790">
        <w:r>
          <w:rPr>
            <w:color w:val="1155CC"/>
            <w:u w:val="single"/>
          </w:rPr>
          <w:t>人类胚胎发育中双链断裂后的不对称磨损和二次染色体不稳定</w:t>
        </w:r>
      </w:hyperlink>
    </w:p>
    <w:p>
      <w:pPr>
        <w:spacing w:before="0" w:after="80"/>
      </w:pPr>
      <w:r>
        <w:rPr>
          <w:i/>
          <w:sz w:val="20"/>
        </w:rPr>
        <w:t>EN: Asymmetric attrition and secondary chromosome destabilization after double-strand breaks in human embryonic development</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人们对人类胚胎中的 DNA 修复知之甚少，双链断裂 (DSB) 会导致染色体丢失。我们发现，相对于诱导 DSB 的染色体改变是不对称的：非着丝粒臂显示互补的增益和损失，而中心臂则偏向于损失。着丝粒到切割位点的二次断裂和磨损是广泛的。相比之下，非着心臂处的断裂位点得以保留，没有二次断裂。这些差异反映了有丝分裂纺锤体的不同力。端粒臂与前中期纺锤体分离，而中心截短的染色体在后期滞后，表明 DSB 阻碍姐妹染色单体分离。着丝粒附近的二次断裂以及 DSB 位点的广泛磨损表明 DSB 可以在没有姐妹染色单体末端连接的情况下破坏染色体的稳定性。这些结果强调了 CRISPR-Cas9 基因组编辑中染色体规模变化的风险，并表明单个 DSB 可以独立于融合断裂周期而破坏人类胚胎染色体的稳定性。</w:t>
      </w:r>
    </w:p>
    <w:p>
      <w:pPr>
        <w:spacing w:before="0" w:after="200" w:lineRule="auto" w:line="276"/>
      </w:pPr>
      <w:r>
        <w:rPr>
          <w:b/>
        </w:rPr>
        <w:t xml:space="preserve">Abstract (EN): </w:t>
      </w:r>
      <w:r>
        <w:t>DNA repair in human embryos is poorly understood, and double-strand breaks (DSBs) can cause chromosome loss. We show that chromosomal alterations relative to an induced DSB are asymmetric: acentric arms show complementary gains and losses, while centric arms are biased toward losses. Centromeric to the cut site secondary breakage and attrition is extensive. In contrast, break sites at acentric arms are conserved with no secondary breakage. These differences reflect differential forces at the mitotic spindle. Telomeric arms detach from the pro-metaphase spindle while centric truncated chromosomes lag during anaphase, suggesting that the DSB impedes sister chromatid separation. Secondary breakage near the centromere concordant with extensive attrition at the DSB site indicates a DSB can destabilize a chromosome without end-joining of sister chromatids. These results highlight the risks of chromosomal-scale changes in CRISPR-Cas9 genome editing and show that a single DSB can destabilize a human embryo chromosome independent of fusion-breakage cycles.</w:t>
      </w:r>
    </w:p>
    <w:p>
      <w:pPr>
        <w:spacing w:before="120" w:after="120"/>
      </w:pPr>
      <w:r>
        <w:rPr>
          <w:sz w:val="18"/>
        </w:rPr>
        <w:t>——————————————————————————————————————————————————————————————————————</w:t>
      </w:r>
    </w:p>
    <w:p>
      <w:pPr>
        <w:spacing w:before="160" w:after="40" w:line="240" w:lineRule="auto"/>
      </w:pPr>
      <w:r>
        <w:rPr>
          <w:b/>
        </w:rPr>
        <w:t xml:space="preserve">[296] </w:t>
      </w:r>
      <w:hyperlink r:id="rId791">
        <w:r>
          <w:rPr>
            <w:color w:val="1155CC"/>
            <w:u w:val="single"/>
          </w:rPr>
          <w:t>质体球划分玉米中的氮同化</w:t>
        </w:r>
      </w:hyperlink>
    </w:p>
    <w:p>
      <w:pPr>
        <w:spacing w:before="0" w:after="80"/>
      </w:pPr>
      <w:r>
        <w:rPr>
          <w:i/>
          <w:sz w:val="20"/>
        </w:rPr>
        <w:t>EN: Plastoglobules compartmentalize nitrogen assimilation in maize</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792">
        <w:r>
          <w:rPr>
            <w:color w:val="1155CC"/>
            <w:u w:val="single"/>
          </w:rPr>
          <w:t>10.1038/s41586-026-10610-8</w:t>
        </w:r>
      </w:hyperlink>
    </w:p>
    <w:p>
      <w:pPr>
        <w:spacing w:before="0" w:after="120"/>
      </w:pPr>
      <w:r>
        <w:rPr>
          <w:b/>
        </w:rPr>
        <w:t xml:space="preserve">Notes: </w:t>
      </w:r>
      <w:r>
        <w:t>abstract_source=nature_html</w:t>
      </w:r>
    </w:p>
    <w:p>
      <w:pPr>
        <w:spacing w:before="0" w:after="80" w:lineRule="auto" w:line="276"/>
      </w:pPr>
      <w:r>
        <w:rPr>
          <w:b/>
        </w:rPr>
        <w:t xml:space="preserve">摘要（ZH）: </w:t>
      </w:r>
      <w:r>
        <w:t>高效的氮同化对于可持续农业非常重要，但其亚细胞组织仍然未知。在这里，我们发现叶肉细胞叶绿体中的质体球（PG）充当协调玉米氮利用的代谢中心。 PG 的氮响应动态代表了植物物种的保守特征。我们确定了两种关键酶，亚硝酸还原酶 2 (ZmNIR2) 和谷氨酰胺合成酶 1 (ZmGLN1)，它们通过叶绿体转运肽和疏水区域专门针对 PG。重组 ZmGLN1 的低温电子显微镜分析显示出十聚体复合物，使 ZmNIR2 能够进行代谢以提高效率。在两种 NIR 和六种 GLN 酶中，ZmNIR2 和 ZmGLN1 是主要的 PG 定位成分，负责协调亚细胞器氮同化并决定氮利用效率。栽培种质中 ZmNIR2 剪接的遗传变异产生了一种 PG 靶向亚型 (ZmNIR2T1)，可提高 NUE。我们的工作将 PG 确立为初级氮同化的中心隔间，为开发高 NUE 作物以实现全球粮食安全提供了一种有前途的战略。</w:t>
      </w:r>
    </w:p>
    <w:p>
      <w:pPr>
        <w:spacing w:before="0" w:after="200" w:lineRule="auto" w:line="276"/>
      </w:pPr>
      <w:r>
        <w:rPr>
          <w:b/>
        </w:rPr>
        <w:t xml:space="preserve">Abstract (EN): </w:t>
      </w:r>
      <w:r>
        <w:t>Efficient nitrogen assimilation is important for sustainable agriculture1, yet its subcellular organization remains unknown. Here we show that plastoglobules (PGs) in the chloroplasts of mesophyll cells function as a metabolic hub that orchestrates nitrogen utilization in maize. Nitrogen-responsive dynamics of PGs represent a conserved feature across plant species. We identify two key enzymes, nitrite reductase 2 (ZmNIR2) and glutamine synthetase 1 (ZmGLN1), specifically targeted to PGs by a chloroplast transit peptide and hydrophobic region. Cryogenic electron microscopy analysis of recombinant ZmGLN1 shows a decameric complex, enabling a metabolon with ZmNIR2 for enhanced efficiency. Among two NIR and six GLN enzymes, ZmNIR2 and ZmGLN1 are the primary PG-localized components that orchestrate sub-organellar nitrogen assimilation and dictate nitrogen use efficiency. Genetic variation in ZmNIR2 splicing in cultivated germplasm generates a PG-targeted isoform (ZmNIR2T1) that boosts NUE. Our work establishes PGs as a central compartment for primary nitrogen assimilation, providing a promising strategy to develop high-NUE crops for global food security.</w:t>
      </w:r>
    </w:p>
    <w:p>
      <w:pPr>
        <w:spacing w:before="120" w:after="120"/>
      </w:pPr>
      <w:r>
        <w:rPr>
          <w:sz w:val="18"/>
        </w:rPr>
        <w:t>——————————————————————————————————————————————————————————————————————</w:t>
      </w:r>
    </w:p>
    <w:p>
      <w:pPr>
        <w:spacing w:before="160" w:after="40" w:line="240" w:lineRule="auto"/>
      </w:pPr>
      <w:r>
        <w:rPr>
          <w:b/>
        </w:rPr>
        <w:t xml:space="preserve">[297] </w:t>
      </w:r>
      <w:hyperlink r:id="rId793">
        <w:r>
          <w:rPr>
            <w:color w:val="1155CC"/>
            <w:u w:val="single"/>
          </w:rPr>
          <w:t>多氟芳烃迭代 C-F 官能化的激进“连接和丢失”策略</w:t>
        </w:r>
      </w:hyperlink>
    </w:p>
    <w:p>
      <w:pPr>
        <w:spacing w:before="0" w:after="80"/>
      </w:pPr>
      <w:r>
        <w:rPr>
          <w:i/>
          <w:sz w:val="20"/>
        </w:rPr>
        <w:t>EN: Radical “link-and-lose” strategies for iterative C–F functionalization of polyfluoroarenes</w:t>
      </w:r>
    </w:p>
    <w:p>
      <w:pPr>
        <w:spacing w:before="0" w:after="120"/>
      </w:pPr>
      <w:r>
        <w:rPr>
          <w:b/>
        </w:rPr>
        <w:t xml:space="preserve">Source: </w:t>
      </w:r>
      <w:r>
        <w:t>Chem</w:t>
      </w:r>
      <w:r>
        <w:t xml:space="preserve">    </w:t>
      </w:r>
      <w:r>
        <w:rPr>
          <w:b/>
        </w:rPr>
        <w:t xml:space="preserve">Pub date: </w:t>
      </w:r>
      <w:r>
        <w:t>2026-06-03 00:00:00+00:00</w:t>
      </w:r>
      <w:r>
        <w:t xml:space="preserve">    </w:t>
      </w:r>
      <w:r>
        <w:rPr>
          <w:b/>
        </w:rPr>
        <w:t xml:space="preserve">DOI: </w:t>
      </w:r>
      <w:hyperlink r:id="rId794">
        <w:r>
          <w:rPr>
            <w:color w:val="1155CC"/>
            <w:u w:val="single"/>
          </w:rPr>
          <w:t>10.1016/j.chempr.2026.103098</w:t>
        </w:r>
      </w:hyperlink>
    </w:p>
    <w:p>
      <w:pPr>
        <w:spacing w:before="0" w:after="120"/>
      </w:pPr>
      <w:r>
        <w:rPr>
          <w:b/>
        </w:rPr>
        <w:t xml:space="preserve">Notes: </w:t>
      </w:r>
      <w:r>
        <w:t>abstract_source=rss_cell</w:t>
      </w:r>
    </w:p>
    <w:p>
      <w:pPr>
        <w:spacing w:before="0" w:after="80" w:lineRule="auto" w:line="276"/>
      </w:pPr>
      <w:r>
        <w:rPr>
          <w:b/>
        </w:rPr>
        <w:t xml:space="preserve">摘要（ZH）: </w:t>
      </w:r>
      <w:r>
        <w:t>C-F 键的选择性活化是一个长期存在的挑战，因为它们具有非凡的强度和惰性。在最近的《自然化学》文章中，Wang 和同事介绍了一种吡啶硼基自由基介导的多氟芳烃 C-F 键迭代功能化策略。他们的方法能够选择性地转化第二个、第三个、甚至第四个 C-F 键，并提供对药物化学具有重要意义的多种氟化支架。</w:t>
      </w:r>
    </w:p>
    <w:p>
      <w:pPr>
        <w:spacing w:before="0" w:after="200" w:lineRule="auto" w:line="276"/>
      </w:pPr>
      <w:r>
        <w:rPr>
          <w:b/>
        </w:rPr>
        <w:t xml:space="preserve">Abstract (EN): </w:t>
      </w:r>
      <w:r>
        <w:t>Selective activation of C–F bonds represents a long-standing challenge because of their exceptional strength and inertness. In a recent Nature Chemistry article, Wang and co-workers introduce a pyridine-boryl-radical-mediated strategy for iterative C–F bond functionalization of polyfluoroarenes. Their method enables selective transformation of the second, third, and even fourth C–F bonds and affords diverse fluorinated scaffolds of significance to medicinal chemistry.</w:t>
      </w:r>
    </w:p>
    <w:p>
      <w:pPr>
        <w:spacing w:before="120" w:after="120"/>
      </w:pPr>
      <w:r>
        <w:rPr>
          <w:sz w:val="18"/>
        </w:rPr>
        <w:t>——————————————————————————————————————————————————————————————————————</w:t>
      </w:r>
    </w:p>
    <w:p>
      <w:pPr>
        <w:spacing w:before="160" w:after="40" w:line="240" w:lineRule="auto"/>
      </w:pPr>
      <w:r>
        <w:rPr>
          <w:b/>
        </w:rPr>
        <w:t xml:space="preserve">[298] </w:t>
      </w:r>
      <w:hyperlink r:id="rId795">
        <w:r>
          <w:rPr>
            <w:color w:val="1155CC"/>
            <w:u w:val="single"/>
          </w:rPr>
          <w:t>Elp3 使用保守的分子隧道在遥远的活性位点之间运输乙酸盐并催化 tRNA 摆动碱基修饰</w:t>
        </w:r>
      </w:hyperlink>
    </w:p>
    <w:p>
      <w:pPr>
        <w:spacing w:before="0" w:after="80"/>
      </w:pPr>
      <w:r>
        <w:rPr>
          <w:i/>
          <w:sz w:val="20"/>
        </w:rPr>
        <w:t>EN: Elp3 uses a conserved molecular tunnel to transport acetate between distant active sites and catalyze tRNA wobble base modification</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自由基 SAM 酶 Elp3 和真核 Elongator 复合物催化生命所有领域 tRNA 反密码子中关键中间转移 RNA (tRNA) 修饰 5-羧甲基尿苷 (cm5U) 的形成。 cm5U 衍生的修饰对于微调密码子-反密码子相互作用和有效的蛋白质翻译非常重要，并且这种修饰的缺陷与人类神经退行性疾病的发展有关。在这里，我们用模型 Elp3 酶重建 tRNA 修饰活性，并结合结构分析、酶学和同位素掺入实验，表明 Elp3 具有保守的分子隧道，可将游离乙酸盐分子从乙酰辅酶 A 结合域穿梭到 20 Å 以外的自由基 SAM 活性位点，在此，乙酸盐经历自由基介导的反应并添加到 tRNA U34 中。我们的模型解释了 Elp3 如何桥接活性位点之间的长距离来催化 tRNA 羧甲基化，并说明了自由基 SAM 酶中中间转运的独特机制。</w:t>
      </w:r>
    </w:p>
    <w:p>
      <w:pPr>
        <w:spacing w:before="0" w:after="200" w:lineRule="auto" w:line="276"/>
      </w:pPr>
      <w:r>
        <w:rPr>
          <w:b/>
        </w:rPr>
        <w:t xml:space="preserve">Abstract (EN): </w:t>
      </w:r>
      <w:r>
        <w:t>The radical SAM enzyme Elp3 and eukaryotic Elongator complex catalyze formation of a key intermediate transfer RNA (tRNA) modification, 5-carboxymethyluridine (cm5U), in the anticodons of tRNAs across all domains of life. cm5U-derived modifications are important for fine tuning codon-anticodon interactions and efficient protein translation, and defects in this modification are linked to development of neurodegenerative disease in humans. Here we reconstitute tRNA modification activity with a model Elp3 enzyme and combine structural analyses, enzymology, and isotope incorporation experiments to show Elp3 harbors a conserved molecular tunnel that shuttles free acetate molecules from the acetyl-CoA binding domain to the radical SAM active site over 20 Å away, where acetate undergoes radical-mediated reaction and addition to tRNA U34. Our model explains how Elp3 bridges a large distance between active sites to catalyze tRNA carboxymethylation and illustrates a unique mechanism for intermediate transport in radical SAM enzymes.</w:t>
      </w:r>
    </w:p>
    <w:p>
      <w:pPr>
        <w:spacing w:before="120" w:after="120"/>
      </w:pPr>
      <w:r>
        <w:rPr>
          <w:sz w:val="18"/>
        </w:rPr>
        <w:t>——————————————————————————————————————————————————————————————————————</w:t>
      </w:r>
    </w:p>
    <w:p>
      <w:pPr>
        <w:spacing w:before="160" w:after="40" w:line="240" w:lineRule="auto"/>
      </w:pPr>
      <w:r>
        <w:rPr>
          <w:b/>
        </w:rPr>
        <w:t xml:space="preserve">[299] </w:t>
      </w:r>
      <w:hyperlink r:id="rId796">
        <w:r>
          <w:rPr>
            <w:color w:val="1155CC"/>
            <w:u w:val="single"/>
          </w:rPr>
          <w:t>冰相光热镊子</w:t>
        </w:r>
      </w:hyperlink>
    </w:p>
    <w:p>
      <w:pPr>
        <w:spacing w:before="0" w:after="80"/>
      </w:pPr>
      <w:r>
        <w:rPr>
          <w:i/>
          <w:sz w:val="20"/>
        </w:rPr>
        <w:t>EN: Ice-phase optothermal tweezers</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异质微米和纳米结构的确定性和可重构组装仍然具有挑战性，其中布朗运动、非特异性界面吸附和特定方法的材料限制破坏了精度和跨材料兼容性。在这里，我们提出了冰相光热镊子（IOT），这是一个利用冰水界面对不同目标进行快速（10-100μm/s）可编程操作的平台，包括电介质/金属纳米粒子、蛋白质、DNA，甚至冰内的微气泡，这些气泡长期以来被认为是冷冻的被动副产品。在该方案中，冰基质内的光热诱导移动熔化区域能够实现具有纳米级分辨率的定向传输和纳米结构组装。我们进一步制造具有定制的各向异性和手性光学响应的​​多材料异质结构，从而能够在低温环境下应用于手性光子学和偏振控制纳米光学器件。因此，通过统一对流体和固态状态下的微米和纳米实体的精确控制，物联网为元结构制造、原位光谱学和纳米粒子相互作用研究提供了通用的低温平台。</w:t>
      </w:r>
    </w:p>
    <w:p>
      <w:pPr>
        <w:spacing w:before="0" w:after="200" w:lineRule="auto" w:line="276"/>
      </w:pPr>
      <w:r>
        <w:rPr>
          <w:b/>
        </w:rPr>
        <w:t xml:space="preserve">Abstract (EN): </w:t>
      </w:r>
      <w:r>
        <w:t>The deterministic and reconfigurable assembly of heterogeneous micro- and nanostructures remains challenging, where Brownian motion, nonspecific interfacial adsorption, and method-specific material constraints undermine precision and cross-material compatibility. Here, we present ice-phase optothermal tweezers (IOT), a platform that utilizes the ice–water interface for fast (10–100 μm/s), programmable manipulation of diverse targets, including dielectric/metal nanoparticles, proteins, DNA, and even microbubbles within ice, which have long been regarded as passive byproducts of freezing. In this scheme, the optothermally induced mobile melting zone within the ice matrix enables directed transport and nanostructure assembly with nanometer-scale resolution. We further fabricate multi-material heterostructures with tailored anisotropic and chiral optical responses, enabling applications in chiral photonics and polarization-controlled nano-optical devices under cryogenic environments. Accordingly, by unifying precise control of micro- and nano-entities across fluidic and solid-state regimes, IOT provides a general cryogenic platform for meta-structure fabrication, in-situ optical spectroscopy, and nanoparticle-interaction studies.</w:t>
      </w:r>
    </w:p>
    <w:p>
      <w:pPr>
        <w:spacing w:before="120" w:after="120"/>
      </w:pPr>
      <w:r>
        <w:rPr>
          <w:sz w:val="18"/>
        </w:rPr>
        <w:t>——————————————————————————————————————————————————————————————————————</w:t>
      </w:r>
    </w:p>
    <w:p>
      <w:pPr>
        <w:spacing w:before="160" w:after="40" w:line="240" w:lineRule="auto"/>
      </w:pPr>
      <w:r>
        <w:rPr>
          <w:b/>
        </w:rPr>
        <w:t xml:space="preserve">[300] </w:t>
      </w:r>
      <w:hyperlink r:id="rId797">
        <w:r>
          <w:rPr>
            <w:color w:val="1155CC"/>
            <w:u w:val="single"/>
          </w:rPr>
          <w:t>资源状态量子 RAM 用于快速且可纠错的查询</w:t>
        </w:r>
      </w:hyperlink>
    </w:p>
    <w:p>
      <w:pPr>
        <w:spacing w:before="0" w:after="80"/>
      </w:pPr>
      <w:r>
        <w:rPr>
          <w:i/>
          <w:sz w:val="20"/>
        </w:rPr>
        <w:t>EN: Resource-state quantum RAM for fast and error-correctable queries</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量子设备可以以与传统计算机完全不同的方式处理数据。为了利用这种潜力，许多算法需要量子随机存取存储器（QRAM）的帮助，即能够有效地将数据集加载到量子处理器上的模块。然而，由于其巨大的资源需求，该构建块的实现仍然很突出，这在量子纠错方案中变得更加苛刻。在这里，我们展示了实现 QRAM 的挑战可以完全简化为状态准备问题：由于这种资源状态独立于内存，我们的方法允许人们离线准备它，从而为新的设计策略打开了大门。例如，我们介绍了一个著名的“QRAM 工厂”，它可以提高保真度并提高接受率。更广泛地说，我们的结果引入了资源态 QRAM 的概念：我们研究了它在噪声环境中的性能，表明它保留了标准 QRAM 的噪声弹性，并讨论了如何将其与量子纠错有效地结合起来。最后，我们提出了一种使用中性原子硬件的实现，我们的分析表明可以实现高保真和低延迟的查询。</w:t>
      </w:r>
    </w:p>
    <w:p>
      <w:pPr>
        <w:spacing w:before="0" w:after="200" w:lineRule="auto" w:line="276"/>
      </w:pPr>
      <w:r>
        <w:rPr>
          <w:b/>
        </w:rPr>
        <w:t xml:space="preserve">Abstract (EN): </w:t>
      </w:r>
      <w:r>
        <w:t>Quantum devices can process data in a fundamentally different way than classical computers. To leverage this potential, many algorithms require the aid of a quantum Random Access Memory (QRAM), i.e. a module capable of efficiently loading datasets onto the quantum processor. However, a realisation of this building block is still outstanding due to its formidable resource requirements, which become even more demanding in quantum error-correction schemes. Here we show that the challenge of implementing QRAM can be entirely reduced to a state-preparation problem: since such resource-state is independent on the memory, our approach allows one to prepare it offline, opening the door to new design strategies. As an example, we introduce a heralded ‘QRAM factory’ which enables improved fidelities with high acceptance rate. More broadly, our results introduce the concept of resource-state QRAM: we study its performance in noisy settings, showing that it preserves the noise-resilience of standard QRAM, and discuss how it can be efficiently combined with quantum error-correction. Finally, we propose an implementation with neutral-atom hardware, where our analysis suggests that high-fidelity and low-latency queries can be implemented.</w:t>
      </w:r>
    </w:p>
    <w:p>
      <w:pPr>
        <w:spacing w:before="120" w:after="120"/>
      </w:pPr>
      <w:r>
        <w:rPr>
          <w:sz w:val="18"/>
        </w:rPr>
        <w:t>——————————————————————————————————————————————————————————————————————</w:t>
      </w:r>
    </w:p>
    <w:p>
      <w:pPr>
        <w:spacing w:before="160" w:after="40" w:line="240" w:lineRule="auto"/>
      </w:pPr>
      <w:r>
        <w:rPr>
          <w:b/>
        </w:rPr>
        <w:t xml:space="preserve">[301] </w:t>
      </w:r>
      <w:hyperlink r:id="rId798">
        <w:r>
          <w:rPr>
            <w:color w:val="1155CC"/>
            <w:u w:val="single"/>
          </w:rPr>
          <w:t>基于协同微腔耦合光子晶体波导的高效中红外计算光谱仪</w:t>
        </w:r>
      </w:hyperlink>
    </w:p>
    <w:p>
      <w:pPr>
        <w:spacing w:before="0" w:after="80"/>
      </w:pPr>
      <w:r>
        <w:rPr>
          <w:i/>
          <w:sz w:val="20"/>
        </w:rPr>
        <w:t>EN: An efficient mid-infrared computational spectrometer based on synergistic microcavity-coupled photonic crystal waveguides</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中红外光谱区域对于电信、化学传感和生物医学诊断应用具有巨大的前景。这些领域越来越需要高分辨率、小型化和便携式光谱仪。利用硅光子学和计算重建技术的最新进展，片上光谱仪提供了紧凑、轻便的解决方案。本文提出了一种基于微腔耦合光子晶体波导（MPCW）架构的独特光子光谱仪原型，在中红外区域工作。该器件通过将非均匀微腔谐振与尖锐的光子晶体带边缘协同集成，实现了独特定义的光谱响应。受益于慢光效应，钛微加热器提供高效的热调谐，有助于进一步精确的光谱响应控制。谱重建的交替优化方法消除了详尽的参数搜索的需要，并大大减轻了计算负担。因此，我们的 MPCW 光谱仪可以在几秒钟内在 100 nm 带宽上检索分辨率为 0.5 nm 的未知光谱，展现出高性能和鲁棒性。此外，光子晶体设计的可扩展性允许通过定制 MPCW 尺寸来直接适应其他波长范围。</w:t>
      </w:r>
    </w:p>
    <w:p>
      <w:pPr>
        <w:spacing w:before="0" w:after="200" w:lineRule="auto" w:line="276"/>
      </w:pPr>
      <w:r>
        <w:rPr>
          <w:b/>
        </w:rPr>
        <w:t xml:space="preserve">Abstract (EN): </w:t>
      </w:r>
      <w:r>
        <w:t>The mid-infrared spectral region holds substantial promise for telecommunications, chemical sensing, and biomedical diagnostics applications. These fields increasingly demand high-resolution, miniaturized, and portable spectrometers. Leveraging recent advances in silicon photonics and computational reconstruction techniques, on-chip spectrometers offer a compact and lightweight solution. This paper presents a distinctive photonic spectrometer prototype based on microcavity-coupled photonic crystal waveguide (MPCW) architecture, operating at the mid-infrared region. The device achieves uniquely defined spectral responses by synergistically integrating non-uniform microcavity resonances with sharp photonics crystal band edges. Benefiting from the slow-light effect, titanium microheaters provide efficient thermal tuning, facilitating further precise spectral response control. The alternating optimization approach for spectral reconstruction eliminates the need for exhaustive parameter searches and substantially alleviates the computational burden. Thus, our MPCW spectrometer can retrieve an unknown spectrum with a resolution of 0.5 nm over a 100 nm bandwidth within several seconds, demonstrating high performance and robustness. Furthermore, the scalable nature of photonic crystal designs permits straightforward adaptation to other wavelength regimes by tailoring the MPCW dimensions.</w:t>
      </w:r>
    </w:p>
    <w:p>
      <w:pPr>
        <w:spacing w:before="120" w:after="120"/>
      </w:pPr>
      <w:r>
        <w:rPr>
          <w:sz w:val="18"/>
        </w:rPr>
        <w:t>——————————————————————————————————————————————————————————————————————</w:t>
      </w:r>
    </w:p>
    <w:p>
      <w:pPr>
        <w:spacing w:before="160" w:after="40" w:line="240" w:lineRule="auto"/>
      </w:pPr>
      <w:r>
        <w:rPr>
          <w:b/>
        </w:rPr>
        <w:t xml:space="preserve">[302] </w:t>
      </w:r>
      <w:hyperlink r:id="rId799">
        <w:r>
          <w:rPr>
            <w:color w:val="1155CC"/>
            <w:u w:val="single"/>
          </w:rPr>
          <w:t>具有互补非线性神经形态计算的高编码灵敏度视觉传感器</w:t>
        </w:r>
      </w:hyperlink>
    </w:p>
    <w:p>
      <w:pPr>
        <w:spacing w:before="0" w:after="80"/>
      </w:pPr>
      <w:r>
        <w:rPr>
          <w:i/>
          <w:sz w:val="20"/>
        </w:rPr>
        <w:t>EN: High encoding-sensitivity vision sensor with complementary nonlinear neuromorphic computing</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构建能够进行信号处理和尖峰生成的神经形态视觉传感器对于开发适合大脑启发尖峰神经网络的硬件至关重要。然而，一个关键的挑战是在处理不断扩大的光强度范围时，自适应灵敏度受到限制。在这里，我们展示了一种基于单晶体管一忆阻器像素结构构建的神经形态视觉传感器，通过融合互补的超线性和亚线性编码，在较宽的强度范围内获得高编码灵敏度。具体来说，超线性脉冲强度发射基于等离子体挥发性Ag/hBN/Au忆阻器，该忆阻器在高亮度下具有高首次脉冲时间（TTFS）和速率编码灵敏度。亚线性放电行为基于 MoS2 突触光电探测器和挥发性 Ag/hBN/Au 忆阻神经元，在弱光下具有高 TTFS 和速率编码灵敏度。当部署在极地环境（强亮度到黑暗）时，互补视觉传感器可实现高质量成像、分割冰/陆地区域并预测厚度，展示其在挑战性条件下的稳健性。</w:t>
      </w:r>
    </w:p>
    <w:p>
      <w:pPr>
        <w:spacing w:before="0" w:after="200" w:lineRule="auto" w:line="276"/>
      </w:pPr>
      <w:r>
        <w:rPr>
          <w:b/>
        </w:rPr>
        <w:t xml:space="preserve">Abstract (EN): </w:t>
      </w:r>
      <w:r>
        <w:t>Building a neuromorphic vision sensor capable of signal processing and spike generation is essential for developing hardware tailored to brain-inspired spiking neural networks. A critical challenge, however, is the constrained adaptive sensitivity when dealing with expanding ranges of light intensity. Here we show a neuromorphic vision sensor built on a one-transistor-one-memristor pixel structure, attaining high encoding-sensitivity over a broad intensity range by fusing complementary superlinear and sublinear encoding. Specifically, the superlinear intensity-to-spike firing is based on the plasmonic volatile Ag/hBN/Au memristor, which has the high time-to-first-spike (TTFS)- and rate- encoding sensitivity in high-brightness. And the sublinear firing behavior is based on the MoS2 synaptic photodetector and volatile Ag/hBN/Au memristor neuron, which has the high TTFS- and rate- encoding sensitivity in dim light. When deployed in polar environments (intense brightness to darkness), the complementary vision sensor achieves high-quality imaging, segmenting ice/land regions and predicting thickness—showcasing its robustness under challenging conditions.</w:t>
      </w:r>
    </w:p>
    <w:p>
      <w:pPr>
        <w:spacing w:before="120" w:after="120"/>
      </w:pPr>
      <w:r>
        <w:rPr>
          <w:sz w:val="18"/>
        </w:rPr>
        <w:t>——————————————————————————————————————————————————————————————————————</w:t>
      </w:r>
    </w:p>
    <w:p>
      <w:pPr>
        <w:spacing w:before="160" w:after="40" w:line="240" w:lineRule="auto"/>
      </w:pPr>
      <w:r>
        <w:rPr>
          <w:b/>
        </w:rPr>
        <w:t xml:space="preserve">[303] </w:t>
      </w:r>
      <w:hyperlink r:id="rId800">
        <w:r>
          <w:rPr>
            <w:color w:val="1155CC"/>
            <w:u w:val="single"/>
          </w:rPr>
          <w:t>代谢活动的微小中心优化了玉米的氮利用</w:t>
        </w:r>
      </w:hyperlink>
    </w:p>
    <w:p>
      <w:pPr>
        <w:spacing w:before="0" w:after="80"/>
      </w:pPr>
      <w:r>
        <w:rPr>
          <w:i/>
          <w:sz w:val="20"/>
        </w:rPr>
        <w:t>EN: Tiny hubs of metabolic activity optimize nitrogen use in maize</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801">
        <w:r>
          <w:rPr>
            <w:color w:val="1155CC"/>
            <w:u w:val="single"/>
          </w:rPr>
          <w:t>10.1038/d41586-026-01583-9</w:t>
        </w:r>
      </w:hyperlink>
    </w:p>
    <w:p>
      <w:pPr>
        <w:spacing w:before="0" w:after="120"/>
      </w:pPr>
      <w:r>
        <w:rPr>
          <w:b/>
        </w:rPr>
        <w:t xml:space="preserve">Notes: </w:t>
      </w:r>
      <w:r>
        <w:t>abstract_source=nature_html</w:t>
      </w:r>
    </w:p>
    <w:p>
      <w:pPr>
        <w:spacing w:before="0" w:after="80" w:lineRule="auto" w:line="276"/>
      </w:pPr>
      <w:r>
        <w:rPr>
          <w:b/>
        </w:rPr>
        <w:t xml:space="preserve">摘要（ZH）: </w:t>
      </w:r>
      <w:r>
        <w:t>称为质球的结构组织酶，将氮转化为植物生长所需的化合物，为可持续农业提供经验教训。称为质球的结构组织酶，将氮转化为植物生长所需的化合物，为可持续农业提供经验教训。</w:t>
      </w:r>
    </w:p>
    <w:p>
      <w:pPr>
        <w:spacing w:before="0" w:after="200" w:lineRule="auto" w:line="276"/>
      </w:pPr>
      <w:r>
        <w:rPr>
          <w:b/>
        </w:rPr>
        <w:t xml:space="preserve">Abstract (EN): </w:t>
      </w:r>
      <w:r>
        <w:t>Structures called plastoglobules organize the enzymes that turn nitrogen into compounds needed for plant growth, offering lessons for sustainable agriculture. Structures called plastoglobules organize the enzymes that turn nitrogen into compounds needed for plant growth, offering lessons for sustainable agriculture.</w:t>
      </w:r>
    </w:p>
    <w:p>
      <w:pPr>
        <w:spacing w:before="120" w:after="120"/>
      </w:pPr>
      <w:r>
        <w:rPr>
          <w:sz w:val="18"/>
        </w:rPr>
        <w:t>——————————————————————————————————————————————————————————————————————</w:t>
      </w:r>
    </w:p>
    <w:p>
      <w:pPr>
        <w:spacing w:before="160" w:after="40" w:line="240" w:lineRule="auto"/>
      </w:pPr>
      <w:r>
        <w:rPr>
          <w:b/>
        </w:rPr>
        <w:t xml:space="preserve">[304] </w:t>
      </w:r>
      <w:hyperlink r:id="rId802">
        <w:r>
          <w:rPr>
            <w:color w:val="1155CC"/>
            <w:u w:val="single"/>
          </w:rPr>
          <w:t>白宫提议对美国科学资助进行大规模改革：你需要知道什么</w:t>
        </w:r>
      </w:hyperlink>
    </w:p>
    <w:p>
      <w:pPr>
        <w:spacing w:before="0" w:after="80"/>
      </w:pPr>
      <w:r>
        <w:rPr>
          <w:i/>
          <w:sz w:val="20"/>
        </w:rPr>
        <w:t>EN: White House proposes vast overhaul of US science funding: what you need to know</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803">
        <w:r>
          <w:rPr>
            <w:color w:val="1155CC"/>
            <w:u w:val="single"/>
          </w:rPr>
          <w:t>10.1038/d41586-026-01779-z</w:t>
        </w:r>
      </w:hyperlink>
    </w:p>
    <w:p>
      <w:pPr>
        <w:spacing w:before="0" w:after="120"/>
      </w:pPr>
      <w:r>
        <w:rPr>
          <w:b/>
        </w:rPr>
        <w:t xml:space="preserve">Notes: </w:t>
      </w:r>
      <w:r>
        <w:t>abstract_source=nature_html</w:t>
      </w:r>
    </w:p>
    <w:p>
      <w:pPr>
        <w:spacing w:before="0" w:after="80" w:lineRule="auto" w:line="276"/>
      </w:pPr>
      <w:r>
        <w:rPr>
          <w:b/>
        </w:rPr>
        <w:t xml:space="preserve">摘要（ZH）: </w:t>
      </w:r>
      <w:r>
        <w:t>特朗普政府的提案旨在提高联邦资金的透明度，但批评者担心拟议的规则将使研究政治化 特朗普政府的提案旨在提高联邦资金的透明度，但批评者担心拟议的规则将使研究政治化</w:t>
      </w:r>
    </w:p>
    <w:p>
      <w:pPr>
        <w:spacing w:before="0" w:after="200" w:lineRule="auto" w:line="276"/>
      </w:pPr>
      <w:r>
        <w:rPr>
          <w:b/>
        </w:rPr>
        <w:t xml:space="preserve">Abstract (EN): </w:t>
      </w:r>
      <w:r>
        <w:t>The Trump administration’s proposal aims to improve transparency in federal funding, but critics fear the proposed rules would politicize research The Trump administration’s proposal aims to improve transparency in federal funding, but critics fear the proposed rules would politicize research</w:t>
      </w:r>
    </w:p>
    <w:p>
      <w:pPr>
        <w:spacing w:before="120" w:after="120"/>
      </w:pPr>
      <w:r>
        <w:rPr>
          <w:sz w:val="18"/>
        </w:rPr>
        <w:t>——————————————————————————————————————————————————————————————————————</w:t>
      </w:r>
    </w:p>
    <w:p>
      <w:pPr>
        <w:spacing w:before="160" w:after="40" w:line="240" w:lineRule="auto"/>
      </w:pPr>
      <w:r>
        <w:rPr>
          <w:b/>
        </w:rPr>
        <w:t xml:space="preserve">[305] </w:t>
      </w:r>
      <w:hyperlink r:id="rId804">
        <w:r>
          <w:rPr>
            <w:color w:val="1155CC"/>
            <w:u w:val="single"/>
          </w:rPr>
          <w:t>一群婴儿和狗能否将心理学从可重复性危机中拯救出来？</w:t>
        </w:r>
      </w:hyperlink>
    </w:p>
    <w:p>
      <w:pPr>
        <w:spacing w:before="0" w:after="80"/>
      </w:pPr>
      <w:r>
        <w:rPr>
          <w:i/>
          <w:sz w:val="20"/>
        </w:rPr>
        <w:t>EN: Can an army of babies and dogs rescue psychology from its reproducibility crisis?</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805">
        <w:r>
          <w:rPr>
            <w:color w:val="1155CC"/>
            <w:u w:val="single"/>
          </w:rPr>
          <w:t>10.1038/d41586-026-01727-x</w:t>
        </w:r>
      </w:hyperlink>
    </w:p>
    <w:p>
      <w:pPr>
        <w:spacing w:before="0" w:after="120"/>
      </w:pPr>
      <w:r>
        <w:rPr>
          <w:b/>
        </w:rPr>
        <w:t xml:space="preserve">Notes: </w:t>
      </w:r>
      <w:r>
        <w:t>abstract_source=nature_html</w:t>
      </w:r>
    </w:p>
    <w:p>
      <w:pPr>
        <w:spacing w:before="0" w:after="80" w:lineRule="auto" w:line="276"/>
      </w:pPr>
      <w:r>
        <w:rPr>
          <w:b/>
        </w:rPr>
        <w:t xml:space="preserve">摘要（ZH）: </w:t>
      </w:r>
      <w:r>
        <w:t>实验室正在联手开展一系列大型项目，旨在使认知科学更加严谨。实验室正在联手开展一系列大型项目，旨在使认知科学更加严谨。</w:t>
      </w:r>
    </w:p>
    <w:p>
      <w:pPr>
        <w:spacing w:before="0" w:after="200" w:lineRule="auto" w:line="276"/>
      </w:pPr>
      <w:r>
        <w:rPr>
          <w:b/>
        </w:rPr>
        <w:t xml:space="preserve">Abstract (EN): </w:t>
      </w:r>
      <w:r>
        <w:t>Labs are teaming up to run a host of huge projects that aim to bring rigour to cognitive science. Labs are teaming up to run a host of huge projects that aim to bring rigour to cognitive science.</w:t>
      </w:r>
    </w:p>
    <w:p>
      <w:pPr>
        <w:spacing w:before="120" w:after="120"/>
      </w:pPr>
      <w:r>
        <w:rPr>
          <w:sz w:val="18"/>
        </w:rPr>
        <w:t>——————————————————————————————————————————————————————————————————————</w:t>
      </w:r>
    </w:p>
    <w:p>
      <w:pPr>
        <w:spacing w:before="160" w:after="40" w:line="240" w:lineRule="auto"/>
      </w:pPr>
      <w:r>
        <w:rPr>
          <w:b/>
        </w:rPr>
        <w:t xml:space="preserve">[306] </w:t>
      </w:r>
      <w:hyperlink r:id="rId806">
        <w:r>
          <w:rPr>
            <w:color w:val="1155CC"/>
            <w:u w:val="single"/>
          </w:rPr>
          <w:t>皇家卧室为蜂王提供什么</w:t>
        </w:r>
      </w:hyperlink>
    </w:p>
    <w:p>
      <w:pPr>
        <w:spacing w:before="0" w:after="80"/>
      </w:pPr>
      <w:r>
        <w:rPr>
          <w:i/>
          <w:sz w:val="20"/>
        </w:rPr>
        <w:t>EN: What a royal bedchamber provides the queen bee</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807">
        <w:r>
          <w:rPr>
            <w:color w:val="1155CC"/>
            <w:u w:val="single"/>
          </w:rPr>
          <w:t>10.1038/d41586-026-01580-y</w:t>
        </w:r>
      </w:hyperlink>
    </w:p>
    <w:p>
      <w:pPr>
        <w:spacing w:before="0" w:after="120"/>
      </w:pPr>
      <w:r>
        <w:rPr>
          <w:b/>
        </w:rPr>
        <w:t xml:space="preserve">Notes: </w:t>
      </w:r>
      <w:r>
        <w:t>abstract_source=nature_html</w:t>
      </w:r>
    </w:p>
    <w:p>
      <w:pPr>
        <w:spacing w:before="0" w:after="80" w:lineRule="auto" w:line="276"/>
      </w:pPr>
      <w:r>
        <w:rPr>
          <w:b/>
        </w:rPr>
        <w:t xml:space="preserve">摘要（ZH）: </w:t>
      </w:r>
      <w:r>
        <w:t>在考虑影响动物发育的因素时，人们会想到遗传等因素。然而，对于蜂王来说，她特殊的蜡屋也有其作用。在考虑影响动物发育的因素时，人们会想到遗传等因素。然而，对于蜂王来说，她特殊的蜡屋也有其作用。</w:t>
      </w:r>
    </w:p>
    <w:p>
      <w:pPr>
        <w:spacing w:before="0" w:after="200" w:lineRule="auto" w:line="276"/>
      </w:pPr>
      <w:r>
        <w:rPr>
          <w:b/>
        </w:rPr>
        <w:t xml:space="preserve">Abstract (EN): </w:t>
      </w:r>
      <w:r>
        <w:t>When considering what shapes animal development, factors such as genetics come to mind. For a queen bee, however, her special wax home also has a role. When considering what shapes animal development, factors such as genetics come to mind. For a queen bee, however, her special wax home also has a role.</w:t>
      </w:r>
    </w:p>
    <w:p>
      <w:pPr>
        <w:spacing w:before="120" w:after="120"/>
      </w:pPr>
      <w:r>
        <w:rPr>
          <w:sz w:val="18"/>
        </w:rPr>
        <w:t>——————————————————————————————————————————————————————————————————————</w:t>
      </w:r>
    </w:p>
    <w:p>
      <w:pPr>
        <w:spacing w:before="160" w:after="40" w:line="240" w:lineRule="auto"/>
      </w:pPr>
      <w:r>
        <w:rPr>
          <w:b/>
        </w:rPr>
        <w:t xml:space="preserve">[307] </w:t>
      </w:r>
      <w:hyperlink r:id="rId808">
        <w:r>
          <w:rPr>
            <w:color w:val="1155CC"/>
            <w:u w:val="single"/>
          </w:rPr>
          <w:t>“人工智能医生”有多优秀——他们会取代医学吗？</w:t>
        </w:r>
      </w:hyperlink>
    </w:p>
    <w:p>
      <w:pPr>
        <w:spacing w:before="0" w:after="80"/>
      </w:pPr>
      <w:r>
        <w:rPr>
          <w:i/>
          <w:sz w:val="20"/>
        </w:rPr>
        <w:t>EN: How good are ‘AI doctors’ — and will they take over medicine?</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809">
        <w:r>
          <w:rPr>
            <w:color w:val="1155CC"/>
            <w:u w:val="single"/>
          </w:rPr>
          <w:t>10.1038/d41586-026-01691-6</w:t>
        </w:r>
      </w:hyperlink>
    </w:p>
    <w:p>
      <w:pPr>
        <w:spacing w:before="0" w:after="120"/>
      </w:pPr>
      <w:r>
        <w:rPr>
          <w:b/>
        </w:rPr>
        <w:t xml:space="preserve">Notes: </w:t>
      </w:r>
      <w:r>
        <w:t>abstract_source=nature_html</w:t>
      </w:r>
    </w:p>
    <w:p>
      <w:pPr>
        <w:spacing w:before="0" w:after="80" w:lineRule="auto" w:line="276"/>
      </w:pPr>
      <w:r>
        <w:rPr>
          <w:b/>
        </w:rPr>
        <w:t xml:space="preserve">摘要（ZH）: </w:t>
      </w:r>
      <w:r>
        <w:t>《自然》与专家讨论人工智能系统是否可能很快对人们进行诊断。 《自然》与专家讨论人工智能系统是否可能很快对人们进行诊断。</w:t>
      </w:r>
    </w:p>
    <w:p>
      <w:pPr>
        <w:spacing w:before="0" w:after="200" w:lineRule="auto" w:line="276"/>
      </w:pPr>
      <w:r>
        <w:rPr>
          <w:b/>
        </w:rPr>
        <w:t xml:space="preserve">Abstract (EN): </w:t>
      </w:r>
      <w:r>
        <w:t>Nature talks to specialists about whether people might soon be diagnosed by artificial-intelligence systems. Nature talks to specialists about whether people might soon be diagnosed by artificial-intelligence systems.</w:t>
      </w:r>
    </w:p>
    <w:p>
      <w:pPr>
        <w:spacing w:before="120" w:after="120"/>
      </w:pPr>
      <w:r>
        <w:rPr>
          <w:sz w:val="18"/>
        </w:rPr>
        <w:t>——————————————————————————————————————————————————————————————————————</w:t>
      </w:r>
    </w:p>
    <w:p>
      <w:pPr>
        <w:spacing w:before="160" w:after="40" w:line="240" w:lineRule="auto"/>
      </w:pPr>
      <w:r>
        <w:rPr>
          <w:b/>
        </w:rPr>
        <w:t xml:space="preserve">[308] </w:t>
      </w:r>
      <w:hyperlink r:id="rId810">
        <w:r>
          <w:rPr>
            <w:color w:val="1155CC"/>
            <w:u w:val="single"/>
          </w:rPr>
          <w:t>微软升级有争议的量子芯片——研究人员仍持怀疑态度</w:t>
        </w:r>
      </w:hyperlink>
    </w:p>
    <w:p>
      <w:pPr>
        <w:spacing w:before="0" w:after="80"/>
      </w:pPr>
      <w:r>
        <w:rPr>
          <w:i/>
          <w:sz w:val="20"/>
        </w:rPr>
        <w:t>EN: Microsoft upgrades controversial quantum chip — researchers are still sceptical</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811">
        <w:r>
          <w:rPr>
            <w:color w:val="1155CC"/>
            <w:u w:val="single"/>
          </w:rPr>
          <w:t>10.1038/d41586-026-01788-y</w:t>
        </w:r>
      </w:hyperlink>
    </w:p>
    <w:p>
      <w:pPr>
        <w:spacing w:before="0" w:after="120"/>
      </w:pPr>
      <w:r>
        <w:rPr>
          <w:b/>
        </w:rPr>
        <w:t xml:space="preserve">Notes: </w:t>
      </w:r>
      <w:r>
        <w:t>abstract_source=nature_html</w:t>
      </w:r>
    </w:p>
    <w:p>
      <w:pPr>
        <w:spacing w:before="0" w:after="80" w:lineRule="auto" w:line="276"/>
      </w:pPr>
      <w:r>
        <w:rPr>
          <w:b/>
        </w:rPr>
        <w:t xml:space="preserve">摘要（ZH）: </w:t>
      </w:r>
      <w:r>
        <w:t>这家科技巨头表示，它将制造“拓扑”量子计算机，其扩展速度比竞争技术更快。这家科技巨头表示，它将制造“拓扑”量子计算机，其扩展速度比竞争技术更快。</w:t>
      </w:r>
    </w:p>
    <w:p>
      <w:pPr>
        <w:spacing w:before="0" w:after="200" w:lineRule="auto" w:line="276"/>
      </w:pPr>
      <w:r>
        <w:rPr>
          <w:b/>
        </w:rPr>
        <w:t xml:space="preserve">Abstract (EN): </w:t>
      </w:r>
      <w:r>
        <w:t>The tech giant says it will make ‘topological’ quantum computers that can be scaled up faster than competing technologies. The tech giant says it will make ‘topological’ quantum computers that can be scaled up faster than competing technologies.</w:t>
      </w:r>
    </w:p>
    <w:p>
      <w:pPr>
        <w:spacing w:before="120" w:after="120"/>
      </w:pPr>
      <w:r>
        <w:rPr>
          <w:sz w:val="18"/>
        </w:rPr>
        <w:t>——————————————————————————————————————————————————————————————————————</w:t>
      </w:r>
    </w:p>
    <w:p>
      <w:pPr>
        <w:spacing w:before="160" w:after="40" w:line="240" w:lineRule="auto"/>
      </w:pPr>
      <w:r>
        <w:rPr>
          <w:b/>
        </w:rPr>
        <w:t xml:space="preserve">[309] </w:t>
      </w:r>
      <w:hyperlink r:id="rId812">
        <w:r>
          <w:rPr>
            <w:color w:val="1155CC"/>
            <w:u w:val="single"/>
          </w:rPr>
          <w:t>通过在变构热点插入结构域对 Cas13d 活性进行多模式控制</w:t>
        </w:r>
      </w:hyperlink>
    </w:p>
    <w:p>
      <w:pPr>
        <w:spacing w:before="0" w:after="80"/>
      </w:pPr>
      <w:r>
        <w:rPr>
          <w:i/>
          <w:sz w:val="20"/>
        </w:rPr>
        <w:t>EN: Multimodal control of Cas13d activity through domain insertion at an allosteric hotspot</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CRISPR-Cas13d RNA 核酸酶是用于可编程 RNA 靶向的强大工具。光控RNA核酸酶可以使研究人员在细胞或组织中的所需位置或感兴趣的时间点选择性地敲低转录本，从而具有变革性。在这里，我们开发了一套 RfxCas13d 工具，可以通过轻分子或小分子添加进行多模式控制。通过筛选包含 AsLOV2 光开关结构域插入的 RfxCas13d 文库，我们鉴定了一种 OptoCas13d-off 变体，该变体在黑暗中诱导靶标 RNA 裂解，并在蓝光下切换至非活性状态。我们表明，可以利用相同的变构热点来生成具有反向光响应的 OptoCas13d-on 和由雷帕霉素类似物激活的 ChemoCas13d，从而能够敲低内源 mRNA 和蛋白质靶标。总体而言，我们的研究表明，工程变构可以产生刺激控制的 Cas13d 变体，以高空间和时间精度调节 RNA。</w:t>
      </w:r>
    </w:p>
    <w:p>
      <w:pPr>
        <w:spacing w:before="0" w:after="200" w:lineRule="auto" w:line="276"/>
      </w:pPr>
      <w:r>
        <w:rPr>
          <w:b/>
        </w:rPr>
        <w:t xml:space="preserve">Abstract (EN): </w:t>
      </w:r>
      <w:r>
        <w:t>CRISPR-Cas13d RNA nucleases are powerful tools for programmable RNA targeting. A light-controlled RNA nuclease could be transformative by enabling researchers to selectively knock down transcripts at desired positions in a cell or tissue or at timepoints of interest. Here, we develop a set of RfxCas13d tools that can be multimodally controlled by either light or small molecule addition. By screening an RfxCas13d library containing insertions of the AsLOV2 photoswitchable domain, we identify an OptoCas13d-off variant that induced target RNA cleavage in the dark and switched to an inactive state under blue light. We show that the same allosteric hotspot can be exploited to generate an OptoCas13d-on with an inverted light response and a ChemoCas13d that is activated by rapamycin analogs, enabling knockdown of endogenous mRNA and protein targets. Overall, our study shows that engineered allostery can produce stimulus-controlled Cas13d variants to modulate RNA with high spatial and temporal precision.</w:t>
      </w:r>
    </w:p>
    <w:p>
      <w:pPr>
        <w:spacing w:before="120" w:after="120"/>
      </w:pPr>
      <w:r>
        <w:rPr>
          <w:sz w:val="18"/>
        </w:rPr>
        <w:t>——————————————————————————————————————————————————————————————————————</w:t>
      </w:r>
    </w:p>
    <w:p>
      <w:pPr>
        <w:spacing w:before="160" w:after="40" w:line="240" w:lineRule="auto"/>
      </w:pPr>
      <w:r>
        <w:rPr>
          <w:b/>
        </w:rPr>
        <w:t xml:space="preserve">[310] </w:t>
      </w:r>
      <w:hyperlink r:id="rId813">
        <w:r>
          <w:rPr>
            <w:color w:val="1155CC"/>
            <w:u w:val="single"/>
          </w:rPr>
          <w:t>精胺是一种内源性铁螯合剂，可抑制铁死亡</w:t>
        </w:r>
      </w:hyperlink>
    </w:p>
    <w:p>
      <w:pPr>
        <w:spacing w:before="0" w:after="80"/>
      </w:pPr>
      <w:r>
        <w:rPr>
          <w:i/>
          <w:sz w:val="20"/>
        </w:rPr>
        <w:t>EN: Spermine is an endogenous iron chelator that inhibits ferroptosis</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814">
        <w:r>
          <w:rPr>
            <w:color w:val="1155CC"/>
            <w:u w:val="single"/>
          </w:rPr>
          <w:t>10.1038/s41586-026-10597-2</w:t>
        </w:r>
      </w:hyperlink>
    </w:p>
    <w:p>
      <w:pPr>
        <w:spacing w:before="0" w:after="120"/>
      </w:pPr>
      <w:r>
        <w:rPr>
          <w:b/>
        </w:rPr>
        <w:t xml:space="preserve">Notes: </w:t>
      </w:r>
      <w:r>
        <w:t>abstract_source=nature_html</w:t>
      </w:r>
    </w:p>
    <w:p>
      <w:pPr>
        <w:spacing w:before="0" w:after="80" w:lineRule="auto" w:line="276"/>
      </w:pPr>
      <w:r>
        <w:rPr>
          <w:b/>
        </w:rPr>
        <w:t xml:space="preserve">摘要（ZH）: </w:t>
      </w:r>
      <w:r>
        <w:t>铁死亡是一种由脂质过氧化驱动的铁依赖性细胞死亡形式1。在这里，我们将精胺（一种源自亚精胺2的多胺）确定为一种直接抑制铁死亡的内源性铁螯合剂。综合代谢组学、稳定同位素示踪和精胺与 Fe2+ 离子之间相互作用的生物物理研究，我们证明乙醛脱氢酶 18 家族成员 A1 (ALDH18A1) 促进精胺从头合成的替代谷氨酰胺依赖性途径。这一过程限制了肝细胞癌中铁的利用率和脂质过氧化。 ALDH18A1 的遗传或药理学抑制（通过使用腺相关病毒 (AAV) 或小分子抑制剂 YG1702 传递的敲除、短发夹 RNA）触发铁死亡并损害自发性和化学诱导的肝癌发生。相反，补充精胺可以防止铁死亡相关的多个组织（包括肝脏、肠和肾脏）的缺血再灌注损伤。这些发现揭示了一个病理生理学相关的代谢回路，其中精胺介导的铁螯合抑制铁死亡。</w:t>
      </w:r>
    </w:p>
    <w:p>
      <w:pPr>
        <w:spacing w:before="0" w:after="200" w:lineRule="auto" w:line="276"/>
      </w:pPr>
      <w:r>
        <w:rPr>
          <w:b/>
        </w:rPr>
        <w:t xml:space="preserve">Abstract (EN): </w:t>
      </w:r>
      <w:r>
        <w:t>Ferroptosis is an iron-dependent form of cell death driven by lipid peroxidation1. Here we identify spermine—a polyamine derived from spermidine2—as an endogenous iron chelator that directly suppresses ferroptosis. Integrating metabolomics, stable isotope tracing and biophysical studies of the interaction between spermine and Fe2+ ions, we demonstrate that aldehyde dehydrogenase 18 family member A1 (ALDH18A1) promotes an alternative glutamine-dependent pathway for de novo spermine synthesis. This process limits iron availability and lipid peroxidation in hepatocellular carcinoma. Genetic or pharmacological inhibition of ALDH18A1—through knockout, short hairpin RNA delivered using adeno-associated virus (AAV), or the small molecule inhibitor YG1702—triggers ferroptosis and impairs both spontaneous and chemically induced hepatocarcinogenesis. Conversely, supplementation of spermine protects against ferroptosis-associated ischaemia–reperfusion injury across multiple tissues, including the liver, intestine and kidneys. These findings uncover a pathophysiologically relevant metabolic circuit in which spermine-mediated iron chelation suppresses ferroptosis.</w:t>
      </w:r>
    </w:p>
    <w:p>
      <w:pPr>
        <w:spacing w:before="120" w:after="120"/>
      </w:pPr>
      <w:r>
        <w:rPr>
          <w:sz w:val="18"/>
        </w:rPr>
        <w:t>——————————————————————————————————————————————————————————————————————</w:t>
      </w:r>
    </w:p>
    <w:p>
      <w:pPr>
        <w:spacing w:before="160" w:after="40" w:line="240" w:lineRule="auto"/>
      </w:pPr>
      <w:r>
        <w:rPr>
          <w:b/>
        </w:rPr>
        <w:t xml:space="preserve">[311] </w:t>
      </w:r>
      <w:hyperlink r:id="rId815">
        <w:r>
          <w:rPr>
            <w:color w:val="1155CC"/>
            <w:u w:val="single"/>
          </w:rPr>
          <w:t>牙釉质的纳米结构揭示了人类进化过程中的饮食变化</w:t>
        </w:r>
      </w:hyperlink>
    </w:p>
    <w:p>
      <w:pPr>
        <w:spacing w:before="0" w:after="80"/>
      </w:pPr>
      <w:r>
        <w:rPr>
          <w:i/>
          <w:sz w:val="20"/>
        </w:rPr>
        <w:t>EN: Nanostructure of tooth enamel casts light on dietary shifts as humans evolved</w:t>
      </w:r>
    </w:p>
    <w:p>
      <w:pPr>
        <w:spacing w:before="0" w:after="120"/>
      </w:pPr>
      <w:r>
        <w:rPr>
          <w:b/>
        </w:rPr>
        <w:t xml:space="preserve">Source: </w:t>
      </w:r>
      <w:r>
        <w:t>Nature</w:t>
      </w:r>
      <w:r>
        <w:t xml:space="preserve">    </w:t>
      </w:r>
      <w:r>
        <w:rPr>
          <w:b/>
        </w:rPr>
        <w:t xml:space="preserve">Pub date: </w:t>
      </w:r>
      <w:r>
        <w:t>2026-06-03 00:00:00+00:00</w:t>
      </w:r>
      <w:r>
        <w:t xml:space="preserve">    </w:t>
      </w:r>
      <w:r>
        <w:rPr>
          <w:b/>
        </w:rPr>
        <w:t xml:space="preserve">DOI: </w:t>
      </w:r>
      <w:hyperlink r:id="rId816">
        <w:r>
          <w:rPr>
            <w:color w:val="1155CC"/>
            <w:u w:val="single"/>
          </w:rPr>
          <w:t>10.1038/d41586-026-01579-5</w:t>
        </w:r>
      </w:hyperlink>
    </w:p>
    <w:p>
      <w:pPr>
        <w:spacing w:before="0" w:after="120"/>
      </w:pPr>
      <w:r>
        <w:rPr>
          <w:b/>
        </w:rPr>
        <w:t xml:space="preserve">Notes: </w:t>
      </w:r>
      <w:r>
        <w:t>abstract_source=nature_html</w:t>
      </w:r>
    </w:p>
    <w:p>
      <w:pPr>
        <w:spacing w:before="0" w:after="80" w:lineRule="auto" w:line="276"/>
      </w:pPr>
      <w:r>
        <w:rPr>
          <w:b/>
        </w:rPr>
        <w:t xml:space="preserve">摘要（ZH）: </w:t>
      </w:r>
      <w:r>
        <w:t>灵长类动物、古人类和现代人类的牙釉质中矿物质纳米晶体的排列随着这些物种饮食的变化而改变。灵长类动物、古人类和现代人类的牙釉质中矿物质纳米晶体的排列随着这些物种饮食的变化而改变。</w:t>
      </w:r>
    </w:p>
    <w:p>
      <w:pPr>
        <w:spacing w:before="0" w:after="200" w:lineRule="auto" w:line="276"/>
      </w:pPr>
      <w:r>
        <w:rPr>
          <w:b/>
        </w:rPr>
        <w:t xml:space="preserve">Abstract (EN): </w:t>
      </w:r>
      <w:r>
        <w:t>The arrangement of mineral nanocrystals in the tooth enamel of primates, hominins and modern humans altered as the diet of these species changed. The arrangement of mineral nanocrystals in the tooth enamel of primates, hominins and modern humans altered as the diet of these species changed.</w:t>
      </w:r>
    </w:p>
    <w:p>
      <w:pPr>
        <w:spacing w:before="120" w:after="120"/>
      </w:pPr>
      <w:r>
        <w:rPr>
          <w:sz w:val="18"/>
        </w:rPr>
        <w:t>——————————————————————————————————————————————————————————————————————</w:t>
      </w:r>
    </w:p>
    <w:p>
      <w:pPr>
        <w:spacing w:before="160" w:after="40" w:line="240" w:lineRule="auto"/>
      </w:pPr>
      <w:r>
        <w:rPr>
          <w:b/>
        </w:rPr>
        <w:t xml:space="preserve">[312] </w:t>
      </w:r>
      <w:hyperlink r:id="rId817">
        <w:r>
          <w:rPr>
            <w:color w:val="1155CC"/>
            <w:u w:val="single"/>
          </w:rPr>
          <w:t>湍流推动海上风电场改造海底</w:t>
        </w:r>
      </w:hyperlink>
    </w:p>
    <w:p>
      <w:pPr>
        <w:spacing w:before="0" w:after="80"/>
      </w:pPr>
      <w:r>
        <w:rPr>
          <w:i/>
          <w:sz w:val="20"/>
        </w:rPr>
        <w:t>EN: Turbulence drives seabed modification by offshore windfarms</w:t>
      </w:r>
    </w:p>
    <w:p>
      <w:pPr>
        <w:spacing w:before="0" w:after="120"/>
      </w:pPr>
      <w:r>
        <w:rPr>
          <w:b/>
        </w:rPr>
        <w:t xml:space="preserve">Source: </w:t>
      </w:r>
      <w:r>
        <w:t>Earth and environmental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减少碳排放和利用可再生能源的努力刺激了海洋的快速工业化。目前对海上风电场（约占风电场面积的 1%）造成的海底改造的估计并未考虑到单桩尾流导致的海底流动性增强。在这里，我们展示了风电场基础设施产生的湍流如何动员海底沉积物。虽然我们实验室实验中的平均流动条件可以移动细沙，但单桩尾流产生的近床湍流可以移动下游单桩直径 (D) 17 的沙子。相关的床形形成在空间上与单桩湍流尾流的下涌一致，表明 3D 尾流结构既创造又定义了增强的沉积物流动性。我们引入了一种通过将近床湍流的床切应力与平均流量的床切应力相结合来预测该输运能力增强区域的方法；我们在运营的海上风电场的现场证据验证了这种方法。我们的结果显示，床应力放大预计覆盖典型风电场区域的 3-8%。海底流动性的增强可能会改变海底栖息地，应将其纳入影响评估和海洋规划中。</w:t>
      </w:r>
    </w:p>
    <w:p>
      <w:pPr>
        <w:spacing w:before="0" w:after="200" w:lineRule="auto" w:line="276"/>
      </w:pPr>
      <w:r>
        <w:rPr>
          <w:b/>
        </w:rPr>
        <w:t xml:space="preserve">Abstract (EN): </w:t>
      </w:r>
      <w:r>
        <w:t>The drive to cut carbon emissions and harness renewable energy has spurred rapid industrialization of the seas. Current estimates of seabed modification due to offshore windfarms (ca. 1% of a windfarm’s area) do not account for enhanced seabed mobility due to monopile wakes. Here we demonstrate how turbulence emanating from windfarm infrastructure mobilizes seabed sediments. Whilst mean flow conditions in our laboratory experiment could mobilize fine sand, near-bed turbulence from monopile’s wake could mobilize sand 17 monopile diameters (D) downstream. Related bedform formation coincided spatially with downwelling of the monopile’s turbulent wake, indicating that the 3D wake flow structure both creates and defines enhanced sediment mobility. We introduce a method for predicting this region of enhanced transport capacity by combining bed shear stress from near-bed turbulence with that from mean flow; and our field evidence at an operational offshore windfarm validates this approach. Our results show bed stress amplification is expected cover 3-8% of a typical windfarm area. Enhanced seabed mobility can alter seabed habitats and should be factored into impact assessment and marine planning.</w:t>
      </w:r>
    </w:p>
    <w:p>
      <w:pPr>
        <w:spacing w:before="120" w:after="120"/>
      </w:pPr>
      <w:r>
        <w:rPr>
          <w:sz w:val="18"/>
        </w:rPr>
        <w:t>——————————————————————————————————————————————————————————————————————</w:t>
      </w:r>
    </w:p>
    <w:p>
      <w:pPr>
        <w:spacing w:before="160" w:after="40" w:line="240" w:lineRule="auto"/>
      </w:pPr>
      <w:r>
        <w:rPr>
          <w:b/>
        </w:rPr>
        <w:t xml:space="preserve">[313] </w:t>
      </w:r>
      <w:hyperlink r:id="rId818">
        <w:r>
          <w:rPr>
            <w:color w:val="1155CC"/>
            <w:u w:val="single"/>
          </w:rPr>
          <w:t>功能和建筑材料的原位机械表征</w:t>
        </w:r>
      </w:hyperlink>
    </w:p>
    <w:p>
      <w:pPr>
        <w:spacing w:before="0" w:after="80"/>
      </w:pPr>
      <w:r>
        <w:rPr>
          <w:i/>
          <w:sz w:val="20"/>
        </w:rPr>
        <w:t>EN: In situ mechanical characterization of functional and architected materials</w:t>
      </w:r>
    </w:p>
    <w:p>
      <w:pPr>
        <w:spacing w:before="0" w:after="120"/>
      </w:pPr>
      <w:r>
        <w:rPr>
          <w:b/>
        </w:rPr>
        <w:t xml:space="preserve">Source: </w:t>
      </w:r>
      <w:r>
        <w:t>Nature Materials</w:t>
      </w:r>
      <w:r>
        <w:t xml:space="preserve">    </w:t>
      </w:r>
      <w:r>
        <w:rPr>
          <w:b/>
        </w:rPr>
        <w:t xml:space="preserve">Pub date: </w:t>
      </w:r>
      <w:r>
        <w:t>2026-06-03 00:00:00+00:00</w:t>
      </w:r>
      <w:r>
        <w:t xml:space="preserve">    </w:t>
      </w:r>
      <w:r>
        <w:rPr>
          <w:b/>
        </w:rPr>
        <w:t xml:space="preserve">DOI: </w:t>
      </w:r>
      <w:hyperlink r:id="rId819">
        <w:r>
          <w:rPr>
            <w:color w:val="1155CC"/>
            <w:u w:val="single"/>
          </w:rPr>
          <w:t>10.1038/s41563-026-02601-x</w:t>
        </w:r>
      </w:hyperlink>
    </w:p>
    <w:p>
      <w:pPr>
        <w:spacing w:before="0" w:after="120"/>
      </w:pPr>
      <w:r>
        <w:rPr>
          <w:b/>
        </w:rPr>
        <w:t xml:space="preserve">Notes: </w:t>
      </w:r>
      <w:r>
        <w:t>abstract_source=nature_html</w:t>
      </w:r>
    </w:p>
    <w:p>
      <w:pPr>
        <w:spacing w:before="0" w:after="80" w:lineRule="auto" w:line="276"/>
      </w:pPr>
      <w:r>
        <w:rPr>
          <w:b/>
        </w:rPr>
        <w:t xml:space="preserve">摘要（ZH）: </w:t>
      </w:r>
      <w:r>
        <w:t>仪器仪表的最新进展引发了材料科学的变革之旅，为加工、结构和性能之间的复杂关系提供了见解。其中，尖端的原位微米和纳米级机械表征方法，具有卓越的空间和时间分辨率，如仪器电子显微镜、X射线成像和光声技术，开辟了新兴功能和建筑材料（包括低维材料、仿生材料和三维建筑超材料）研究的新领域，强调了这些创新表征技术的多功能性。此外，人工智能和机器学习的集成为简化高通量实验过程、提高表征的效率和准确性以及促进下一代材料的设计提供了有希望的机会。本综述全面概述了最新的微米级和纳米级机械表征方法。我们重点介绍它们在功能性和建筑材料中的跨学科应用，以寻求能源、可持续发展、半导体技术和医疗保健的解决方案。</w:t>
      </w:r>
    </w:p>
    <w:p>
      <w:pPr>
        <w:spacing w:before="0" w:after="200" w:lineRule="auto" w:line="276"/>
      </w:pPr>
      <w:r>
        <w:rPr>
          <w:b/>
        </w:rPr>
        <w:t xml:space="preserve">Abstract (EN): </w:t>
      </w:r>
      <w:r>
        <w:t>Recent advances in instrumentation have sparked a transformative journey in materials science, providing insights into the intricate relationship between processing, structure and properties. Among them, cutting-edge in situ micro- and nanoscale mechanical characterization methods, equipped with exceptional spatial and temporal resolution, such as instrumented electron microscopy, X-ray imaging and opto-acoustic techniques, have opened new frontiers in the study of emerging functional and architected materials, including low-dimensional materials, bio-inspired materials and three-dimensional architected metamaterials, underscoring the versatility of these innovative characterization techniques. Furthermore, the integration of artificial intelligence and machine learning offers promising opportunities to streamline high-throughput experimentation processes and enhance the efficiency and accuracy of characterization, and promote the design of next-generation materials. This Review provides a comprehensive overview of the latest micro- and nanoscale mechanical characterization methods. We highlight their interdisciplinary applications to functional and architected materials in the pursuit of solutions for energy, sustainability, semiconductor technology and healthcare.</w:t>
      </w:r>
    </w:p>
    <w:p>
      <w:pPr>
        <w:spacing w:before="120" w:after="120"/>
      </w:pPr>
      <w:r>
        <w:rPr>
          <w:sz w:val="18"/>
        </w:rPr>
        <w:t>——————————————————————————————————————————————————————————————————————</w:t>
      </w:r>
    </w:p>
    <w:p>
      <w:pPr>
        <w:spacing w:before="160" w:after="40" w:line="240" w:lineRule="auto"/>
      </w:pPr>
      <w:r>
        <w:rPr>
          <w:b/>
        </w:rPr>
        <w:t xml:space="preserve">[314] </w:t>
      </w:r>
      <w:hyperlink r:id="rId820">
        <w:r>
          <w:rPr>
            <w:color w:val="1155CC"/>
            <w:u w:val="single"/>
          </w:rPr>
          <w:t>外胚层管腔生成不是哺乳动物特有的特征</w:t>
        </w:r>
      </w:hyperlink>
    </w:p>
    <w:p>
      <w:pPr>
        <w:spacing w:before="0" w:after="80"/>
      </w:pPr>
      <w:r>
        <w:rPr>
          <w:i/>
          <w:sz w:val="20"/>
        </w:rPr>
        <w:t>EN: Epiblast lumenogenesis is not a mammalian-specific trait</w:t>
      </w:r>
    </w:p>
    <w:p>
      <w:pPr>
        <w:spacing w:before="0" w:after="120"/>
      </w:pPr>
      <w:r>
        <w:rPr>
          <w:b/>
        </w:rPr>
        <w:t xml:space="preserve">Source: </w:t>
      </w:r>
      <w:r>
        <w:t>Biological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外胚层管腔发生是哺乳动物胚胎发生的标志，对于随后的前后模式形成和原肠胚形成过程至关重要。基于鸟类模型生物，爬行动物外胚层被认为形成单层扁平盘来经历这些发育事件。在这里，我们报道了有鳞变色龙（Chameleo calyptratus）在前后图案形成之前表现出外胚层管腔生成。使用扫描电镜、免疫荧光和组织学技术，我们证明变色龙外胚层腔发生是通过类似荷包的机制发生的，涉及外胚层周围细胞上肌动蛋白电缆同心环的形成和收缩。通过对 Nodal1、Nodal2、Cerberus、Lefty、Brachyury、Wnt3A 和 Bmp2 的表达分析以及 Brachyury 的免疫染色，我们在外胚层边缘发现了一个 Wnt3A 和 Brachyury 阳性环，并伴有管腔生成。此外，我们的数据表明，遮蔽变色龙的前后图案可能独立于塞伯鲁斯和左撇子而发生。尽管经历了 3 亿年的进化分离，这些过程导致变色龙胚胎表现出类似人类胚胎的形态。总的来说，我们发现原肠胚形成前的外胚层腔发生不是哺乳动物特有的，但也在一些非鸟类爬行动物中进化。</w:t>
      </w:r>
    </w:p>
    <w:p>
      <w:pPr>
        <w:spacing w:before="0" w:after="200" w:lineRule="auto" w:line="276"/>
      </w:pPr>
      <w:r>
        <w:rPr>
          <w:b/>
        </w:rPr>
        <w:t xml:space="preserve">Abstract (EN): </w:t>
      </w:r>
      <w:r>
        <w:t>Epiblast lumenogenesis is a hallmark of mammalian embryogenesis, and crucial for the subsequent processes of anterior-posterior patterning and gastrulation. Based on avian model-organisms, reptile epiblasts are thought to form a monolayered flat disc to undergo these developmental events. Here, we report that the squamate, veiled chameleon (Chameleo calyptratus), exhibits epiblast lumenogenesis prior to anterior-posterior patterning. Using SEM, immunofluorescence, and histology techniques, we demonstrate that chameleon epiblast lumenogenesis occurs via a purse-string-like mechanism involving the formation and constriction of concentric rings of supracellular actin cables around the epiblast. Through expression analyses of Nodal1, Nodal2, Cerberus, Lefty, Brachyury, Wnt3A, and Bmp2, and immunostaining for Brachyury, we uncovered a Wnt3A- and Brachyury-positive ring at the edge of the epiblast concomitant with lumenogenesis. Furthermore, our data suggest that anterior-posterior patterning in veiled chameleons may occur independently of Cerberus and Lefty. These processes result in chameleon embryos exhibiting human embryo-like morphology, despite 300 million years of evolutionary separation. Collectively, we show that pre-gastrulation epiblast lumenogenesis is not mammalian-specific but has also evolved in some non-avian reptiles.</w:t>
      </w:r>
    </w:p>
    <w:p>
      <w:pPr>
        <w:spacing w:before="120" w:after="120"/>
      </w:pPr>
      <w:r>
        <w:rPr>
          <w:sz w:val="18"/>
        </w:rPr>
        <w:t>——————————————————————————————————————————————————————————————————————</w:t>
      </w:r>
    </w:p>
    <w:p>
      <w:pPr>
        <w:spacing w:before="160" w:after="40" w:line="240" w:lineRule="auto"/>
      </w:pPr>
      <w:r>
        <w:rPr>
          <w:b/>
        </w:rPr>
        <w:t xml:space="preserve">[315] </w:t>
      </w:r>
      <w:hyperlink r:id="rId821">
        <w:r>
          <w:rPr>
            <w:color w:val="1155CC"/>
            <w:u w:val="single"/>
          </w:rPr>
          <w:t>超快激光增加巨大磁矩</w:t>
        </w:r>
      </w:hyperlink>
    </w:p>
    <w:p>
      <w:pPr>
        <w:spacing w:before="0" w:after="80"/>
      </w:pPr>
      <w:r>
        <w:rPr>
          <w:i/>
          <w:sz w:val="20"/>
        </w:rPr>
        <w:t>EN: Giant magnetic moment increase by ultrafast laser light</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现在已经确定，几个飞秒激光脉冲将在磁性材料中引起超快的力矩损失。在这里我们表明，相反的效果也可能发生：力矩超快增加。采用紧束缚和最先进的时间相关密度泛函理论，我们发现调谐到二维磁体 CrI3 和 CrSBr 中的多数自旋导带的激光会产生超快巨矩增加，在 CrI3 (2 μB) 的情况下高达 33%。支撑这一点的是自旋轨道诱导的价带自旋纹理，它与强场光脉冲相结合，促进涉及带内和带间激发的光学自旋翻转跃迁。我们的研究结果建立了一种通用机制，超快光脉冲可以增强或降低磁矩，这表明在飞秒时间内光控制磁性物质具有丰富的可能性。</w:t>
      </w:r>
    </w:p>
    <w:p>
      <w:pPr>
        <w:spacing w:before="0" w:after="200" w:lineRule="auto" w:line="276"/>
      </w:pPr>
      <w:r>
        <w:rPr>
          <w:b/>
        </w:rPr>
        <w:t xml:space="preserve">Abstract (EN): </w:t>
      </w:r>
      <w:r>
        <w:t>It is now well established that a few femtosecond laser pulse will induce an ultrafast loss of moment in a magnetic material. Here we show that the opposite effect can also occur: an ultrafast increase in moment. Employing both tight-binding and state-of-the-art time dependent density functional theory we find that laser light tuned to the majority spin conduction band in the 2d magnets CrI3 and CrSBr generates an ultrafast giant moment increase, of up to 33% in the case of CrI3 (2 μB). Underpinning this is spin-orbit induced valence band spin texture that, in combination with a strong field light pulse, facilitates an optical spin flip transition involving both intra- and inter-band excitation. Our findings, that establish a general mechanism by which ultrafast light pulses may enhance as well as decrease the magnetic moment, point towards rich possibilities for light control over magnetic matter at femtosecond times.</w:t>
      </w:r>
    </w:p>
    <w:p>
      <w:pPr>
        <w:spacing w:before="120" w:after="120"/>
      </w:pPr>
      <w:r>
        <w:rPr>
          <w:sz w:val="18"/>
        </w:rPr>
        <w:t>——————————————————————————————————————————————————————————————————————</w:t>
      </w:r>
    </w:p>
    <w:p>
      <w:pPr>
        <w:spacing w:before="160" w:after="40" w:line="240" w:lineRule="auto"/>
      </w:pPr>
      <w:r>
        <w:rPr>
          <w:b/>
        </w:rPr>
        <w:t xml:space="preserve">[316] </w:t>
      </w:r>
      <w:hyperlink r:id="rId822">
        <w:r>
          <w:rPr>
            <w:color w:val="1155CC"/>
            <w:u w:val="single"/>
          </w:rPr>
          <w:t>用于刚性微球磁激活的数据驱动凹面工程</w:t>
        </w:r>
      </w:hyperlink>
    </w:p>
    <w:p>
      <w:pPr>
        <w:spacing w:before="0" w:after="80"/>
      </w:pPr>
      <w:r>
        <w:rPr>
          <w:i/>
          <w:sz w:val="20"/>
        </w:rPr>
        <w:t>EN: Data-driven concavity engineering for magnetic activation in rigid microspheres</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凹面结构利用几何曲率来放大界面活性和局部场，为催化、光学和电磁应用带来了令人鼓舞的前景。然而，由于明显的各向异性表面能和晶体学限制，它们在刚性金属中的可控合成仍然具有挑战性。与传统的热力学驱动机制不同，我们提出了一种在液滴蒸发过程中广泛适用的应力操纵策略，以诱导和调节刚性微球的表面凹度。这种经过精心设计的凹面配置，在机器学习优化的指导下，能够增强电磁系统中的磁活动。重新编程的磁域协调局部能量重新分配和磁激活，同时有效减少空间占用。最佳的 FeCo 合金优于商业磁粉，高频磁响应提高了 28%，密度降低了 79.5%，同时保持高饱和磁化强度 (236.6 emu/g)。这种机制成功地将磁性与密度解耦，从而可以更好地设计轻质多功能材料。</w:t>
      </w:r>
    </w:p>
    <w:p>
      <w:pPr>
        <w:spacing w:before="0" w:after="200" w:lineRule="auto" w:line="276"/>
      </w:pPr>
      <w:r>
        <w:rPr>
          <w:b/>
        </w:rPr>
        <w:t xml:space="preserve">Abstract (EN): </w:t>
      </w:r>
      <w:r>
        <w:t>Concave architectures harness geometric curvature to amplify interfacial activity and local fields, presenting encouraging prospects for catalytic, optical, and electromagnetic applications. However, their controllable synthesis in rigid metals remains challenging due to pronounced anisotropic surface energy and crystallographic constraints. Departing from conventional thermodynamically driven mechanisms, we propose a broadly applicable stress manipulation strategy during droplet evaporation to induce and regulate surface concavity in rigid microspheres. Such deliberately engineered concave configuration, guided by machine learning optimization, enables enhanced magnetic activity in electromagnetic systems. Reprogrammed magnetic domains orchestrate localized energy redistribution and magnetic activation, meanwhile effectively reducing spatial occupancy. The optimal FeCo alloys outperformed commercial magnetic powders, demonstrating a 28% increase in high-frequency magnetic response and a 79.5% reduction in density, while maintaining high saturation magnetization (236.6 emu/g). This mechanism successfully decouples magnetism from density, allowing for better design of lightweight, multifunctional materials.</w:t>
      </w:r>
    </w:p>
    <w:p>
      <w:pPr>
        <w:spacing w:before="120" w:after="120"/>
      </w:pPr>
      <w:r>
        <w:rPr>
          <w:sz w:val="18"/>
        </w:rPr>
        <w:t>——————————————————————————————————————————————————————————————————————</w:t>
      </w:r>
    </w:p>
    <w:p>
      <w:pPr>
        <w:spacing w:before="160" w:after="40" w:line="240" w:lineRule="auto"/>
      </w:pPr>
      <w:r>
        <w:rPr>
          <w:b/>
        </w:rPr>
        <w:t xml:space="preserve">[317] </w:t>
      </w:r>
      <w:hyperlink r:id="rId823">
        <w:r>
          <w:rPr>
            <w:color w:val="1155CC"/>
            <w:u w:val="single"/>
          </w:rPr>
          <w:t>用于生物基可逆手性光学器件和传感器的单向纤维素纳米晶体水凝胶</w:t>
        </w:r>
      </w:hyperlink>
    </w:p>
    <w:p>
      <w:pPr>
        <w:spacing w:before="0" w:after="80"/>
      </w:pPr>
      <w:r>
        <w:rPr>
          <w:i/>
          <w:sz w:val="20"/>
        </w:rPr>
        <w:t>EN: Unidirectional cellulose nanocrystal hydrogel for bio-based invertible chiral optics and sensors</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在可见光区域实现可逆手性光学特性对于开发应用于显示器和传感器的光学系统至关重要。使用基于纤维素纳米晶体（CNC）的材料实现这一点很困难，因为它们的手性向列结构本质上固定在左手配置中。在这里，我们证明，通过在手性向列型 CNC 薄膜上引入单向（或单域向列型）CNC 水凝胶作为延迟层，CNC 薄膜的自然左手手性反射可以转换为右手反射。此外，只需施加压力即可将右手反射切换回左手状态。这些机械响应可逆手性光学现象，以及通过单向和手性向列 CNC 结构的协作来操纵光，为开发生物基可逆手性光学和传感器开辟了新的机会。</w:t>
      </w:r>
    </w:p>
    <w:p>
      <w:pPr>
        <w:spacing w:before="0" w:after="200" w:lineRule="auto" w:line="276"/>
      </w:pPr>
      <w:r>
        <w:rPr>
          <w:b/>
        </w:rPr>
        <w:t xml:space="preserve">Abstract (EN): </w:t>
      </w:r>
      <w:r>
        <w:t>Realizing invertible chiral optical properties in the visible region is crucial for developing optical systems with applications in displays and sensors. Achieving this with cellulose nanocrystal (CNC)-based materials is difficult because their chiral nematic structures are inherently fixed in a left-handed configuration. Here, we demonstrate that by introducing a unidirectional (or monodomain nematic-like) CNC hydrogel as a retardation layer onto a chiral nematic CNC film, the naturally left-handed chiral reflections of CNC films can be converted to right-handed reflections. Furthermore, the right-handed reflection can be switched back to their left-handed state simply by applying pressure. These mechano-responsive invertible chiral optical phenomena, along with the manipulation of light through the cooperation of unidirectional and chiral nematic CNC structures, opens up new opportunities for developing bio-based invertible chiral optics and sensors.</w:t>
      </w:r>
    </w:p>
    <w:p>
      <w:pPr>
        <w:spacing w:before="120" w:after="120"/>
      </w:pPr>
      <w:r>
        <w:rPr>
          <w:sz w:val="18"/>
        </w:rPr>
        <w:t>——————————————————————————————————————————————————————————————————————</w:t>
      </w:r>
    </w:p>
    <w:p>
      <w:pPr>
        <w:spacing w:before="160" w:after="40" w:line="240" w:lineRule="auto"/>
      </w:pPr>
      <w:r>
        <w:rPr>
          <w:b/>
        </w:rPr>
        <w:t xml:space="preserve">[318] </w:t>
      </w:r>
      <w:hyperlink r:id="rId824">
        <w:r>
          <w:rPr>
            <w:color w:val="1155CC"/>
            <w:u w:val="single"/>
          </w:rPr>
          <w:t>范德瓦尔斯 CuInP2S6 中铁基驱动的光铁磁滞</w:t>
        </w:r>
      </w:hyperlink>
    </w:p>
    <w:p>
      <w:pPr>
        <w:spacing w:before="0" w:after="80"/>
      </w:pPr>
      <w:r>
        <w:rPr>
          <w:i/>
          <w:sz w:val="20"/>
        </w:rPr>
        <w:t>EN: Ferron-driven photoferroic hysteresis in van der Waals CuInP2S6</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用光控制铁电极化有望成为超快光电子学的前沿。然而，瞬时光激发产生持久光电流保留的基本机制仍然难以捉摸。在这里，我们展示了介导范德华铁电 CuInP2S6 中光铁保留的准粒子态。我们将铁离子（携带偶极子的晶格振动的集体激发）识别为光学印记偏振态的载体。 2.16 THz 的窄带谐振铁离子振荡表现出蝴蝶形磁滞，反映了光电流磁滞响应，将铁离子动力学与室温下偏振相关的光电流保留直接联系起来。带隙之上的光激发通过相干晶格运动的位移激发来驱动铁离子形成，从而实现铁电域的载流子介导的重构，而亚带隙激发则使极化保持不变。分析计算定量地捕获了对称性相关的光电流的产生以及铁离子介导的磁滞的结果。这些结果确立了铁电子学，即通过铁铁准粒子操纵铁电序，作为低维量子材料中光控偏振和光电流保留的独特范例。</w:t>
      </w:r>
    </w:p>
    <w:p>
      <w:pPr>
        <w:spacing w:before="0" w:after="200" w:lineRule="auto" w:line="276"/>
      </w:pPr>
      <w:r>
        <w:rPr>
          <w:b/>
        </w:rPr>
        <w:t xml:space="preserve">Abstract (EN): </w:t>
      </w:r>
      <w:r>
        <w:t>Controlling ferroelectric polarization with light promises a frontier for ultrafast optoelectronics. Yet the fundamental mechanism by which transient photoexcitation produces persistent photocurrent retention has remained elusive. Here we demonstrate a quasiparticle state that mediates photoferroic retention in the van der Waals ferroelectric CuInP2S6. We identify ferrons, collective excitations of dipole-carrying lattice vibrations, as carriers of optically imprinted polarization states. Narrowband resonant ferron oscillations at 2.16 THz exhibit a butterfly-shaped hysteresis that mirrors the photocurrent hysteresis response, directly linking ferron dynamics to polarization-dependent photocurrent retention at room temperature. Above-bandgap photoexcitation drives ferron formation through displacive excitation of coherent lattice motion, enabling carrier-mediated reconfiguration of ferroelectric domains, while sub-bandgap excitation leaves the polarization unaltered. The analytical calculations quantitatively capture the symmetry-dependent photocurrent generation and the consequence of the ferron-mediated hysteresis. These results establish ferronics, the manipulation of ferroelectric order through ferron quasiparticles, as a distinct paradigm for optically controlled polarization and photocurrent retention in low-dimensional quantum materials.</w:t>
      </w:r>
    </w:p>
    <w:p>
      <w:pPr>
        <w:spacing w:before="120" w:after="120"/>
      </w:pPr>
      <w:r>
        <w:rPr>
          <w:sz w:val="18"/>
        </w:rPr>
        <w:t>——————————————————————————————————————————————————————————————————————</w:t>
      </w:r>
    </w:p>
    <w:p>
      <w:pPr>
        <w:spacing w:before="160" w:after="40" w:line="240" w:lineRule="auto"/>
      </w:pPr>
      <w:r>
        <w:rPr>
          <w:b/>
        </w:rPr>
        <w:t xml:space="preserve">[319] </w:t>
      </w:r>
      <w:hyperlink r:id="rId825">
        <w:r>
          <w:rPr>
            <w:color w:val="1155CC"/>
            <w:u w:val="single"/>
          </w:rPr>
          <w:t>用于可扩展多任务片上光学神经网络的光子专家混合</w:t>
        </w:r>
      </w:hyperlink>
    </w:p>
    <w:p>
      <w:pPr>
        <w:spacing w:before="0" w:after="80"/>
      </w:pPr>
      <w:r>
        <w:rPr>
          <w:i/>
          <w:sz w:val="20"/>
        </w:rPr>
        <w:t>EN: Photonic Mixture-of-Experts for scalable multi-task on-chip optical neural networks</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光子计算为人工智能（AI）提供了一个节能、高带宽的平台，但目前面临着由于深度相关设计、线性光学结构和固有光学损耗以及多任务处理的高硬件和重新配置成本而产生的可扩展性瓶颈。在这里，我们提出了一种扩展范式，利用光子学固有的并行性，通过扩展网络宽度而不是深度来规避这些限制。我们实现了可扩展的光子专家混合（PMoE）架构，其中并行光子核心充当专家网络。通过动态地将输入路由给这些专家，PMoE 可以有效地执行多任务工作负载，而无需改变物理光学权重。我们制造了一个 PMoE 芯片，集成了三个基于协作衍射的专家网络，在 0.067 mm2 的紧凑内在计算核心占用空间内具有 18 个并行内核。实验上，PMoE芯片实现了多域图像分类，平均准确率为97.1%。在提供进一步的可扩展性的同时，这种方法优于传统光网络，并将数字参数开销减少了 67%。我们的工作强调了下一代大规模光子 AI 处理器的 PMoE 架构的可扩展性和效率。</w:t>
      </w:r>
    </w:p>
    <w:p>
      <w:pPr>
        <w:spacing w:before="0" w:after="200" w:lineRule="auto" w:line="276"/>
      </w:pPr>
      <w:r>
        <w:rPr>
          <w:b/>
        </w:rPr>
        <w:t xml:space="preserve">Abstract (EN): </w:t>
      </w:r>
      <w:r>
        <w:t>Photonic computing offers an energy-efficient, high-bandwidth platform for artificial intelligence (AI) but currently faces scalability bottlenecks stemming from depth-dependent designs, linear optical structures, and intrinsic optical losses, along with high hardware and reconfiguration costs for multi-task processing. Here, we present a scaling paradigm that circumvents these limitations by expanding network width rather than depth, leveraging the intrinsic parallelism of photonics. We implement a scalable Photonic Mixture-of-Experts (PMoE) architecture, where parallel photonic cores function as expert networks. By dynamically routing inputs to these experts, the PMoE efficiently executes multi-task workloads without altering the physical optical weights. We fabricated a PMoE chip integrating three collaborative diffraction-based expert networks, featuring 18 parallel kernels within a compact intrinsic computational-core footprint of 0.067 mm2. Experimentally, the PMoE chip achieves multi-domain image classification with an average accuracy of 97.1%. While offering further scalability, this approach outperforms conventional optical networks and reduces digital parameter overhead by 67%. Our work underscores the scalability and efficiency of the PMoE architecture for next-generation large-scale photonic AI processors.</w:t>
      </w:r>
    </w:p>
    <w:p>
      <w:pPr>
        <w:spacing w:before="120" w:after="120"/>
      </w:pPr>
      <w:r>
        <w:rPr>
          <w:sz w:val="18"/>
        </w:rPr>
        <w:t>——————————————————————————————————————————————————————————————————————</w:t>
      </w:r>
    </w:p>
    <w:p>
      <w:pPr>
        <w:spacing w:before="160" w:after="40" w:line="240" w:lineRule="auto"/>
      </w:pPr>
      <w:r>
        <w:rPr>
          <w:b/>
        </w:rPr>
        <w:t xml:space="preserve">[320] </w:t>
      </w:r>
      <w:hyperlink r:id="rId826">
        <w:r>
          <w:rPr>
            <w:color w:val="1155CC"/>
            <w:u w:val="single"/>
          </w:rPr>
          <w:t>通过可重构集群纳米探针进行体内动态热点增强拉曼光谱</w:t>
        </w:r>
      </w:hyperlink>
    </w:p>
    <w:p>
      <w:pPr>
        <w:spacing w:before="0" w:after="80"/>
      </w:pPr>
      <w:r>
        <w:rPr>
          <w:i/>
          <w:sz w:val="20"/>
        </w:rPr>
        <w:t>EN: In vivo dynamic hotspot-enhanced Raman spectroscopy via reconfigurable swarming nanoprobes</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表面增强拉曼光谱（SERS）提供了卓越的灵敏度，但在生命系统中面临着关键的权衡：刚性基质缺乏生物适应性，而胶体纳米探针的信号再现性较差。在此，我们提出了一种使用磁引导蜂群纳米探针的生物适应性 SERS 平台。这些探针集成了磁芯、等离子体金/银层和生物相容性二氧化硅涂层，能够在磁场下可编程组装成具有粒子间间隙依赖热点的链状纳米结构，然后协调重新配置成动态稳定的群。多物理场模拟表明，循环组装-拆卸会产生瞬态电磁热点，同时诱导对流以主动吸收分析物。这种双重机制实现了超过 2.9×107 的可重复增强因子，比胶体系统高一个数量级。在体内，兔模型中部署的集群纳米探针在血管内检测过程中显示出超过 10.3 倍的拉曼信号放大。通过利用活性物质物理学来协同纳米级传感，这项工作为体内分子诊断建立了新的范例。</w:t>
      </w:r>
    </w:p>
    <w:p>
      <w:pPr>
        <w:spacing w:before="0" w:after="200" w:lineRule="auto" w:line="276"/>
      </w:pPr>
      <w:r>
        <w:rPr>
          <w:b/>
        </w:rPr>
        <w:t xml:space="preserve">Abstract (EN): </w:t>
      </w:r>
      <w:r>
        <w:t>Surface-enhanced Raman spectroscopy (SERS) offers exceptional sensitivity but faces a critical trade-off in living systems: rigid substrates lack biological adaptability, while colloidal nanoprobes suffer from poor signal reproducibility. Herein, we present a bioadaptive SERS platform using magnetically guided swarming nanoprobes. These probes integrate a magnetic core, plasmonic gold/silver layers, and a biocompatible silica coating, enabling programmable assembly under magnetic fields into chain-like nanostructures with interparticle gap-dependent hotspots, followed by coordinated reconfiguration into dynamically stable swarms. Multiphysics simulations reveal that cyclic assembly-disassembly generates transient electromagnetic hotspots while inducing convective flows to actively recruit analytes. This dual mechanism achieves reproducible enhancement factors exceeding 2.9×107, an order of magnitude higher than colloidal systems. In vivo, swarming nanoprobes deployed in rabbit models demonstrate over 10.3-fold Raman signal amplification during intravascular detection. By leveraging active matter physics to synergize nanoscale sensing, this work establishes a new paradigm for in vivo molecular diagnostics.</w:t>
      </w:r>
    </w:p>
    <w:p>
      <w:pPr>
        <w:spacing w:before="120" w:after="120"/>
      </w:pPr>
      <w:r>
        <w:rPr>
          <w:sz w:val="18"/>
        </w:rPr>
        <w:t>——————————————————————————————————————————————————————————————————————</w:t>
      </w:r>
    </w:p>
    <w:p>
      <w:pPr>
        <w:spacing w:before="160" w:after="40" w:line="240" w:lineRule="auto"/>
      </w:pPr>
      <w:r>
        <w:rPr>
          <w:b/>
        </w:rPr>
        <w:t xml:space="preserve">[321] </w:t>
      </w:r>
      <w:hyperlink r:id="rId827">
        <w:r>
          <w:rPr>
            <w:color w:val="1155CC"/>
            <w:u w:val="single"/>
          </w:rPr>
          <w:t>基于复用单腔双梳激光器的闭环高精度双光子光刻</w:t>
        </w:r>
      </w:hyperlink>
    </w:p>
    <w:p>
      <w:pPr>
        <w:spacing w:before="0" w:after="80"/>
      </w:pPr>
      <w:r>
        <w:rPr>
          <w:i/>
          <w:sz w:val="20"/>
        </w:rPr>
        <w:t>EN: Closed-loop high-precision two-photon lithography based on a multiplexed single-cavity dual-comb laser</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双光子光刻技术可制造分辨率为100纳米的三维结构；然而，其工业应用因再现性差和需要复杂的手动调整过程而受到阻碍。虽然制造后计量（例如扫描电子显微镜）可以表征最终形态，但它无法防止制造错误。在这里，我们展示了一个由单腔双梳激光器驱动的双光子光刻平台，该平台通过实时校正解决了这一限制。在制造过程中，一个激光梳在频率转换后执行双光子打印，而双梳系统同时以 360 赫兹在整个工作区域执行原位相位测量。通过将相位分布输入动态模型，平台自动调节打印参数以纠正高度误差。我们通过连续 14 小时的制造工艺展示了这种能力，以制造绝对误差小于 100 nm 的不同毫米级衍射光学元件。由此产生的器件具有卓越的信噪比、工艺可重复性和聚焦质量。这种闭环双梳平台为高精度、高产量的纳米制造提供了经济高效、可扩展的解决方案。</w:t>
      </w:r>
    </w:p>
    <w:p>
      <w:pPr>
        <w:spacing w:before="0" w:after="200" w:lineRule="auto" w:line="276"/>
      </w:pPr>
      <w:r>
        <w:rPr>
          <w:b/>
        </w:rPr>
        <w:t xml:space="preserve">Abstract (EN): </w:t>
      </w:r>
      <w:r>
        <w:t>Two-photon lithography fabricates three-dimensional structures with 100-nanometer resolution; yet its industrial adoption is hindered by poor reproducibility and the need for complex manual tuning processes. While post-fabrication metrology, such as scanning electron microscopy, characterizes final morphologies, it cannot prevent manufacturing errors. Here we show a two-photon lithography platform powered by a single-cavity dual-comb laser that addresses this limitation through real-time correction. During fabrication, one laser comb, after frequency conversion, performs two-photon printing, while the dual-comb system simultaneously performs in-situ phase measurements across the full work field at 360 hertz. By feeding the phase profiles into a dynamic model, the platform automatically modulates printing parameters to correct height errors. We demonstrate this capability through a continuous 14-hour fabrication process to manufacture different millimeter-scale diffractive optical elements with less than 100-nm absolute errors. The resulting devices exhibit superior signal-to-noise ratios, process repeatability, and focus quality. This closed-loop dual-comb platform offers a cost-effective, scalable solution for high-precision, high-yield nanomanufacturing.</w:t>
      </w:r>
    </w:p>
    <w:p>
      <w:pPr>
        <w:spacing w:before="120" w:after="120"/>
      </w:pPr>
      <w:r>
        <w:rPr>
          <w:sz w:val="18"/>
        </w:rPr>
        <w:t>——————————————————————————————————————————————————————————————————————</w:t>
      </w:r>
    </w:p>
    <w:p>
      <w:pPr>
        <w:spacing w:before="160" w:after="40" w:line="240" w:lineRule="auto"/>
      </w:pPr>
      <w:r>
        <w:rPr>
          <w:b/>
        </w:rPr>
        <w:t xml:space="preserve">[322] </w:t>
      </w:r>
      <w:hyperlink r:id="rId828">
        <w:r>
          <w:rPr>
            <w:color w:val="1155CC"/>
            <w:u w:val="single"/>
          </w:rPr>
          <w:t>通过单分子追踪研究载有带电纳米粒子的水/油界面的扩散老化</w:t>
        </w:r>
      </w:hyperlink>
    </w:p>
    <w:p>
      <w:pPr>
        <w:spacing w:before="0" w:after="80"/>
      </w:pPr>
      <w:r>
        <w:rPr>
          <w:i/>
          <w:sz w:val="20"/>
        </w:rPr>
        <w:t>EN: Diffusional aging at water/oil interfaces laden with charged nanoparticles studied by single-molecule tracking</w:t>
      </w:r>
    </w:p>
    <w:p>
      <w:pPr>
        <w:spacing w:before="0" w:after="120"/>
      </w:pPr>
      <w:r>
        <w:rPr>
          <w:b/>
        </w:rPr>
        <w:t xml:space="preserve">Source: </w:t>
      </w:r>
      <w:r>
        <w:t>Physical sciences : Nature Communications subject feeds</w:t>
      </w:r>
      <w:r>
        <w:t xml:space="preserve">    </w:t>
      </w:r>
      <w:r>
        <w:rPr>
          <w:b/>
        </w:rPr>
        <w:t xml:space="preserve">Pub date: </w:t>
      </w:r>
      <w:r>
        <w:t>2026-06-03 00:00:00+00:00</w:t>
      </w:r>
    </w:p>
    <w:p>
      <w:pPr>
        <w:spacing w:before="0" w:after="120"/>
      </w:pPr>
      <w:r>
        <w:rPr>
          <w:b/>
        </w:rPr>
        <w:t xml:space="preserve">Notes: </w:t>
      </w:r>
      <w:r>
        <w:t>abstract_source=nature_html</w:t>
      </w:r>
    </w:p>
    <w:p>
      <w:pPr>
        <w:spacing w:before="0" w:after="80" w:lineRule="auto" w:line="276"/>
      </w:pPr>
      <w:r>
        <w:rPr>
          <w:b/>
        </w:rPr>
        <w:t xml:space="preserve">摘要（ZH）: </w:t>
      </w:r>
      <w:r>
        <w:t>带电纳米颗粒在水-油界面上的吸附构成了一种基本现象，是从乳液稳定到复杂的泡沫制造等关键技术的基础。然而，人们对这些纳米粒子的扩散行为仍然知之甚少。在这里，我们利用单分子追踪实验表明，同电荷纳米粒子在水-油界面的扩散不仅变得异常，而且在界面覆盖处表现出与玻璃态无关的扩散老化现象。我们进一步开发了一个理论框架，可以定量再现所有实验观察结果。分子动力学模拟揭示了老化动力学出现的吸引力和排斥力共存的必要性。吸引力和排斥力之间的相互作用导致纳米颗粒在可观察的时间尺度上发生粘附，这表现为老化动力学。扩散老化的发现表明，界面演化持续超出吸附平衡，这表明在涉及充满带电纳米粒子的水-油界面的应用中必须考虑这种效应。</w:t>
      </w:r>
    </w:p>
    <w:p>
      <w:pPr>
        <w:spacing w:before="0" w:after="200" w:lineRule="auto" w:line="276"/>
      </w:pPr>
      <w:r>
        <w:rPr>
          <w:b/>
        </w:rPr>
        <w:t xml:space="preserve">Abstract (EN): </w:t>
      </w:r>
      <w:r>
        <w:t>The adsorption of charged nanoparticles at water-oil interfaces constitutes a fundamental phenomenon, underlying pivotal technologies spanning from emulsion stabilization to the sophisticated fabrication of foams. However, the diffusional behavior of these nanoparticles remains poorly understood. Here, we use single-molecule tracking experiments to show that the diffusion of like-charged nanoparticles at the water-oil interface not only becomes anomalous but also displays a diffusional aging phenomenon at the interfacial coverage that is not associated with the glassy state. We further develop a theoretical framework that quantitatively reproduces all experimental observations. Molecular dynamics simulations reveal the necessity of the coexistence of attraction and repulsion for the emergence of aging dynamics. The interplay between attraction and repulsion leads to nanoparticle adhesion taking place over observable timescales, which is manifested as aging dynamics. The discovery of diffusional aging demonstrates that interfacial evolution persists beyond adsorption equilibrium, suggesting that this effect must be accounted for in applications involving water-oil interfaces laden with charged nanoparticles.</w:t>
      </w:r>
    </w:p>
    <w:p>
      <w:pPr>
        <w:spacing w:before="120" w:after="120"/>
      </w:pPr>
      <w:r>
        <w:rPr>
          <w:sz w:val="18"/>
        </w:rPr>
        <w:t>——————————————————————————————————————————————————————————————————————</w:t>
      </w:r>
    </w:p>
    <w:p>
      <w:pPr>
        <w:spacing w:before="160" w:after="40" w:line="240" w:lineRule="auto"/>
      </w:pPr>
      <w:r>
        <w:rPr>
          <w:b/>
        </w:rPr>
        <w:t xml:space="preserve">[323] </w:t>
      </w:r>
      <w:hyperlink r:id="rId829">
        <w:r>
          <w:rPr>
            <w:color w:val="1155CC"/>
            <w:u w:val="single"/>
          </w:rPr>
          <w:t>调节高速率离子存储的全共轭共价有机框架中的电子微环境</w:t>
        </w:r>
      </w:hyperlink>
    </w:p>
    <w:p>
      <w:pPr>
        <w:spacing w:before="0" w:after="80"/>
      </w:pPr>
      <w:r>
        <w:rPr>
          <w:i/>
          <w:sz w:val="20"/>
        </w:rPr>
        <w:t>EN: Regulating Electronic Microenvironments in Fully‐Conjugated Covalent Organic Framework for High‐Rate Ion Storage</w:t>
      </w:r>
    </w:p>
    <w:p>
      <w:pPr>
        <w:spacing w:before="0" w:after="120"/>
      </w:pPr>
      <w:r>
        <w:rPr>
          <w:b/>
        </w:rPr>
        <w:t xml:space="preserve">Source: </w:t>
      </w:r>
      <w:r>
        <w:t>Wiley: Advanced Energy Materials: Table of Contents</w:t>
      </w:r>
      <w:r>
        <w:t xml:space="preserve">    </w:t>
      </w:r>
      <w:r>
        <w:rPr>
          <w:b/>
        </w:rPr>
        <w:t xml:space="preserve">Pub date: </w:t>
      </w:r>
      <w:r>
        <w:t>2026-06-03 05:46:21+00:00</w:t>
      </w:r>
      <w:r>
        <w:t xml:space="preserve">    </w:t>
      </w:r>
      <w:r>
        <w:rPr>
          <w:b/>
        </w:rPr>
        <w:t xml:space="preserve">DOI: </w:t>
      </w:r>
      <w:hyperlink r:id="rId830">
        <w:r>
          <w:rPr>
            <w:color w:val="1155CC"/>
            <w:u w:val="single"/>
          </w:rPr>
          <w:t>10.1002/aenm.71117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共价有机框架（COF）因其结构可设计性、明确的孔隙率和可定制的离子存储能力而在可充电锂离子电池（LIB）中引起了广泛关注。然而，固有的较差的电子传输以及缓慢的离子扩散动力学，特别是在高电流密度下，限制了电化学反应动力学，从而阻碍了活性位点的充分利用。在这里，提出了一种通过化学结构演化的电子微环境调节策略，以构建具有局域偶极极化的新型全共轭COF（BTTP-COF）。这种材料设计增强了电子传输驱动力，从而有助于提高电子电导率，并且还基于全共轭框架降低了离子扩散阻力。得益于增强的偶极极化，它为电荷分离和电子传输产生了额外的内置驱动力，BTTP-COF 实现了更高的活性位点可用性和加速的反应速率。值得注意的是，BTTP-COF 显示出 297 mAh g 的良好比容量</w:t>
      </w:r>
      <w:r>
        <w:t xml:space="preserve"> </w:t>
      </w:r>
      <w:r>
        <w:t>−1</w:t>
      </w:r>
      <w:r>
        <w:t xml:space="preserve"> </w:t>
      </w:r>
      <w:r>
        <w:t>（658 瓦时千克</w:t>
      </w:r>
      <w:r>
        <w:t xml:space="preserve"> </w:t>
      </w:r>
      <w:r>
        <w:t>−1</w:t>
      </w:r>
      <w:r>
        <w:t xml:space="preserve"> </w:t>
      </w:r>
      <w:r>
        <w:t>) 在 0.1 A g</w:t>
      </w:r>
      <w:r>
        <w:t xml:space="preserve"> </w:t>
      </w:r>
      <w:r>
        <w:t>−1</w:t>
      </w:r>
      <w:r>
        <w:t xml:space="preserve"> </w:t>
      </w:r>
      <w:r>
        <w:t>，以及 20 A g 下的出色日历寿命</w:t>
      </w:r>
      <w:r>
        <w:t xml:space="preserve"> </w:t>
      </w:r>
      <w:r>
        <w:t>−1</w:t>
      </w:r>
      <w:r>
        <w:t xml:space="preserve"> </w:t>
      </w:r>
      <w:r>
        <w:t>每个周期（&gt;10 000 个周期）的超低容量衰减率为 0.0009%。这项工作为构建高速率的每一个数据提供了一个有效的例子。</w:t>
      </w:r>
    </w:p>
    <w:p>
      <w:pPr>
        <w:spacing w:before="0" w:after="200" w:lineRule="auto" w:line="276"/>
      </w:pPr>
      <w:r>
        <w:rPr>
          <w:b/>
        </w:rPr>
        <w:t xml:space="preserve">Abstract (EN): </w:t>
      </w:r>
      <w:r>
        <w:t>Covalent organic frameworks (COFs) have attracted extensive attention in rechargeable lithium‐ion batteries (LIBs) due to their structural designability, well‐defined porosity, and customizable ion storage capabilities. However, the inherently poor electron transport, along with sluggish ion‐diffusion kinetics, particularly at high current density, limits the electrochemical reaction kinetics, thereby impeding the full active sites utilization. Here, an electronic microenvironment regulation strategy through chemical structural evolution is proposed to construct a novel fully‐conjugated COF (BTTP‐COF) with localized dipole polarization. This material design boosts the electron transport driving force, thereby contributing to higher electron conductivity, and also reduces ion diffusion resistance based on the fully‐conjugated framework. Benefiting from enhanced dipole polarization, which generates an additional built‐in driving force for charge separation and electron transport, BTTP‐COF achieves a higher active site availability with an accelerated reaction rate. Notably, BTTP‐COF displays a favorable specific capacity of 297 mAh g</w:t>
      </w:r>
      <w:r>
        <w:t xml:space="preserve"> </w:t>
      </w:r>
      <w:r>
        <w:t>−1</w:t>
      </w:r>
      <w:r>
        <w:t xml:space="preserve"> </w:t>
      </w:r>
      <w:r>
        <w:t>(658 Wh kg</w:t>
      </w:r>
      <w:r>
        <w:t xml:space="preserve"> </w:t>
      </w:r>
      <w:r>
        <w:t>−1</w:t>
      </w:r>
      <w:r>
        <w:t xml:space="preserve"> </w:t>
      </w:r>
      <w:r>
        <w:t>) at 0.1 A g</w:t>
      </w:r>
      <w:r>
        <w:t xml:space="preserve"> </w:t>
      </w:r>
      <w:r>
        <w:t>−1</w:t>
      </w:r>
      <w:r>
        <w:t xml:space="preserve"> </w:t>
      </w:r>
      <w:r>
        <w:t>, together with exceptional calendar lifespan at 20 A g</w:t>
      </w:r>
      <w:r>
        <w:t xml:space="preserve"> </w:t>
      </w:r>
      <w:r>
        <w:t>−1</w:t>
      </w:r>
      <w:r>
        <w:t xml:space="preserve"> </w:t>
      </w:r>
      <w:r>
        <w:t>with an ultralow capacity fading rate of 0.0009% per cycle (&amp;gt;10 000 cycles). This work provides an effective example for constructing high‐rate performance COF materials by synchronously optimizing electron transport and ion diffusion through electronic microenvironment regulation.</w:t>
      </w:r>
    </w:p>
    <w:p>
      <w:pPr>
        <w:spacing w:before="120" w:after="120"/>
      </w:pPr>
      <w:r>
        <w:rPr>
          <w:sz w:val="18"/>
        </w:rPr>
        <w:t>——————————————————————————————————————————————————————————————————————</w:t>
      </w:r>
    </w:p>
    <w:p>
      <w:pPr>
        <w:spacing w:before="160" w:after="40" w:line="240" w:lineRule="auto"/>
      </w:pPr>
      <w:r>
        <w:rPr>
          <w:b/>
        </w:rPr>
        <w:t xml:space="preserve">[324] </w:t>
      </w:r>
      <w:hyperlink r:id="rId831">
        <w:r>
          <w:rPr>
            <w:color w:val="1155CC"/>
            <w:u w:val="single"/>
          </w:rPr>
          <w:t>克服混合加工宽带隙钙钛矿太阳能电池的电压不足</w:t>
        </w:r>
      </w:hyperlink>
    </w:p>
    <w:p>
      <w:pPr>
        <w:spacing w:before="0" w:after="80"/>
      </w:pPr>
      <w:r>
        <w:rPr>
          <w:i/>
          <w:sz w:val="20"/>
        </w:rPr>
        <w:t>EN: Overcoming the Voltage Deficit in Hybrid‐Processed Wide‐Bandgap Perovskite Solar Cells</w:t>
      </w:r>
    </w:p>
    <w:p>
      <w:pPr>
        <w:spacing w:before="0" w:after="120"/>
      </w:pPr>
      <w:r>
        <w:rPr>
          <w:b/>
        </w:rPr>
        <w:t xml:space="preserve">Source: </w:t>
      </w:r>
      <w:r>
        <w:t>Wiley: Advanced Energy Materials: Table of Contents</w:t>
      </w:r>
      <w:r>
        <w:t xml:space="preserve">    </w:t>
      </w:r>
      <w:r>
        <w:rPr>
          <w:b/>
        </w:rPr>
        <w:t xml:space="preserve">Pub date: </w:t>
      </w:r>
      <w:r>
        <w:t>2026-06-03 05:46:58+00:00</w:t>
      </w:r>
      <w:r>
        <w:t xml:space="preserve">    </w:t>
      </w:r>
      <w:r>
        <w:rPr>
          <w:b/>
        </w:rPr>
        <w:t xml:space="preserve">DOI: </w:t>
      </w:r>
      <w:hyperlink r:id="rId832">
        <w:r>
          <w:rPr>
            <w:color w:val="1155CC"/>
            <w:u w:val="single"/>
          </w:rPr>
          <w:t>10.1002/aenm.71123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混合钙钛矿制造路线为可扩展和一致的光伏技术提供了一条有前途的途径，特别是对于钙钛矿/硅串联集成。然而，混合加工的宽带隙（WBG）钙钛矿一直遭受明显的开路电压（V</w:t>
      </w:r>
      <w:r>
        <w:t xml:space="preserve"> </w:t>
      </w:r>
      <w:r>
        <w:t>奥克</w:t>
      </w:r>
      <w:r>
        <w:t xml:space="preserve"> </w:t>
      </w:r>
      <w:r>
        <w:t>）与解决方案处理的对应物相比存在缺陷，限制了它们的实际相关性。在这里，我们确定了该系统中电压不足的两个耦合根源：扩散限制转换（导致不完全且垂直不均匀的结晶）和界面非辐射复合。引入甲基氯化铵（MACl）来调节扩散驱动的转化并提高垂直卤化物的均匀性，而双面钝化则减少复合损失并优化两个电荷传输界面的能量排列。结果，混合加工的WBG钙钛矿太阳能电池（PCS）达到了创纪录的V</w:t>
      </w:r>
      <w:r>
        <w:t xml:space="preserve"> </w:t>
      </w:r>
      <w:r>
        <w:t>奥克</w:t>
      </w:r>
      <w:r>
        <w:t xml:space="preserve"> </w:t>
      </w:r>
      <w:r>
        <w:t>1.269 V，接近 1.7 eV 带隙辐射极限的 90%，PCE 为 21%，是所有沉积路线上具有相同带隙的 p–i–n 器件中报道的最高值。在低注入条件下和 1 cm 内，性能保持良好</w:t>
      </w:r>
      <w:r>
        <w:rPr>
          <w:vertAlign w:val="subscript"/>
        </w:rPr>
        <w:t>2</w:t>
      </w:r>
      <w:r>
        <w:t>大面积设备，证明了该策略的稳健性和可扩展性。这些结果表明，混合过程中长期存在的电压不足并不是固有的，而是可以通过共同克服</w:t>
      </w:r>
    </w:p>
    <w:p>
      <w:pPr>
        <w:spacing w:before="0" w:after="200" w:lineRule="auto" w:line="276"/>
      </w:pPr>
      <w:r>
        <w:rPr>
          <w:b/>
        </w:rPr>
        <w:t xml:space="preserve">Abstract (EN): </w:t>
      </w:r>
      <w:r>
        <w:t>Hybrid perovskite fabrication routes offer a promising pathway toward scalable and conformable photovoltaic technologies, particularly for perovskite/Si tandem integration. However, hybrid‐processed wide‐bandgap (WBG) perovskites have consistently suffered from a pronounced open‐circuit voltage (V</w:t>
      </w:r>
      <w:r>
        <w:t xml:space="preserve"> </w:t>
      </w:r>
      <w:r>
        <w:t>oc</w:t>
      </w:r>
      <w:r>
        <w:t xml:space="preserve"> </w:t>
      </w:r>
      <w:r>
        <w:t>) deficit compared with solution‐processed counterparts, limiting their practical relevance. Here, we identify two coupled origins of the voltage deficit in this system: diffusion‐limited conversion, which causes incomplete and vertically inhomogeneous crystallization, and interfacial non‐radiative recombination. Methylammonium chloride (MACl) is introduced to regulate the diffusion‐driven conversion and improve vertical halide homogeneity, while bifacial passivation reduces recombination losses and optimizes energy alignment at both charge‐transport interfaces. As a result, hybrid‐processed WBG perovskite solar cells (PCSs) achieve a record V</w:t>
      </w:r>
      <w:r>
        <w:t xml:space="preserve"> </w:t>
      </w:r>
      <w:r>
        <w:t>oc</w:t>
      </w:r>
      <w:r>
        <w:t xml:space="preserve"> </w:t>
      </w:r>
      <w:r>
        <w:t>of 1.269 V, approaching 90% of the radiative limit for a 1.7 eV bandgap, and a PCE of 21%, the highest reported among p–i–n devices with the same bandgap across all deposition routes. The performance is well maintained under low‐injection conditions and in 1 cm</w:t>
      </w:r>
      <w:r>
        <w:rPr>
          <w:vertAlign w:val="subscript"/>
        </w:rPr>
        <w:t>2</w:t>
      </w:r>
      <w:r>
        <w:t>large‐area devices, demonstrating the robustness and scalability of this strategy. These results show that the long‐standing voltage deficit in the hybrid process is not intrinsic, but can be overcome through coupled control of crystallization and interfaces, establishing a viable pathway toward high‐efficiency tandem photovoltaics.</w:t>
      </w:r>
    </w:p>
    <w:p>
      <w:pPr>
        <w:spacing w:before="120" w:after="120"/>
      </w:pPr>
      <w:r>
        <w:rPr>
          <w:sz w:val="18"/>
        </w:rPr>
        <w:t>——————————————————————————————————————————————————————————————————————</w:t>
      </w:r>
    </w:p>
    <w:p>
      <w:pPr>
        <w:spacing w:before="160" w:after="40" w:line="240" w:lineRule="auto"/>
      </w:pPr>
      <w:r>
        <w:rPr>
          <w:b/>
        </w:rPr>
        <w:t xml:space="preserve">[325] </w:t>
      </w:r>
      <w:hyperlink r:id="rId833">
        <w:r>
          <w:rPr>
            <w:color w:val="1155CC"/>
            <w:u w:val="single"/>
          </w:rPr>
          <w:t>超越掺杂：稀土介导的多功能电催化剂合理设计策略（Adv. Energy Mater. 21/2026）</w:t>
        </w:r>
      </w:hyperlink>
    </w:p>
    <w:p>
      <w:pPr>
        <w:spacing w:before="0" w:after="80"/>
      </w:pPr>
      <w:r>
        <w:rPr>
          <w:i/>
          <w:sz w:val="20"/>
        </w:rPr>
        <w:t>EN: Beyond Doping: Rare‐Earth Mediated Strategies for Rational Design of Multifunctional Electrocatalysts (Adv. Energy Mater. 21/2026)</w:t>
      </w:r>
    </w:p>
    <w:p>
      <w:pPr>
        <w:spacing w:before="0" w:after="120"/>
      </w:pPr>
      <w:r>
        <w:rPr>
          <w:b/>
        </w:rPr>
        <w:t xml:space="preserve">Source: </w:t>
      </w:r>
      <w:r>
        <w:t>Wiley: Advanced Energy Materials: Table of Contents</w:t>
      </w:r>
      <w:r>
        <w:t xml:space="preserve">    </w:t>
      </w:r>
      <w:r>
        <w:rPr>
          <w:b/>
        </w:rPr>
        <w:t xml:space="preserve">Pub date: </w:t>
      </w:r>
      <w:r>
        <w:t>2026-06-03 05:51:05+00:00</w:t>
      </w:r>
      <w:r>
        <w:t xml:space="preserve">    </w:t>
      </w:r>
      <w:r>
        <w:rPr>
          <w:b/>
        </w:rPr>
        <w:t xml:space="preserve">DOI: </w:t>
      </w:r>
      <w:hyperlink r:id="rId834">
        <w:r>
          <w:rPr>
            <w:color w:val="1155CC"/>
            <w:u w:val="single"/>
          </w:rPr>
          <w:t>10.1002/aenm.70994</w:t>
        </w:r>
      </w:hyperlink>
    </w:p>
    <w:p>
      <w:pPr>
        <w:spacing w:before="0" w:after="120"/>
      </w:pPr>
      <w:r>
        <w:rPr>
          <w:b/>
        </w:rPr>
        <w:t xml:space="preserve">Notes: </w:t>
      </w:r>
      <w:r>
        <w:t>abstract_source=openalex</w:t>
      </w:r>
    </w:p>
    <w:p>
      <w:pPr>
        <w:spacing w:before="0" w:after="80" w:lineRule="auto" w:line="276"/>
      </w:pPr>
      <w:r>
        <w:rPr>
          <w:b/>
        </w:rPr>
        <w:t xml:space="preserve">摘要（ZH）: </w:t>
      </w:r>
      <w:r>
        <w:t>电催化剂设计 在文章编号 e70863 中，Jun Mei、Juan Bai、Shixue Dou 及其同事对稀土元素在先进电催化中独特、多方面的作用提出了全面、机械的视角，旨在为合理设计稀土元素实现的高效电催化剂提供基本理解和战略指导。</w:t>
      </w:r>
    </w:p>
    <w:p>
      <w:pPr>
        <w:spacing w:before="0" w:after="200" w:lineRule="auto" w:line="276"/>
      </w:pPr>
      <w:r>
        <w:rPr>
          <w:b/>
        </w:rPr>
        <w:t xml:space="preserve">Abstract (EN): </w:t>
      </w:r>
      <w:r>
        <w:t>Electrocatalyst Design In article number e70863, Jun Mei, Juan Bai, Shixue Dou, and co-workers present a comprehensive and mechanistic perspective on the distinctive, multi-faceted roles of rare-earth elements in advanced electrocatalysis, which aims to provide a fundamental understanding and strategic guidance for rational design of efficient electrocatalysts enabled by rare-earth elements.</w:t>
      </w:r>
    </w:p>
    <w:p>
      <w:pPr>
        <w:spacing w:before="120" w:after="120"/>
      </w:pPr>
      <w:r>
        <w:rPr>
          <w:sz w:val="18"/>
        </w:rPr>
        <w:t>——————————————————————————————————————————————————————————————————————</w:t>
      </w:r>
    </w:p>
    <w:p>
      <w:pPr>
        <w:spacing w:before="160" w:after="40" w:line="240" w:lineRule="auto"/>
      </w:pPr>
      <w:r>
        <w:rPr>
          <w:b/>
        </w:rPr>
        <w:t xml:space="preserve">[326] </w:t>
      </w:r>
      <w:hyperlink r:id="rId835">
        <w:r>
          <w:rPr>
            <w:color w:val="1155CC"/>
            <w:u w:val="single"/>
          </w:rPr>
          <w:t>力揭示了单个 π 相互作用二聚体中的隐藏构象和解离途径</w:t>
        </w:r>
      </w:hyperlink>
    </w:p>
    <w:p>
      <w:pPr>
        <w:spacing w:before="0" w:after="80"/>
      </w:pPr>
      <w:r>
        <w:rPr>
          <w:i/>
          <w:sz w:val="20"/>
        </w:rPr>
        <w:t>EN: Force Reveals Hidden Conformations and Dissociation Pathways in Individual π‐Interacting Dimers</w:t>
      </w:r>
    </w:p>
    <w:p>
      <w:pPr>
        <w:spacing w:before="0" w:after="120"/>
      </w:pPr>
      <w:r>
        <w:rPr>
          <w:b/>
        </w:rPr>
        <w:t xml:space="preserve">Source: </w:t>
      </w:r>
      <w:r>
        <w:t>Wiley: Angewandte Chemie International Edition: Table of Contents</w:t>
      </w:r>
      <w:r>
        <w:t xml:space="preserve">    </w:t>
      </w:r>
      <w:r>
        <w:rPr>
          <w:b/>
        </w:rPr>
        <w:t xml:space="preserve">Pub date: </w:t>
      </w:r>
      <w:r>
        <w:t>2026-06-03 06:54:44+00:00</w:t>
      </w:r>
      <w:r>
        <w:t xml:space="preserve">    </w:t>
      </w:r>
      <w:r>
        <w:rPr>
          <w:b/>
        </w:rPr>
        <w:t xml:space="preserve">DOI: </w:t>
      </w:r>
      <w:hyperlink r:id="rId836">
        <w:r>
          <w:rPr>
            <w:color w:val="1155CC"/>
            <w:u w:val="single"/>
          </w:rPr>
          <w:t>10.1002/anie.9238302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机械力控制分子结构是机械响应材料设计的核心策略。非共价相互作用在这种情况下特别有吸引力，因为它们的可逆性和可调的机械稳定性，但此类主题的构象能量景观通常仍然是传统集成技术无法获得的。在这里，我们使用基于原子力显微镜的力谱来探测苝二酰亚胺二聚体中的个体π相互作用。单分子拉伸实验与分子动力学模拟相结合揭示了两种不同的长寿命构象异构体</w:t>
      </w:r>
      <w:r>
        <w:t xml:space="preserve"> </w:t>
      </w:r>
      <w:r>
        <w:t>平行</w:t>
      </w:r>
      <w:r>
        <w:t xml:space="preserve"> </w:t>
      </w:r>
      <w:r>
        <w:t>和</w:t>
      </w:r>
      <w:r>
        <w:t xml:space="preserve"> </w:t>
      </w:r>
      <w:r>
        <w:t>反平行</w:t>
      </w:r>
      <w:r>
        <w:t xml:space="preserve"> </w:t>
      </w:r>
      <w:r>
        <w:t>通过整体技术无法区分苝二酰亚胺的取向。的</w:t>
      </w:r>
      <w:r>
        <w:t xml:space="preserve"> </w:t>
      </w:r>
      <w:r>
        <w:t>平行</w:t>
      </w:r>
      <w:r>
        <w:t xml:space="preserve"> </w:t>
      </w:r>
      <w:r>
        <w:t>构象异构体表现出更大的机械稳定性，并通过顺序途径断裂，其中二聚体转化为</w:t>
      </w:r>
      <w:r>
        <w:t xml:space="preserve"> </w:t>
      </w:r>
      <w:r>
        <w:t>反平行</w:t>
      </w:r>
      <w:r>
        <w:t xml:space="preserve"> </w:t>
      </w:r>
      <w:r>
        <w:t>π-π解离前的排列。被动力谱实时解析两种构象异构体，验证通过引导分子动力学模拟预测的力诱导的相互转化途径，并量化它们在恒定负载下的机械阻力和寿命。总之，这些结果表明，将被动力谱与分子模拟相结合可以揭示非共价组装体中隐藏的构象状态并绘制其力依赖性能量景观</w:t>
      </w:r>
    </w:p>
    <w:p>
      <w:pPr>
        <w:spacing w:before="0" w:after="200" w:lineRule="auto" w:line="276"/>
      </w:pPr>
      <w:r>
        <w:rPr>
          <w:b/>
        </w:rPr>
        <w:t xml:space="preserve">Abstract (EN): </w:t>
      </w:r>
      <w:r>
        <w:t>Harnessing mechanical force to control molecular structure is a central strategy in the design of mechano‐responsive materials. Noncovalent interactions are particularly attractive in this context because of their reversibility and tunable mechanical stability, yet the conformational energy landscapes of such motifs often remain inaccessible to conventional ensemble techniques. Here, we use atomic force microscopy‐based force spectroscopy to probe individual π‐interactions within a perylene diimide dimer. Single‐molecule pulling experiments combined with molecular dynamics simulations reveal two distinct long‐lived conformers with</w:t>
      </w:r>
      <w:r>
        <w:t xml:space="preserve"> </w:t>
      </w:r>
      <w:r>
        <w:t>parallel</w:t>
      </w:r>
      <w:r>
        <w:t xml:space="preserve"> </w:t>
      </w:r>
      <w:r>
        <w:t>and</w:t>
      </w:r>
      <w:r>
        <w:t xml:space="preserve"> </w:t>
      </w:r>
      <w:r>
        <w:t>anti‐parallel</w:t>
      </w:r>
      <w:r>
        <w:t xml:space="preserve"> </w:t>
      </w:r>
      <w:r>
        <w:t>perylene diimide orientations that are indistinguishable by ensemble techniques. The</w:t>
      </w:r>
      <w:r>
        <w:t xml:space="preserve"> </w:t>
      </w:r>
      <w:r>
        <w:t>parallel</w:t>
      </w:r>
      <w:r>
        <w:t xml:space="preserve"> </w:t>
      </w:r>
      <w:r>
        <w:t>conformer exhibits greater mechanical stability and ruptures through a sequential pathway in which the dimer converts to an</w:t>
      </w:r>
      <w:r>
        <w:t xml:space="preserve"> </w:t>
      </w:r>
      <w:r>
        <w:t>anti‐parallel</w:t>
      </w:r>
      <w:r>
        <w:t xml:space="preserve"> </w:t>
      </w:r>
      <w:r>
        <w:t>arrangement before π–π dissociation. Passive force spectroscopy resolves both conformers in real‐time, validates the force‐induced interconversion pathway predicted by steered molecular dynamics simulations, and quantifies their mechanical resistance and lifetime under constant load. Together, these results show that combining passive force spectroscopy with molecular simulations can reveal hidden conformational states in noncovalent assemblies and map their force‐dependent energy landscape. Our findings provide molecular‐level insight into the mechanics of π–π interactions and highlight single‐molecule force spectroscopy as a powerful approach to uncover hidden structural states in supramolecular systems.</w:t>
      </w:r>
    </w:p>
    <w:p>
      <w:pPr>
        <w:spacing w:before="120" w:after="120"/>
      </w:pPr>
      <w:r>
        <w:rPr>
          <w:sz w:val="18"/>
        </w:rPr>
        <w:t>——————————————————————————————————————————————————————————————————————</w:t>
      </w:r>
    </w:p>
    <w:p>
      <w:pPr>
        <w:spacing w:before="160" w:after="40" w:line="240" w:lineRule="auto"/>
      </w:pPr>
      <w:r>
        <w:rPr>
          <w:b/>
        </w:rPr>
        <w:t xml:space="preserve">[327] </w:t>
      </w:r>
      <w:hyperlink r:id="rId837">
        <w:r>
          <w:rPr>
            <w:color w:val="1155CC"/>
            <w:u w:val="single"/>
          </w:rPr>
          <w:t>具有两个七边形嵌入的[4]螺旋烯的手性鞍形纳米石墨烯</w:t>
        </w:r>
      </w:hyperlink>
    </w:p>
    <w:p>
      <w:pPr>
        <w:spacing w:before="0" w:after="80"/>
      </w:pPr>
      <w:r>
        <w:rPr>
          <w:i/>
          <w:sz w:val="20"/>
        </w:rPr>
        <w:t>EN: A Chiral Saddle‐Shaped Nanographene With Two Heptagon‐Embedded [4]Helicenes</w:t>
      </w:r>
    </w:p>
    <w:p>
      <w:pPr>
        <w:spacing w:before="0" w:after="120"/>
      </w:pPr>
      <w:r>
        <w:rPr>
          <w:b/>
        </w:rPr>
        <w:t xml:space="preserve">Source: </w:t>
      </w:r>
      <w:r>
        <w:t>Wiley: Angewandte Chemie International Edition: Table of Contents</w:t>
      </w:r>
      <w:r>
        <w:t xml:space="preserve">    </w:t>
      </w:r>
      <w:r>
        <w:rPr>
          <w:b/>
        </w:rPr>
        <w:t xml:space="preserve">Pub date: </w:t>
      </w:r>
      <w:r>
        <w:t>2026-06-03 06:55:55+00:00</w:t>
      </w:r>
      <w:r>
        <w:t xml:space="preserve">    </w:t>
      </w:r>
      <w:r>
        <w:rPr>
          <w:b/>
        </w:rPr>
        <w:t xml:space="preserve">DOI: </w:t>
      </w:r>
      <w:hyperlink r:id="rId838">
        <w:r>
          <w:rPr>
            <w:color w:val="1155CC"/>
            <w:u w:val="single"/>
          </w:rPr>
          <w:t>10.1002/anie.3481279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手性非苯环纳米石墨烯（NG）仍然非常有吸引力，但由于缺乏同时构建非六角环和稳定手性的可行合成策略，合成目标尚未得到充分探索。在此，我们展示了一种新颖的合成策略来构建手性鞍形纳米石墨烯（</w:t>
      </w:r>
      <w:r>
        <w:t xml:space="preserve"> </w:t>
      </w:r>
      <w:r>
        <w:t>计算机网络网关</w:t>
      </w:r>
      <w:r>
        <w:t xml:space="preserve"> </w:t>
      </w:r>
      <w:r>
        <w:t>）通过含蒽低聚亚苯基前体的逐步氧化。 Scholl 型氧化首先产生一种关键中间体，其特征是</w:t>
      </w:r>
      <w:r>
        <w:t xml:space="preserve"> </w:t>
      </w:r>
      <w:r>
        <w:t>sp</w:t>
      </w:r>
      <w:r>
        <w:rPr>
          <w:vertAlign w:val="subscript"/>
        </w:rPr>
        <w:t>3</w:t>
      </w:r>
      <w:r>
        <w:t>‐缺陷七边形，随后的氧化脱氢提供了目标</w:t>
      </w:r>
      <w:r>
        <w:t xml:space="preserve"> </w:t>
      </w:r>
      <w:r>
        <w:t>计算机网络网关</w:t>
      </w:r>
      <w:r>
        <w:t xml:space="preserve"> </w:t>
      </w:r>
      <w:r>
        <w:t>结合两个七边形嵌入的[4]螺旋烯。的结构</w:t>
      </w:r>
      <w:r>
        <w:t xml:space="preserve"> </w:t>
      </w:r>
      <w:r>
        <w:t>计算机网络网关</w:t>
      </w:r>
      <w:r>
        <w:t xml:space="preserve"> </w:t>
      </w:r>
      <w:r>
        <w:t>单晶分析明确证实了这一点，证明了其具有内在手性的鞍形几何形状。值得注意的是，由于七边形嵌入的[4]螺烯亚基，</w:t>
      </w:r>
      <w:r>
        <w:t xml:space="preserve"> </w:t>
      </w:r>
      <w:r>
        <w:t>计算机网络网关</w:t>
      </w:r>
      <w:r>
        <w:t xml:space="preserve"> </w:t>
      </w:r>
      <w:r>
        <w:t>与它相比，它以构型稳定的对映体存在，能够实现手性拆分，导致显着的手性光学响应和增强的不对称因子</w:t>
      </w:r>
      <w:r>
        <w:t xml:space="preserve"> </w:t>
      </w:r>
      <w:r>
        <w:t>sp</w:t>
      </w:r>
      <w:r>
        <w:rPr>
          <w:vertAlign w:val="subscript"/>
        </w:rPr>
        <w:t>3</w:t>
      </w:r>
      <w:r>
        <w:t>‐缺陷前兆。此外，受益于具有形状自适应特性的手性鞍座几何形状，</w:t>
      </w:r>
      <w:r>
        <w:t xml:space="preserve"> </w:t>
      </w:r>
      <w:r>
        <w:t>计算机网络网关</w:t>
      </w:r>
      <w:r>
        <w:t xml:space="preserve"> </w:t>
      </w:r>
      <w:r>
        <w:t>与富勒烯表现出强烈的主客体相互作用，缔合常数高达 2.3 × 10</w:t>
      </w:r>
      <w:r>
        <w:rPr>
          <w:vertAlign w:val="subscript"/>
        </w:rPr>
        <w:t>4</w:t>
      </w:r>
    </w:p>
    <w:p>
      <w:pPr>
        <w:spacing w:before="0" w:after="200" w:lineRule="auto" w:line="276"/>
      </w:pPr>
      <w:r>
        <w:rPr>
          <w:b/>
        </w:rPr>
        <w:t xml:space="preserve">Abstract (EN): </w:t>
      </w:r>
      <w:r>
        <w:t>Chiral non‐benzenoid nanographenes (NGs) remain highly appealing, yet underexplored synthetic targets due to the lack of feasible synthetic strategies to simultaneously construct non‐hexagonal rings and stable chirality. Herein, we demonstrate a novel synthetic strategy to construct a chiral saddle‐shaped nanographene (</w:t>
      </w:r>
      <w:r>
        <w:t xml:space="preserve"> </w:t>
      </w:r>
      <w:r>
        <w:t>cSNG</w:t>
      </w:r>
      <w:r>
        <w:t xml:space="preserve"> </w:t>
      </w:r>
      <w:r>
        <w:t>) via stepwise oxidation of an anthracene‐containing oligophenylene precursor. Scholl‐type oxidation first yields a key intermediate featuring</w:t>
      </w:r>
      <w:r>
        <w:t xml:space="preserve"> </w:t>
      </w:r>
      <w:r>
        <w:t>sp</w:t>
      </w:r>
      <w:r>
        <w:rPr>
          <w:vertAlign w:val="subscript"/>
        </w:rPr>
        <w:t>3</w:t>
      </w:r>
      <w:r>
        <w:t>‐defect heptagons, and subsequent oxidative dehydrogenation furnishes target</w:t>
      </w:r>
      <w:r>
        <w:t xml:space="preserve"> </w:t>
      </w:r>
      <w:r>
        <w:t>cSNG</w:t>
      </w:r>
      <w:r>
        <w:t xml:space="preserve"> </w:t>
      </w:r>
      <w:r>
        <w:t>incorporating two heptagon‐embedded [4]helicenes. The structure of</w:t>
      </w:r>
      <w:r>
        <w:t xml:space="preserve"> </w:t>
      </w:r>
      <w:r>
        <w:t>cSNG</w:t>
      </w:r>
      <w:r>
        <w:t xml:space="preserve"> </w:t>
      </w:r>
      <w:r>
        <w:t>is unambiguously confirmed by single‐crystal analysis, demonstrating its saddle‐shaped geometry with intrinsic chirality. Remarkably, due to the heptagon‐embedded [4]helicene subunits,</w:t>
      </w:r>
      <w:r>
        <w:t xml:space="preserve"> </w:t>
      </w:r>
      <w:r>
        <w:t>cSNG</w:t>
      </w:r>
      <w:r>
        <w:t xml:space="preserve"> </w:t>
      </w:r>
      <w:r>
        <w:t>exists as configurationally stable enantiomers which enable chiral resolution, leading to pronounced chiroptical responses and enhanced dissymmetry factors, compared with its</w:t>
      </w:r>
      <w:r>
        <w:t xml:space="preserve"> </w:t>
      </w:r>
      <w:r>
        <w:t>sp</w:t>
      </w:r>
      <w:r>
        <w:rPr>
          <w:vertAlign w:val="subscript"/>
        </w:rPr>
        <w:t>3</w:t>
      </w:r>
      <w:r>
        <w:t>‐defect precursor. Moreover, profiting from chiral saddle geometry with shape‐adaptive character,</w:t>
      </w:r>
      <w:r>
        <w:t xml:space="preserve"> </w:t>
      </w:r>
      <w:r>
        <w:t>cSNG</w:t>
      </w:r>
      <w:r>
        <w:t xml:space="preserve"> </w:t>
      </w:r>
      <w:r>
        <w:t>presents strong host–guest interactions with fullerenes, with association constants up to 2.3 × 10</w:t>
      </w:r>
      <w:r>
        <w:rPr>
          <w:vertAlign w:val="subscript"/>
        </w:rPr>
        <w:t>4</w:t>
      </w:r>
      <w:r>
        <w:t>M</w:t>
      </w:r>
      <w:r>
        <w:t xml:space="preserve"> </w:t>
      </w:r>
      <w:r>
        <w:t>−1</w:t>
      </w:r>
      <w:r>
        <w:t xml:space="preserve"> </w:t>
      </w:r>
      <w:r>
        <w:t>for C</w:t>
      </w:r>
      <w:r>
        <w:rPr>
          <w:vertAlign w:val="subscript"/>
        </w:rPr>
        <w:t>60</w:t>
      </w:r>
      <w:r>
        <w:t>and 8.7 × 10</w:t>
      </w:r>
      <w:r>
        <w:rPr>
          <w:vertAlign w:val="subscript"/>
        </w:rPr>
        <w:t>4</w:t>
      </w:r>
      <w:r>
        <w:t>M</w:t>
      </w:r>
      <w:r>
        <w:t xml:space="preserve"> </w:t>
      </w:r>
      <w:r>
        <w:t>−1</w:t>
      </w:r>
      <w:r>
        <w:t xml:space="preserve"> </w:t>
      </w:r>
      <w:r>
        <w:t>for C</w:t>
      </w:r>
      <w:r>
        <w:rPr>
          <w:vertAlign w:val="subscript"/>
        </w:rPr>
        <w:t>70</w:t>
      </w:r>
      <w:r>
        <w:t>, which are among the highest values reported for negatively curved nanographenes. Crystallographic analysis of cocrystals of</w:t>
      </w:r>
      <w:r>
        <w:t xml:space="preserve"> </w:t>
      </w:r>
      <w:r>
        <w:t>cSNG</w:t>
      </w:r>
      <w:r>
        <w:t xml:space="preserve"> </w:t>
      </w:r>
      <w:r>
        <w:t>with C</w:t>
      </w:r>
      <w:r>
        <w:rPr>
          <w:vertAlign w:val="subscript"/>
        </w:rPr>
        <w:t>60</w:t>
      </w:r>
      <w:r>
        <w:t>further revealed a distinct 1:3 binding mode for supramolecular complexation, featuring two fullerenes accommodated within the saddle cavity and two additional fullerenes externally shared between neighboring saddle units.</w:t>
      </w:r>
    </w:p>
    <w:p>
      <w:pPr>
        <w:spacing w:before="120" w:after="120"/>
      </w:pPr>
      <w:r>
        <w:rPr>
          <w:sz w:val="18"/>
        </w:rPr>
        <w:t>——————————————————————————————————————————————————————————————————————</w:t>
      </w:r>
    </w:p>
    <w:p>
      <w:pPr>
        <w:spacing w:before="160" w:after="40" w:line="240" w:lineRule="auto"/>
      </w:pPr>
      <w:r>
        <w:rPr>
          <w:b/>
        </w:rPr>
        <w:t xml:space="preserve">[328] </w:t>
      </w:r>
      <w:hyperlink r:id="rId839">
        <w:r>
          <w:rPr>
            <w:color w:val="1155CC"/>
            <w:u w:val="single"/>
          </w:rPr>
          <w:t>光和暗循环控制光响应超分子系统的结构演化</w:t>
        </w:r>
      </w:hyperlink>
    </w:p>
    <w:p>
      <w:pPr>
        <w:spacing w:before="0" w:after="80"/>
      </w:pPr>
      <w:r>
        <w:rPr>
          <w:i/>
          <w:sz w:val="20"/>
        </w:rPr>
        <w:t>EN: Light and Dark Cycles Control the Structural Evolution of Photoresponsive Supramolecular Systems</w:t>
      </w:r>
    </w:p>
    <w:p>
      <w:pPr>
        <w:spacing w:before="0" w:after="120"/>
      </w:pPr>
      <w:r>
        <w:rPr>
          <w:b/>
        </w:rPr>
        <w:t xml:space="preserve">Source: </w:t>
      </w:r>
      <w:r>
        <w:t>Wiley: Angewandte Chemie International Edition: Table of Contents</w:t>
      </w:r>
      <w:r>
        <w:t xml:space="preserve">    </w:t>
      </w:r>
      <w:r>
        <w:rPr>
          <w:b/>
        </w:rPr>
        <w:t xml:space="preserve">Pub date: </w:t>
      </w:r>
      <w:r>
        <w:t>2026-06-03 06:59:07+00:00</w:t>
      </w:r>
      <w:r>
        <w:t xml:space="preserve">    </w:t>
      </w:r>
      <w:r>
        <w:rPr>
          <w:b/>
        </w:rPr>
        <w:t xml:space="preserve">DOI: </w:t>
      </w:r>
      <w:hyperlink r:id="rId840">
        <w:r>
          <w:rPr>
            <w:color w:val="1155CC"/>
            <w:u w:val="single"/>
          </w:rPr>
          <w:t>10.1002/anie.4843934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地球上的光供应是周期性和不对称的，依赖光化学能的生命系统已经适应了光明和黑暗的时期。白天，可以使用光能，而在整个黑暗阶段，热弛豫过程可用于增强功能和结构组织。虽然光驱动的超分子组装已有报道，但在合成超分子系统中，光/暗交替输入下的结构适应在很大程度上仍未得到探索。在这里，我们展示了与连续照明相比，振荡光能源供应如何促进自组装光可开关肽的结构选择。我们证明，多态自组装结构仅在光照射下短暂形成和维持，而照射和黑暗的交替周期有利于形成热力学上更稳定的超分子结构。这些发现证明了休息（黑暗）时期在分子和自组织超分子光系统的自组装途径选择中可以发挥关键作用。</w:t>
      </w:r>
    </w:p>
    <w:p>
      <w:pPr>
        <w:spacing w:before="0" w:after="200" w:lineRule="auto" w:line="276"/>
      </w:pPr>
      <w:r>
        <w:rPr>
          <w:b/>
        </w:rPr>
        <w:t xml:space="preserve">Abstract (EN): </w:t>
      </w:r>
      <w:r>
        <w:t>As the supply of light on Earth is cyclic and asymmetric, living systems that rely on photochemical energy have adapted to accommodate periods of light and darkness. During the day, light energy is available, while throughout the dark phases, thermal relaxation processes can be used to increase functional and structural organization. While light‐driven supramolecular assembly has been reported, structural adaptation under alternating light/dark input remains largely unexplored in synthetic supramolecular systems. Here, we show how an oscillating light energy supply can facilitate the structural selection of self‐assembling photoswitchable peptides compared to continuous illumination. We demonstrate that polymorphic self‐assembled structures are transiently formed and sustained only under light irradiation, while alternating periods of irradiation and darkness favor the formation of a thermodynamically more stable supramolecular architecture. These findings demonstrate the key role that rest (darkness) periods can have in the self‐assembly pathway selection of molecular and self‐organized supramolecular photosystems.</w:t>
      </w:r>
    </w:p>
    <w:p>
      <w:pPr>
        <w:spacing w:before="120" w:after="120"/>
      </w:pPr>
      <w:r>
        <w:rPr>
          <w:sz w:val="18"/>
        </w:rPr>
        <w:t>——————————————————————————————————————————————————————————————————————</w:t>
      </w:r>
    </w:p>
    <w:p>
      <w:pPr>
        <w:spacing w:before="160" w:after="40" w:line="240" w:lineRule="auto"/>
      </w:pPr>
      <w:r>
        <w:rPr>
          <w:b/>
        </w:rPr>
        <w:t xml:space="preserve">[329] </w:t>
      </w:r>
      <w:hyperlink r:id="rId841">
        <w:r>
          <w:rPr>
            <w:color w:val="1155CC"/>
            <w:u w:val="single"/>
          </w:rPr>
          <w:t>海马位置细胞独立于行为绘制地形几何形状</w:t>
        </w:r>
      </w:hyperlink>
    </w:p>
    <w:p>
      <w:pPr>
        <w:spacing w:before="0" w:after="80"/>
      </w:pPr>
      <w:r>
        <w:rPr>
          <w:i/>
          <w:sz w:val="20"/>
        </w:rPr>
        <w:t>EN: Hippocampal place cells map terrain geometry independently of behavior</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42">
        <w:r>
          <w:rPr>
            <w:color w:val="1155CC"/>
            <w:u w:val="single"/>
          </w:rPr>
          <w:t>10.1126/sciadv.adz9893</w:t>
        </w:r>
      </w:hyperlink>
    </w:p>
    <w:p>
      <w:pPr>
        <w:spacing w:before="0" w:after="120"/>
      </w:pPr>
      <w:r>
        <w:rPr>
          <w:b/>
        </w:rPr>
        <w:t xml:space="preserve">Notes: </w:t>
      </w:r>
      <w:r>
        <w:t>abstract_source=crossref</w:t>
      </w:r>
    </w:p>
    <w:p>
      <w:pPr>
        <w:spacing w:before="0" w:after="80" w:lineRule="auto" w:line="276"/>
      </w:pPr>
      <w:r>
        <w:rPr>
          <w:b/>
        </w:rPr>
        <w:t xml:space="preserve">摘要（ZH）: </w:t>
      </w:r>
      <w:r>
        <w:t>大脑如何绘制不平坦地形的地图？虽然海马位置细胞和内嗅网格细胞等空间神经元在平坦、水平的环境中得到了广泛研究，但自然世界是丘陵且不规则的。为了研究位置细胞如何代表不规则地形，我们记录了老鼠在平坦或山脊地形上觅食的海马体。位置细胞活动反映了地形形状，与表面认知地图而不是体积地图一致。地点场平行于地形轮廓拉长，这与大鼠的运动偏差形成对比，并且与预测编码模型不一致。三分之一的位置单元在每个山脊上呈现出重复的场，这反映了地形信息的重要性。位置细胞放电的边界矢量细胞模型复制了这些结果。这些发现表明认知地图对地形很敏感，使我们对空间认知的理解更接近现实世界。</w:t>
      </w:r>
    </w:p>
    <w:p>
      <w:pPr>
        <w:spacing w:before="0" w:after="200" w:lineRule="auto" w:line="276"/>
      </w:pPr>
      <w:r>
        <w:rPr>
          <w:b/>
        </w:rPr>
        <w:t xml:space="preserve">Abstract (EN): </w:t>
      </w:r>
      <w:r>
        <w:t>How does the brain map uneven terrain? While spatial neurons such as hippocampal place cells and entorhinal grid cells have been extensively studied in flat, horizontal environments, the natural world is hilly and irregular. To investigate how place cells represent irregular terrain, we recorded from the hippocampus of rats foraging across either flat or ridged terrain. Place cell activity reflected terrain shape, consistent with a surface-bound cognitive map rather than a volumetric one. Place fields were elongated parallel to terrain contours, which contrasted with the movement biases of the rats, and are inconsistent with a predictive coding model. Reflecting the importance of terrain information, a third of the place cells exhibited repeating fields on each ridge. A boundary vector cell model of place cell firing replicated these results. These findings demonstrate that the cognitive map is sensitive to topography, bringing our understanding of spatial cognition closer to the real world.</w:t>
      </w:r>
    </w:p>
    <w:p>
      <w:pPr>
        <w:spacing w:before="120" w:after="120"/>
      </w:pPr>
      <w:r>
        <w:rPr>
          <w:sz w:val="18"/>
        </w:rPr>
        <w:t>——————————————————————————————————————————————————————————————————————</w:t>
      </w:r>
    </w:p>
    <w:p>
      <w:pPr>
        <w:spacing w:before="160" w:after="40" w:line="240" w:lineRule="auto"/>
      </w:pPr>
      <w:r>
        <w:rPr>
          <w:b/>
        </w:rPr>
        <w:t xml:space="preserve">[330] </w:t>
      </w:r>
      <w:hyperlink r:id="rId843">
        <w:r>
          <w:rPr>
            <w:color w:val="1155CC"/>
            <w:u w:val="single"/>
          </w:rPr>
          <w:t>定制可扩展且高效的大面积钙钛矿发光二极管的结晶动力学</w:t>
        </w:r>
      </w:hyperlink>
    </w:p>
    <w:p>
      <w:pPr>
        <w:spacing w:before="0" w:after="80"/>
      </w:pPr>
      <w:r>
        <w:rPr>
          <w:i/>
          <w:sz w:val="20"/>
        </w:rPr>
        <w:t>EN: Tailoring crystallization kinetics for scalable and efficient large-area perovskite light-emitting diodes</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44">
        <w:r>
          <w:rPr>
            <w:color w:val="1155CC"/>
            <w:u w:val="single"/>
          </w:rPr>
          <w:t>10.1126/sciadv.aef3336</w:t>
        </w:r>
      </w:hyperlink>
    </w:p>
    <w:p>
      <w:pPr>
        <w:spacing w:before="0" w:after="120"/>
      </w:pPr>
      <w:r>
        <w:rPr>
          <w:b/>
        </w:rPr>
        <w:t xml:space="preserve">Notes: </w:t>
      </w:r>
      <w:r>
        <w:t>abstract_source=crossref</w:t>
      </w:r>
    </w:p>
    <w:p>
      <w:pPr>
        <w:spacing w:before="0" w:after="80" w:lineRule="auto" w:line="276"/>
      </w:pPr>
      <w:r>
        <w:rPr>
          <w:b/>
        </w:rPr>
        <w:t xml:space="preserve">摘要（ZH）: </w:t>
      </w:r>
      <w:r>
        <w:t>均匀钙钛矿薄膜的可扩展制造是大面积钙钛矿发光二极管（PeLED）的关键瓶颈，受到咖啡环形成和缩放时异质结晶的阻碍。在这里，我们报告了一种多模式溶剂工程策略，通过环境刮刀涂层结合真空辅助溶剂蒸发来实现高度均匀的薄膜。纳入</w:t>
      </w:r>
      <w:r>
        <w:t xml:space="preserve"> </w:t>
      </w:r>
      <w:r>
        <w:t>氮</w:t>
      </w:r>
      <w:r>
        <w:t xml:space="preserve"> </w:t>
      </w:r>
      <w:r>
        <w:t>-甲基-2-吡咯烷酮 (NMP) 和乙腈 (ACN) 进入基于二甲基甲酰胺 (DMF) 的系统中，可协同调节蒸发动力学：它通过马兰戈尼流诱导的再分布抑制宏观溶质偏析，同时调整前体协调以调节成核/相转换并促进辐射高效的薄膜形成。因此，三元配方产生的薄膜具有改善的均匀性、降低的陷阱密度和增强的辐射效率。近红外 (NIR) PeLED 的峰值外量子效率达到 25.2%（10 mm</w:t>
      </w:r>
      <w:r>
        <w:rPr>
          <w:vertAlign w:val="subscript"/>
        </w:rPr>
        <w:t>2</w:t>
      </w:r>
      <w:r>
        <w:t>), 22.1% (60 毫米</w:t>
      </w:r>
      <w:r>
        <w:rPr>
          <w:vertAlign w:val="subscript"/>
        </w:rPr>
        <w:t>2</w:t>
      </w:r>
      <w:r>
        <w:t>）和 19.0%（224 毫米</w:t>
      </w:r>
      <w:r>
        <w:rPr>
          <w:vertAlign w:val="subscript"/>
        </w:rPr>
        <w:t>2</w:t>
      </w:r>
      <w:r>
        <w:t>）。还使用 224 毫米演示了功能性静脉成像原型</w:t>
      </w:r>
      <w:r>
        <w:rPr>
          <w:vertAlign w:val="subscript"/>
        </w:rPr>
        <w:t>2</w:t>
      </w:r>
      <w:r>
        <w:t>器件，突出了对大面积光电应用的影响。</w:t>
      </w:r>
    </w:p>
    <w:p>
      <w:pPr>
        <w:spacing w:before="0" w:after="200" w:lineRule="auto" w:line="276"/>
      </w:pPr>
      <w:r>
        <w:rPr>
          <w:b/>
        </w:rPr>
        <w:t xml:space="preserve">Abstract (EN): </w:t>
      </w:r>
      <w:r>
        <w:t>Scalable fabrication of uniform perovskite films is a critical bottleneck for large-area perovskite light-emitting diodes (PeLEDs), hindered by coffee-ring formation and heterogeneous crystallization upon scaling. Here, we report a multimodal solvent-engineering strategy enabling highly uniform films via ambient blade coating combined with vacuum-assisted solvent evaporation. Incorporating</w:t>
      </w:r>
      <w:r>
        <w:t xml:space="preserve"> </w:t>
      </w:r>
      <w:r>
        <w:t>N</w:t>
      </w:r>
      <w:r>
        <w:t xml:space="preserve"> </w:t>
      </w:r>
      <w:r>
        <w:t>-methyl-2-pyrrolidone (NMP) and acetonitrile (ACN) into a dimethylformamide (DMF)–based system synergistically modulates evaporation dynamics: It suppresses macroscopic solute segregation through Marangoni flow–induced redistribution, while tuning precursor coordination to regulate nucleation/phase conversion and promote radiatively efficient film formation. Consequently, the ternary formulation yields films with improved uniformity, reduced trap densities, and enhanced radiative efficiency. Near-infrared (NIR) PeLEDs achieve peak external quantum efficiencies of 25.2% (10 mm</w:t>
      </w:r>
      <w:r>
        <w:rPr>
          <w:vertAlign w:val="subscript"/>
        </w:rPr>
        <w:t>2</w:t>
      </w:r>
      <w:r>
        <w:t>), 22.1% (60 mm</w:t>
      </w:r>
      <w:r>
        <w:rPr>
          <w:vertAlign w:val="subscript"/>
        </w:rPr>
        <w:t>2</w:t>
      </w:r>
      <w:r>
        <w:t>), and 19.0% (224 mm</w:t>
      </w:r>
      <w:r>
        <w:rPr>
          <w:vertAlign w:val="subscript"/>
        </w:rPr>
        <w:t>2</w:t>
      </w:r>
      <w:r>
        <w:t>). A functional vein-imaging prototype is also demonstrated using a 224-mm</w:t>
      </w:r>
      <w:r>
        <w:rPr>
          <w:vertAlign w:val="subscript"/>
        </w:rPr>
        <w:t>2</w:t>
      </w:r>
      <w:r>
        <w:t>device, highlighting the impact for large-area optoelectronic applications.</w:t>
      </w:r>
    </w:p>
    <w:p>
      <w:pPr>
        <w:spacing w:before="120" w:after="120"/>
      </w:pPr>
      <w:r>
        <w:rPr>
          <w:sz w:val="18"/>
        </w:rPr>
        <w:t>——————————————————————————————————————————————————————————————————————</w:t>
      </w:r>
    </w:p>
    <w:p>
      <w:pPr>
        <w:spacing w:before="160" w:after="40" w:line="240" w:lineRule="auto"/>
      </w:pPr>
      <w:r>
        <w:rPr>
          <w:b/>
        </w:rPr>
        <w:t xml:space="preserve">[331] </w:t>
      </w:r>
      <w:hyperlink r:id="rId845">
        <w:r>
          <w:rPr>
            <w:color w:val="1155CC"/>
            <w:u w:val="single"/>
          </w:rPr>
          <w:t>分子内氢键可实现具有精细发射曲线的超窄带多重共振发光</w:t>
        </w:r>
      </w:hyperlink>
    </w:p>
    <w:p>
      <w:pPr>
        <w:spacing w:before="0" w:after="80"/>
      </w:pPr>
      <w:r>
        <w:rPr>
          <w:i/>
          <w:sz w:val="20"/>
        </w:rPr>
        <w:t>EN: Intramolecular hydrogen bond enables ultranarrowband multiple resonance luminescence with refined emission profiles</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46">
        <w:r>
          <w:rPr>
            <w:color w:val="1155CC"/>
            <w:u w:val="single"/>
          </w:rPr>
          <w:t>10.1126/sciadv.aee3727</w:t>
        </w:r>
      </w:hyperlink>
    </w:p>
    <w:p>
      <w:pPr>
        <w:spacing w:before="0" w:after="120"/>
      </w:pPr>
      <w:r>
        <w:rPr>
          <w:b/>
        </w:rPr>
        <w:t xml:space="preserve">Notes: </w:t>
      </w:r>
      <w:r>
        <w:t>abstract_source=crossref</w:t>
      </w:r>
    </w:p>
    <w:p>
      <w:pPr>
        <w:spacing w:before="0" w:after="80" w:lineRule="auto" w:line="276"/>
      </w:pPr>
      <w:r>
        <w:rPr>
          <w:b/>
        </w:rPr>
        <w:t xml:space="preserve">摘要（ZH）: </w:t>
      </w:r>
      <w:r>
        <w:t>超高清显示器迫切需要具有理想高斯发射曲线的窄带发射器。多谐振（MR）系统具有高度竞争力，但面临着巨大的瓶颈：可实现的最小发射线宽已成为现有系统无法进一步突破的难以捉摸的阈值。在这里，该研究提出了一种通过分子内氢键构建来打破吲哚并咔唑（ICz）发射体的光谱限制并开发旋转手性ICz融合对映异构体的开创性策略。这种手性改性的 ICz 发射器同时实现了 466 纳米的发射峰、56 毫电子伏的半峰全宽 (FWHM) 和稀甲苯中的抑制肩峰，令人印象深刻地实现了迄今为止所有报道的圆偏振 MR 发射器中最窄的发射。相应的电致发光器件表现出超纯深蓝色发射，峰值波长为 469 纳米，半高宽为 15 纳米，最大外量子效率高达 32.5%，滚降极小（每平方米 10,000 坎德拉时为 20.6%）。</w:t>
      </w:r>
    </w:p>
    <w:p>
      <w:pPr>
        <w:spacing w:before="0" w:after="200" w:lineRule="auto" w:line="276"/>
      </w:pPr>
      <w:r>
        <w:rPr>
          <w:b/>
        </w:rPr>
        <w:t xml:space="preserve">Abstract (EN): </w:t>
      </w:r>
      <w:r>
        <w:t>Ultrahigh-definition displays urgently demand narrowband emitters with ideal Gaussian emission profiles. Multiple resonance (MR) systems are highly competitive yet face a formidable bottleneck: The minimum achievable emission linewidth has become an elusive threshold that cannot be further broken for existing systems. Here, the study proposes a pioneering strategy via intramolecular hydrogen bond construction to break the spectral limit of indolocarbazole (ICz) emitters and develops rotary chiral ICz-fused enantiomeric isomers. This chirality-modified ICz emitter concurrently achieves an emissive peak of 466 nanometers, a full width at half maximum (FWHM) of 56 milli–electron volts, and a suppressed shoulder peak in dilute toluene, impressively achieving the narrowest emission among all reported circularly polarized MR emitters to date. The corresponding electroluminescence device exhibits ultrapure deep-blue emission with a peak wavelength of 469 nanometers and an FWHM of 15 nanometers, as well as high maximum external quantum efficiency of 32.5% with minimal roll-off (20.6% at 10,000 candelas per square meter).</w:t>
      </w:r>
    </w:p>
    <w:p>
      <w:pPr>
        <w:spacing w:before="120" w:after="120"/>
      </w:pPr>
      <w:r>
        <w:rPr>
          <w:sz w:val="18"/>
        </w:rPr>
        <w:t>——————————————————————————————————————————————————————————————————————</w:t>
      </w:r>
    </w:p>
    <w:p>
      <w:pPr>
        <w:spacing w:before="160" w:after="40" w:line="240" w:lineRule="auto"/>
      </w:pPr>
      <w:r>
        <w:rPr>
          <w:b/>
        </w:rPr>
        <w:t xml:space="preserve">[332] </w:t>
      </w:r>
      <w:hyperlink r:id="rId847">
        <w:r>
          <w:rPr>
            <w:color w:val="1155CC"/>
            <w:u w:val="single"/>
          </w:rPr>
          <w:t>PtoCPK3 的自然变异通过协调杨树的木质部重塑和木质素代谢来控制耐旱性</w:t>
        </w:r>
      </w:hyperlink>
    </w:p>
    <w:p>
      <w:pPr>
        <w:spacing w:before="0" w:after="80"/>
      </w:pPr>
      <w:r>
        <w:rPr>
          <w:i/>
          <w:sz w:val="20"/>
        </w:rPr>
        <w:t>EN: Natural variation in PtoCPK3 governs drought tolerance by orchestrating xylem remodeling and lignin metabolism in Populus</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48">
        <w:r>
          <w:rPr>
            <w:color w:val="1155CC"/>
            <w:u w:val="single"/>
          </w:rPr>
          <w:t>10.1126/sciadv.aee2172</w:t>
        </w:r>
      </w:hyperlink>
    </w:p>
    <w:p>
      <w:pPr>
        <w:spacing w:before="0" w:after="120"/>
      </w:pPr>
      <w:r>
        <w:rPr>
          <w:b/>
        </w:rPr>
        <w:t xml:space="preserve">Notes: </w:t>
      </w:r>
      <w:r>
        <w:t>abstract_source=crossref</w:t>
      </w:r>
    </w:p>
    <w:p>
      <w:pPr>
        <w:spacing w:before="0" w:after="80" w:lineRule="auto" w:line="276"/>
      </w:pPr>
      <w:r>
        <w:rPr>
          <w:b/>
        </w:rPr>
        <w:t xml:space="preserve">摘要（ZH）: </w:t>
      </w:r>
      <w:r>
        <w:t>干旱胁迫严重限制了多年生树木的生长。木质部结构是水传导的核心；然而，木质素单体组成驱动木质部重塑以适应干旱仍然是个谜。通过整合多组学分析、基因型-环境关联分析和基于代谢物的全基因组关联研究，我们确定了</w:t>
      </w:r>
      <w:r>
        <w:t xml:space="preserve"> </w:t>
      </w:r>
      <w:r>
        <w:t>PtoCPK3</w:t>
      </w:r>
      <w:r>
        <w:t xml:space="preserve"> </w:t>
      </w:r>
      <w:r>
        <w:t>作为与降水相关性状和干旱指数相关的关键基因</w:t>
      </w:r>
      <w:r>
        <w:t xml:space="preserve"> </w:t>
      </w:r>
      <w:r>
        <w:t>毛白杨</w:t>
      </w:r>
      <w:r>
        <w:t xml:space="preserve"> </w:t>
      </w:r>
      <w:r>
        <w:t>。这种关联的变化与松柏醇和阿魏酸有关，这两种代谢物与愈创木基（G）-木质素单体生物合成有关。过度表达</w:t>
      </w:r>
      <w:r>
        <w:t xml:space="preserve"> </w:t>
      </w:r>
      <w:r>
        <w:t>PtoCPK3</w:t>
      </w:r>
      <w:r>
        <w:t xml:space="preserve"> </w:t>
      </w:r>
      <w:r>
        <w:t>通过促进与木质素 S/G 比率降低相关的木质部重塑来增强转基因杨的耐旱性。从机制上讲，干旱引起的 Ca</w:t>
      </w:r>
      <w:r>
        <w:t xml:space="preserve"> </w:t>
      </w:r>
      <w:r>
        <w:t>2+</w:t>
      </w:r>
      <w:r>
        <w:t xml:space="preserve"> </w:t>
      </w:r>
      <w:r>
        <w:t>信号传导激活 PtoCPK3 磷酸化 PtoERF72 Ser</w:t>
      </w:r>
      <w:r>
        <w:rPr>
          <w:vertAlign w:val="subscript"/>
        </w:rPr>
        <w:t>96</w:t>
      </w:r>
      <w:r>
        <w:t>，增强其活性</w:t>
      </w:r>
      <w:r>
        <w:t xml:space="preserve"> </w:t>
      </w:r>
      <w:r>
        <w:t>PtoWOX13b</w:t>
      </w:r>
      <w:r>
        <w:t xml:space="preserve"> </w:t>
      </w:r>
      <w:r>
        <w:t>以及直接镇压</w:t>
      </w:r>
      <w:r>
        <w:t xml:space="preserve"> </w:t>
      </w:r>
      <w:r>
        <w:t>PtoUGT72AZ2</w:t>
      </w:r>
      <w:r>
        <w:t xml:space="preserve"> </w:t>
      </w:r>
      <w:r>
        <w:t>。协同镇压</w:t>
      </w:r>
      <w:r>
        <w:t xml:space="preserve"> </w:t>
      </w:r>
      <w:r>
        <w:t>PtoUGT72AZ2</w:t>
      </w:r>
      <w:r>
        <w:t xml:space="preserve"> </w:t>
      </w:r>
      <w:r>
        <w:t>PtoWOX13b 减少 G 单体前体的糖基化，有利于阿魏酸和松柏醇的积累。此外，自然变异</w:t>
      </w:r>
      <w:r>
        <w:t xml:space="preserve"> </w:t>
      </w:r>
      <w:r>
        <w:t>PtoCPK3</w:t>
      </w:r>
      <w:r>
        <w:t xml:space="preserve"> </w:t>
      </w:r>
      <w:r>
        <w:t>和</w:t>
      </w:r>
      <w:r>
        <w:t xml:space="preserve"> </w:t>
      </w:r>
      <w:r>
        <w:t>PtoERF72</w:t>
      </w:r>
      <w:r>
        <w:t xml:space="preserve"> </w:t>
      </w:r>
      <w:r>
        <w:t>推动地理差异，</w:t>
      </w:r>
    </w:p>
    <w:p>
      <w:pPr>
        <w:spacing w:before="0" w:after="200" w:lineRule="auto" w:line="276"/>
      </w:pPr>
      <w:r>
        <w:rPr>
          <w:b/>
        </w:rPr>
        <w:t xml:space="preserve">Abstract (EN): </w:t>
      </w:r>
      <w:r>
        <w:t>Drought stress severely limits the growth of perennial trees. Xylem structure is central to water conduction; however, lignin monomer composition driving xylem remodeling for drought adaptation remains enigmatic. By integrating multi-omics analyses, genotype-environment association analysis, and metabolite-based genome-wide association studies, we identified</w:t>
      </w:r>
      <w:r>
        <w:t xml:space="preserve"> </w:t>
      </w:r>
      <w:r>
        <w:t>PtoCPK3</w:t>
      </w:r>
      <w:r>
        <w:t xml:space="preserve"> </w:t>
      </w:r>
      <w:r>
        <w:t>as a key gene associated with precipitation-related traits and the aridity index in</w:t>
      </w:r>
      <w:r>
        <w:t xml:space="preserve"> </w:t>
      </w:r>
      <w:r>
        <w:t>Populus tomentosa</w:t>
      </w:r>
      <w:r>
        <w:t xml:space="preserve"> </w:t>
      </w:r>
      <w:r>
        <w:t>. This variation in association was linked to coniferyl alcohol and ferulic acid, two metabolites related to guaiacyl (G)-lignin monomer biosynthesis. Overexpressing</w:t>
      </w:r>
      <w:r>
        <w:t xml:space="preserve"> </w:t>
      </w:r>
      <w:r>
        <w:t>PtoCPK3</w:t>
      </w:r>
      <w:r>
        <w:t xml:space="preserve"> </w:t>
      </w:r>
      <w:r>
        <w:t>enhanced drought tolerance in transgenic poplar by promoting xylem remodeling associated with a decreased lignin S/G ratio. Mechanistically, drought-induced Ca</w:t>
      </w:r>
      <w:r>
        <w:t xml:space="preserve"> </w:t>
      </w:r>
      <w:r>
        <w:t>2+</w:t>
      </w:r>
      <w:r>
        <w:t xml:space="preserve"> </w:t>
      </w:r>
      <w:r>
        <w:t>signaling activates PtoCPK3 to phosphorylate PtoERF72 at Ser</w:t>
      </w:r>
      <w:r>
        <w:rPr>
          <w:vertAlign w:val="subscript"/>
        </w:rPr>
        <w:t>96</w:t>
      </w:r>
      <w:r>
        <w:t>, enhancing its activation of</w:t>
      </w:r>
      <w:r>
        <w:t xml:space="preserve"> </w:t>
      </w:r>
      <w:r>
        <w:t>PtoWOX13b</w:t>
      </w:r>
      <w:r>
        <w:t xml:space="preserve"> </w:t>
      </w:r>
      <w:r>
        <w:t>and direct repression of</w:t>
      </w:r>
      <w:r>
        <w:t xml:space="preserve"> </w:t>
      </w:r>
      <w:r>
        <w:t>PtoUGT72AZ2</w:t>
      </w:r>
      <w:r>
        <w:t xml:space="preserve"> </w:t>
      </w:r>
      <w:r>
        <w:t>. Synergistic repression of</w:t>
      </w:r>
      <w:r>
        <w:t xml:space="preserve"> </w:t>
      </w:r>
      <w:r>
        <w:t>PtoUGT72AZ2</w:t>
      </w:r>
      <w:r>
        <w:t xml:space="preserve"> </w:t>
      </w:r>
      <w:r>
        <w:t>by PtoWOX13b reduces glycosylation of G-monomer precursors, favoring ferulic acid and coniferyl alcohol accumulation. Furthermore, natural variants in</w:t>
      </w:r>
      <w:r>
        <w:t xml:space="preserve"> </w:t>
      </w:r>
      <w:r>
        <w:t>PtoCPK3</w:t>
      </w:r>
      <w:r>
        <w:t xml:space="preserve"> </w:t>
      </w:r>
      <w:r>
        <w:t>and</w:t>
      </w:r>
      <w:r>
        <w:t xml:space="preserve"> </w:t>
      </w:r>
      <w:r>
        <w:t>PtoERF72</w:t>
      </w:r>
      <w:r>
        <w:t xml:space="preserve"> </w:t>
      </w:r>
      <w:r>
        <w:t>drive geographic divergence, with the</w:t>
      </w:r>
      <w:r>
        <w:t xml:space="preserve"> </w:t>
      </w:r>
      <w:r>
        <w:t>PtoCPK3</w:t>
      </w:r>
      <w:r>
        <w:t xml:space="preserve"> </w:t>
      </w:r>
      <w:r>
        <w:t>II</w:t>
      </w:r>
      <w:r>
        <w:t xml:space="preserve"> </w:t>
      </w:r>
      <w:r>
        <w:t>_</w:t>
      </w:r>
      <w:r>
        <w:t xml:space="preserve"> </w:t>
      </w:r>
      <w:r>
        <w:t>PtoERF72</w:t>
      </w:r>
      <w:r>
        <w:t xml:space="preserve"> </w:t>
      </w:r>
      <w:r>
        <w:t>CC</w:t>
      </w:r>
      <w:r>
        <w:t xml:space="preserve"> </w:t>
      </w:r>
      <w:r>
        <w:t>genotype conferring superior drought resilience via elevated phosphorylation efficiency. This module links drought signaling to xylem remodeling, providing genetic targets for breeding drought-resilient trees.</w:t>
      </w:r>
    </w:p>
    <w:p>
      <w:pPr>
        <w:spacing w:before="120" w:after="120"/>
      </w:pPr>
      <w:r>
        <w:rPr>
          <w:sz w:val="18"/>
        </w:rPr>
        <w:t>——————————————————————————————————————————————————————————————————————</w:t>
      </w:r>
    </w:p>
    <w:p>
      <w:pPr>
        <w:spacing w:before="160" w:after="40" w:line="240" w:lineRule="auto"/>
      </w:pPr>
      <w:r>
        <w:rPr>
          <w:b/>
        </w:rPr>
        <w:t xml:space="preserve">[333] </w:t>
      </w:r>
      <w:hyperlink r:id="rId849">
        <w:r>
          <w:rPr>
            <w:color w:val="1155CC"/>
            <w:u w:val="single"/>
          </w:rPr>
          <w:t>假设的 HSV-1 疫苗在美国对公众健康的预计益处：数学模型分析</w:t>
        </w:r>
      </w:hyperlink>
    </w:p>
    <w:p>
      <w:pPr>
        <w:spacing w:before="0" w:after="80"/>
      </w:pPr>
      <w:r>
        <w:rPr>
          <w:i/>
          <w:sz w:val="20"/>
        </w:rPr>
        <w:t>EN: Projected public health benefits of a hypothetical HSV-1 vaccine in the United States: A mathematical modeling analysis</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50">
        <w:r>
          <w:rPr>
            <w:color w:val="1155CC"/>
            <w:u w:val="single"/>
          </w:rPr>
          <w:t>10.1126/sciadv.aee0698</w:t>
        </w:r>
      </w:hyperlink>
    </w:p>
    <w:p>
      <w:pPr>
        <w:spacing w:before="0" w:after="120"/>
      </w:pPr>
      <w:r>
        <w:rPr>
          <w:b/>
        </w:rPr>
        <w:t xml:space="preserve">Notes: </w:t>
      </w:r>
      <w:r>
        <w:t>abstract_source=crossref</w:t>
      </w:r>
    </w:p>
    <w:p>
      <w:pPr>
        <w:spacing w:before="0" w:after="80" w:lineRule="auto" w:line="276"/>
      </w:pPr>
      <w:r>
        <w:rPr>
          <w:b/>
        </w:rPr>
        <w:t xml:space="preserve">摘要（ZH）: </w:t>
      </w:r>
      <w:r>
        <w:t>1 型单纯疱疹病毒 (HSV-1) 感染在世界范围内非常流行，可引起口腔、生殖器和新生儿疱疹。目前正在开发几种 HSV 候选疫苗。本研究使用数学模型来估计 HSV-1 疫苗接种策略对美国人群的潜在影响。 2030年推出的有效率70%和终身保护的婴儿疫苗接种，到2075年，口腔和生殖器发病率分别降低47.3%和58.3%，年度新增感染人数分别下降41.2%和53.5%，累计避免感染人数2850万人。从计划启动到特定年份，为预防一种感染而需要接种疫苗的人数从 2040 年的 35.8 人下降到 2070 年的 7.2 人。增加青少年补种疫苗接种进一步减少了口腔，特别是生殖器的发病率。终身保护产生的影响比 15 年保护大大约三倍。 HSV-1 疫苗接种可以大幅减少口腔和生殖器 HSV-1 负担，支持疫苗开发的优先顺序并纳入公共卫生战略。</w:t>
      </w:r>
    </w:p>
    <w:p>
      <w:pPr>
        <w:spacing w:before="0" w:after="200" w:lineRule="auto" w:line="276"/>
      </w:pPr>
      <w:r>
        <w:rPr>
          <w:b/>
        </w:rPr>
        <w:t xml:space="preserve">Abstract (EN): </w:t>
      </w:r>
      <w:r>
        <w:t>Herpes simplex virus type 1 (HSV-1) infection is highly prevalent worldwide and causes oral, genital, and neonatal herpes. Several HSV vaccine candidates are currently in development. This study used mathematical modeling to estimate the potential population-level impact of HSV-1 vaccination strategies in the United States. Infant vaccination with 70% efficacy and lifelong protection introduced in 2030 reduced oral and genital incidence rate by 47.3 and 58.3% by 2075, respectively, with annual new infections declining by 41.2 and 53.5%, corresponding to 28.5 million cumulative infections averted. The number needed to vaccinate to prevent one infection, defined from program initiation to a specified year, declined from 35.8 by 2040 to 7.2 by 2070. Addition of adolescent catch-up vaccination further reduced oral and particularly genital incidence. Lifelong protection produced approximately threefold greater impact than 15-year protection. HSV-1 vaccination could substantially reduce oral and genital HSV-1 burden, supporting prioritization of vaccine development and integration into public health strategies.</w:t>
      </w:r>
    </w:p>
    <w:p>
      <w:pPr>
        <w:spacing w:before="120" w:after="120"/>
      </w:pPr>
      <w:r>
        <w:rPr>
          <w:sz w:val="18"/>
        </w:rPr>
        <w:t>——————————————————————————————————————————————————————————————————————</w:t>
      </w:r>
    </w:p>
    <w:p>
      <w:pPr>
        <w:spacing w:before="160" w:after="40" w:line="240" w:lineRule="auto"/>
      </w:pPr>
      <w:r>
        <w:rPr>
          <w:b/>
        </w:rPr>
        <w:t xml:space="preserve">[334] </w:t>
      </w:r>
      <w:hyperlink r:id="rId851">
        <w:r>
          <w:rPr>
            <w:color w:val="1155CC"/>
            <w:u w:val="single"/>
          </w:rPr>
          <w:t>巴西二十年来由人类和气候引起的地下水储存变化</w:t>
        </w:r>
      </w:hyperlink>
    </w:p>
    <w:p>
      <w:pPr>
        <w:spacing w:before="0" w:after="80"/>
      </w:pPr>
      <w:r>
        <w:rPr>
          <w:i/>
          <w:sz w:val="20"/>
        </w:rPr>
        <w:t>EN: Two decades of human- and climate-induced groundwater storage shifts in Brazil</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52">
        <w:r>
          <w:rPr>
            <w:color w:val="1155CC"/>
            <w:u w:val="single"/>
          </w:rPr>
          <w:t>10.1126/sciadv.aee0266</w:t>
        </w:r>
      </w:hyperlink>
    </w:p>
    <w:p>
      <w:pPr>
        <w:spacing w:before="0" w:after="120"/>
      </w:pPr>
      <w:r>
        <w:rPr>
          <w:b/>
        </w:rPr>
        <w:t xml:space="preserve">Notes: </w:t>
      </w:r>
      <w:r>
        <w:t>abstract_source=crossref</w:t>
      </w:r>
    </w:p>
    <w:p>
      <w:pPr>
        <w:spacing w:before="0" w:after="80" w:lineRule="auto" w:line="276"/>
      </w:pPr>
      <w:r>
        <w:rPr>
          <w:b/>
        </w:rPr>
        <w:t xml:space="preserve">摘要（ZH）: </w:t>
      </w:r>
      <w:r>
        <w:t>巴西拥有世界上最大的可再生淡水储量，但反复发生的水危机暴露了其在极端事件下日益脆弱的状况。随着国家地下水需求的增加，这些储量仍然没有得到很好的监测。在这里，我们提出了过去二十年巴西地下水行为的数据驱动时空重建，将多卫星和原位数据集成到人工智能建模框架中。结果揭示了全国约 850 万平方公里的地下水变化、补给以及气候和人为压力因素下的新趋势</w:t>
      </w:r>
      <w:r>
        <w:rPr>
          <w:vertAlign w:val="subscript"/>
        </w:rPr>
        <w:t>2</w:t>
      </w:r>
      <w:r>
        <w:t>土地。 2002 年至 2023 年期间，巴西含水层露头区的平均地下水补给量为 223 ± 16 毫米/年</w:t>
      </w:r>
      <w:r>
        <w:t xml:space="preserve"> </w:t>
      </w:r>
      <w:r>
        <w:t>−1</w:t>
      </w:r>
      <w:r>
        <w:t xml:space="preserve"> </w:t>
      </w:r>
      <w:r>
        <w:t>，相当于这些地区年平均降水量的 12% 左右。当对分析的露头范围进行积分时，这对应于 ~1900 ± 136 km 的自然补给通量</w:t>
      </w:r>
      <w:r>
        <w:rPr>
          <w:vertAlign w:val="subscript"/>
        </w:rPr>
        <w:t>3</w:t>
      </w:r>
      <w:r>
        <w:t>年</w:t>
      </w:r>
      <w:r>
        <w:t xml:space="preserve"> </w:t>
      </w:r>
      <w:r>
        <w:t>−1</w:t>
      </w:r>
      <w:r>
        <w:t xml:space="preserve"> </w:t>
      </w:r>
      <w:r>
        <w:t>。巴西东部严重开采的含水层持续枯竭或没有补给，进一步受到长期干旱和气候波动的影响。这些含水层目前的水位下降反映了在孟加拉国、印度、伊朗和美国密集开采的含水层中观察到的模式。作为世界主要粮仓，巴西在全球粮食安全中发挥着至关重要的作用。因此，这里介绍的结果对于国家在日益严重的气候压力下维持农业生产力至关重要。</w:t>
      </w:r>
    </w:p>
    <w:p>
      <w:pPr>
        <w:spacing w:before="0" w:after="200" w:lineRule="auto" w:line="276"/>
      </w:pPr>
      <w:r>
        <w:rPr>
          <w:b/>
        </w:rPr>
        <w:t xml:space="preserve">Abstract (EN): </w:t>
      </w:r>
      <w:r>
        <w:t>Brazil holds the world’s largest reserves of renewable fresh water, yet recurrent water crises expose its growing vulnerability under extreme events. As the nation’s groundwater demand increases, these reserves still are poorly monitored. Here, we present a data-driven spatiotemporal reconstruction of Brazil’s groundwater behavior over the past two decades, integrating multi-satellite and in situ data into an artificial intelligence modeling framework. Results reveal groundwater variability, recharge, and emerging trends under climatological and anthropogenic stressors across the nation’s ~8.5 million km</w:t>
      </w:r>
      <w:r>
        <w:rPr>
          <w:vertAlign w:val="subscript"/>
        </w:rPr>
        <w:t>2</w:t>
      </w:r>
      <w:r>
        <w:t>of land. Brazil’s mean groundwater recharge in aquifer outcrop zones during 2002–2023 was 223 ± 16 mm year</w:t>
      </w:r>
      <w:r>
        <w:t xml:space="preserve"> </w:t>
      </w:r>
      <w:r>
        <w:t>−1</w:t>
      </w:r>
      <w:r>
        <w:t xml:space="preserve"> </w:t>
      </w:r>
      <w:r>
        <w:t>, corresponding to ~12% of mean annual precipitation in those areas. When integrated over the analyzed outcrop extent, this corresponds to a natural recharge flux of ~1900 ± 136 km</w:t>
      </w:r>
      <w:r>
        <w:rPr>
          <w:vertAlign w:val="subscript"/>
        </w:rPr>
        <w:t>3</w:t>
      </w:r>
      <w:r>
        <w:t>year</w:t>
      </w:r>
      <w:r>
        <w:t xml:space="preserve"> </w:t>
      </w:r>
      <w:r>
        <w:t>−1</w:t>
      </w:r>
      <w:r>
        <w:t xml:space="preserve"> </w:t>
      </w:r>
      <w:r>
        <w:t>. Persistent depletion or no recharge is observed in heavily exploited aquifers in eastern Brazil, further impacted by prolonged droughts and climate oscillations. Such aquifers present level declines mirroring patterns observed in intensively exploited aquifers in Bangladesh, India, Iran, and the US. As a world’s major breadbasket, Brazil plays a vital role in global food security. Results presented here are therefore critical to the nation’s sustaining agricultural productivity under increasing climate stress.</w:t>
      </w:r>
    </w:p>
    <w:p>
      <w:pPr>
        <w:spacing w:before="120" w:after="120"/>
      </w:pPr>
      <w:r>
        <w:rPr>
          <w:sz w:val="18"/>
        </w:rPr>
        <w:t>——————————————————————————————————————————————————————————————————————</w:t>
      </w:r>
    </w:p>
    <w:p>
      <w:pPr>
        <w:spacing w:before="160" w:after="40" w:line="240" w:lineRule="auto"/>
      </w:pPr>
      <w:r>
        <w:rPr>
          <w:b/>
        </w:rPr>
        <w:t xml:space="preserve">[335] </w:t>
      </w:r>
      <w:hyperlink r:id="rId853">
        <w:r>
          <w:rPr>
            <w:color w:val="1155CC"/>
            <w:u w:val="single"/>
          </w:rPr>
          <w:t>第一代星子的磷氮系统限制了生命必需元素向地球的输送</w:t>
        </w:r>
      </w:hyperlink>
    </w:p>
    <w:p>
      <w:pPr>
        <w:spacing w:before="0" w:after="80"/>
      </w:pPr>
      <w:r>
        <w:rPr>
          <w:i/>
          <w:sz w:val="20"/>
        </w:rPr>
        <w:t>EN: Phosphorus-nitrogen systematics of first-generation planetesimals constrain life-essential element delivery to Earth</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54">
        <w:r>
          <w:rPr>
            <w:color w:val="1155CC"/>
            <w:u w:val="single"/>
          </w:rPr>
          <w:t>10.1126/sciadv.aed8749</w:t>
        </w:r>
      </w:hyperlink>
    </w:p>
    <w:p>
      <w:pPr>
        <w:spacing w:before="0" w:after="120"/>
      </w:pPr>
      <w:r>
        <w:rPr>
          <w:b/>
        </w:rPr>
        <w:t xml:space="preserve">Notes: </w:t>
      </w:r>
      <w:r>
        <w:t>abstract_source=crossref</w:t>
      </w:r>
    </w:p>
    <w:p>
      <w:pPr>
        <w:spacing w:before="0" w:after="80" w:lineRule="auto" w:line="276"/>
      </w:pPr>
      <w:r>
        <w:rPr>
          <w:b/>
        </w:rPr>
        <w:t xml:space="preserve">摘要（ZH）: </w:t>
      </w:r>
      <w:r>
        <w:t>岩石行星的宜居性取决于其构建模块中生命基本元素（LEE）的预算。向地球提供 LEE 的星子的来源和地球化学仍然存在争议。传统模型认为 LEE 是通过太阳系外球粒陨石输送的，但它们 2 到 4 百万年（Myr）的吸积年龄使它们无法作为第一种原料。为了研究初始 LEE 分布，我们重建了铁陨石母体 (IMPB) 的磷-氮 (P-N) 预算，该母体在太阳系形成过程中吸积了 &lt;1 Myr。固体和液体合金之间的 P-N 分配的高压-温度实验与地球化学模型相结合，揭示了太阳系外 IMPB 的 P/N 比高于内部 IMPB，而球粒陨石中的趋势却相反。这种演化反映了早期难熔的施赖伯铁矿向外盘的输送，后来因木星的生长而受到限制。结合先前关于挥发性 LEE 的元素和同位素数据进行的进一步建模表明，早期和晚期的内太阳系星子都是地球 LEE 库存的主要贡献者。</w:t>
      </w:r>
    </w:p>
    <w:p>
      <w:pPr>
        <w:spacing w:before="0" w:after="200" w:lineRule="auto" w:line="276"/>
      </w:pPr>
      <w:r>
        <w:rPr>
          <w:b/>
        </w:rPr>
        <w:t xml:space="preserve">Abstract (EN): </w:t>
      </w:r>
      <w:r>
        <w:t>Habitability of rocky planets relies on the budgets of life-essential elements (LEEs) in their building blocks. The provenance and geochemistry of the planetesimals that supplied the LEEs to Earth remain debated. Traditional models argue LEE delivery via outer Solar System chondrites, but their 2 to 4 million-year (Myr) accretion ages preclude them as the first feedstock. To investigate the initial LEE distribution, we reconstructed the phosphorus-nitrogen (P-N) budget of the iron meteorite parent bodies (IMPBs), which accreted &amp;lt;1 Myr of Solar System formation. High-pressure-temperature experiments of P-N partitioning between solid and liquid alloys combined with geochemical models reveal higher P/N ratios in outer Solar System IMPBs than in inner ones—a trend reversed in chondrites. This evolution reflects early refractory schreibersite delivery to the outer disk, later curtailed by Jupiter’s growth. Further modeling in combination with previous elemental and isotopic data on volatile LEEs suggests that both early and later inner Solar System planetesimals are chief contributors to Earth’s LEE inventory.</w:t>
      </w:r>
    </w:p>
    <w:p>
      <w:pPr>
        <w:spacing w:before="120" w:after="120"/>
      </w:pPr>
      <w:r>
        <w:rPr>
          <w:sz w:val="18"/>
        </w:rPr>
        <w:t>——————————————————————————————————————————————————————————————————————</w:t>
      </w:r>
    </w:p>
    <w:p>
      <w:pPr>
        <w:spacing w:before="160" w:after="40" w:line="240" w:lineRule="auto"/>
      </w:pPr>
      <w:r>
        <w:rPr>
          <w:b/>
        </w:rPr>
        <w:t xml:space="preserve">[336] </w:t>
      </w:r>
      <w:hyperlink r:id="rId855">
        <w:r>
          <w:rPr>
            <w:color w:val="1155CC"/>
            <w:u w:val="single"/>
          </w:rPr>
          <w:t>脂质成分和机械力是 Piezo1 门控多模式调节的基础</w:t>
        </w:r>
      </w:hyperlink>
    </w:p>
    <w:p>
      <w:pPr>
        <w:spacing w:before="0" w:after="80"/>
      </w:pPr>
      <w:r>
        <w:rPr>
          <w:i/>
          <w:sz w:val="20"/>
        </w:rPr>
        <w:t>EN: Lipid composition and mechanical force underlie multi-modal regulation of Piezo1 gating</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56">
        <w:r>
          <w:rPr>
            <w:color w:val="1155CC"/>
            <w:u w:val="single"/>
          </w:rPr>
          <w:t>10.1126/sciadv.aed7115</w:t>
        </w:r>
      </w:hyperlink>
    </w:p>
    <w:p>
      <w:pPr>
        <w:spacing w:before="0" w:after="120"/>
      </w:pPr>
      <w:r>
        <w:rPr>
          <w:b/>
        </w:rPr>
        <w:t xml:space="preserve">Notes: </w:t>
      </w:r>
      <w:r>
        <w:t>abstract_source=crossref</w:t>
      </w:r>
    </w:p>
    <w:p>
      <w:pPr>
        <w:spacing w:before="0" w:after="80" w:lineRule="auto" w:line="276"/>
      </w:pPr>
      <w:r>
        <w:rPr>
          <w:b/>
        </w:rPr>
        <w:t xml:space="preserve">摘要（ZH）: </w:t>
      </w:r>
      <w:r>
        <w:t>Piezo1 离子通道是广泛表达的细胞机械传感器。它们在关闭时采用本质上弯曲的形状，并且当施加到膜上的机械力有利于形成更平坦的构象时，它们被认为打开。在之前的研究中，脂质囊泡中的 Piezo1 通道采用了由膜曲率介导的稍微扁平的构象；然而，离子传导孔仍然关闭。与封闭孔一致，Piezo1 通道不会打开并传导结构研究中使用的脂质种类中的离子。在这里，我们首先证明细胞源性膜中的 Piezo1 通道保留了在机械力下打开和传导离子的能力，其次，在细胞源性膜囊泡中，它们采用更完全扁平的圆盘形状，与离子传导途径内部和周围的大构象变化相关。细胞来源的脂质膜中发生的这些构象变化表明机械力是必要的但还不够，并且特定的膜来源的辅助因子补充了机械力以激活 Piezo1。</w:t>
      </w:r>
    </w:p>
    <w:p>
      <w:pPr>
        <w:spacing w:before="0" w:after="200" w:lineRule="auto" w:line="276"/>
      </w:pPr>
      <w:r>
        <w:rPr>
          <w:b/>
        </w:rPr>
        <w:t xml:space="preserve">Abstract (EN): </w:t>
      </w:r>
      <w:r>
        <w:t>Piezo1 ion channels are widely expressed cellular mechanosensors. They adopt an intrinsically curved shape when closed and are thought to open when mechanical forces applied to the membrane favor a more flattened conformation. In previous studies, Piezo1 channels in lipid vesicles adopted a somewhat flattened conformation mediated by membrane curvature; however, the ion conduction pore remained closed. In line with the closed pore, Piezo1 channels do not open and conduct ions in the kind of lipids that were used in the structural studies. Here, we show first that Piezo1 channels in cell-derived membranes retain the ability to open and conduct ions under mechanical force, and second, that in cell-derived membrane vesicles, they adopt a more completely flattened disk shape associated with large conformational changes within and around the ion conduction pathway. These conformational changes occurring in cell-derived lipid membranes suggest that mechanical force is necessary but insufficient, and that a specific membrane-derived cofactor complements mechanical force to activate Piezo1.</w:t>
      </w:r>
    </w:p>
    <w:p>
      <w:pPr>
        <w:spacing w:before="120" w:after="120"/>
      </w:pPr>
      <w:r>
        <w:rPr>
          <w:sz w:val="18"/>
        </w:rPr>
        <w:t>——————————————————————————————————————————————————————————————————————</w:t>
      </w:r>
    </w:p>
    <w:p>
      <w:pPr>
        <w:spacing w:before="160" w:after="40" w:line="240" w:lineRule="auto"/>
      </w:pPr>
      <w:r>
        <w:rPr>
          <w:b/>
        </w:rPr>
        <w:t xml:space="preserve">[337] </w:t>
      </w:r>
      <w:hyperlink r:id="rId857">
        <w:r>
          <w:rPr>
            <w:color w:val="1155CC"/>
            <w:u w:val="single"/>
          </w:rPr>
          <w:t>用于改进细尺度海洋环流卫星观测的全球内潮汐建模框架</w:t>
        </w:r>
      </w:hyperlink>
    </w:p>
    <w:p>
      <w:pPr>
        <w:spacing w:before="0" w:after="80"/>
      </w:pPr>
      <w:r>
        <w:rPr>
          <w:i/>
          <w:sz w:val="20"/>
        </w:rPr>
        <w:t>EN: A global internal tide modeling framework for improving satellite observations of fine-scale ocean circulation</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58">
        <w:r>
          <w:rPr>
            <w:color w:val="1155CC"/>
            <w:u w:val="single"/>
          </w:rPr>
          <w:t>10.1126/sciadv.aee1885</w:t>
        </w:r>
      </w:hyperlink>
    </w:p>
    <w:p>
      <w:pPr>
        <w:spacing w:before="0" w:after="120"/>
      </w:pPr>
      <w:r>
        <w:rPr>
          <w:b/>
        </w:rPr>
        <w:t xml:space="preserve">Notes: </w:t>
      </w:r>
      <w:r>
        <w:t>abstract_source=crossref</w:t>
      </w:r>
    </w:p>
    <w:p>
      <w:pPr>
        <w:spacing w:before="0" w:after="80" w:lineRule="auto" w:line="276"/>
      </w:pPr>
      <w:r>
        <w:rPr>
          <w:b/>
        </w:rPr>
        <w:t xml:space="preserve">摘要（ZH）: </w:t>
      </w:r>
      <w:r>
        <w:t>小规模海洋涡流和细丝介导全球海洋内热量和碳的垂直交换。地表水和海洋地形（SWOT）任务通过宽幅干涉测量来解决这些特征，但内潮汐经常掩盖这些观测结果。非锁相内潮汐存在特殊困难，因为它们随着海洋背景的演变而变化。我们证明这种混乱的变化是可以预测的。我们使用数据同化海洋预报模型来解析中尺度环境，并将潮汐信号与更广泛的环流分开。该模型在独立的 SWOT 测量中捕获了这些不相干波的组织结构。相对于当前的经验方法，对总（锁相加非锁相）内潮信号进行校正可将误差减少 59%。这些发现表明，当对不断演变的海洋状态进行明确建模时，非锁相内潮汐变得可预测。我们的框架允许宽幅测高更准确地绘制海洋中气候重要的精细尺度动态。</w:t>
      </w:r>
    </w:p>
    <w:p>
      <w:pPr>
        <w:spacing w:before="0" w:after="200" w:lineRule="auto" w:line="276"/>
      </w:pPr>
      <w:r>
        <w:rPr>
          <w:b/>
        </w:rPr>
        <w:t xml:space="preserve">Abstract (EN): </w:t>
      </w:r>
      <w:r>
        <w:t>Small-scale oceanic eddies and filaments mediate the vertical exchange of heat and carbon within the global ocean. The Surface Water and Ocean Topography (SWOT) mission resolves these features through wide-swath interferometry, but internal tides often mask these observations. Non–phase-locked internal tides present special difficulty because they vary with the evolving ocean background. We show that this chaotic variability can be predicted. We use a data-assimilative ocean forecast model to resolve the mesoscale environment and separate tidal signals from the broader circulation. The model captures the organized structure of these incoherent waves in the independent SWOT measurements. Correcting for the total (phase-locked plus non–phase-locked) internal tide signal reduces the error by 59% relative to current empirical methods. These findings show that non–phase-locked internal tides become predictable when the evolving ocean state is explicitly modeled. Our framework allows wide-swath altimetry to more accurately map climatically important fine-scale dynamics in the ocean.</w:t>
      </w:r>
    </w:p>
    <w:p>
      <w:pPr>
        <w:spacing w:before="120" w:after="120"/>
      </w:pPr>
      <w:r>
        <w:rPr>
          <w:sz w:val="18"/>
        </w:rPr>
        <w:t>——————————————————————————————————————————————————————————————————————</w:t>
      </w:r>
    </w:p>
    <w:p>
      <w:pPr>
        <w:spacing w:before="160" w:after="40" w:line="240" w:lineRule="auto"/>
      </w:pPr>
      <w:r>
        <w:rPr>
          <w:b/>
        </w:rPr>
        <w:t xml:space="preserve">[338] </w:t>
      </w:r>
      <w:hyperlink r:id="rId859">
        <w:r>
          <w:rPr>
            <w:color w:val="1155CC"/>
            <w:u w:val="single"/>
          </w:rPr>
          <w:t>原位蛋白质组学揭示了神经元纤毛突触外信号传导的专门领域</w:t>
        </w:r>
      </w:hyperlink>
    </w:p>
    <w:p>
      <w:pPr>
        <w:spacing w:before="0" w:after="80"/>
      </w:pPr>
      <w:r>
        <w:rPr>
          <w:i/>
          <w:sz w:val="20"/>
        </w:rPr>
        <w:t>EN: In situ proteomics unveils specialized domains for extrasynaptic signaling on neuronal cilia</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60">
        <w:r>
          <w:rPr>
            <w:color w:val="1155CC"/>
            <w:u w:val="single"/>
          </w:rPr>
          <w:t>10.1126/sciadv.aed5548</w:t>
        </w:r>
      </w:hyperlink>
    </w:p>
    <w:p>
      <w:pPr>
        <w:spacing w:before="0" w:after="120"/>
      </w:pPr>
      <w:r>
        <w:rPr>
          <w:b/>
        </w:rPr>
        <w:t xml:space="preserve">Notes: </w:t>
      </w:r>
      <w:r>
        <w:t>abstract_source=crossref</w:t>
      </w:r>
    </w:p>
    <w:p>
      <w:pPr>
        <w:spacing w:before="0" w:after="80" w:lineRule="auto" w:line="276"/>
      </w:pPr>
      <w:r>
        <w:rPr>
          <w:b/>
        </w:rPr>
        <w:t xml:space="preserve">摘要（ZH）: </w:t>
      </w:r>
      <w:r>
        <w:t>神经元纤毛已成为重要的信号传导中心，但其分子组成以及与突触通讯的整合仍然知之甚少。使用新开发的</w:t>
      </w:r>
      <w:r>
        <w:t xml:space="preserve"> </w:t>
      </w:r>
      <w:r>
        <w:t>Arl13b-TurboID</w:t>
      </w:r>
      <w:r>
        <w:t xml:space="preserve"> </w:t>
      </w:r>
      <w:r>
        <w:t>在小鼠模型中，我们在不同的组织和细胞类型中实现了强大的纤毛特异性生物素化和蛋白质组分析。比较蛋白质组学揭示了显着的组织特异性专业化，神经元纤毛独特地富含突触蛋白、粘附分子和神经递质受体。出乎意料的是，一些信号传导和粘附分子定位于由主动修复机制维持的离散纳米结构域中的神经元纤毛。在小鼠皮层中，扩展显微镜显示 NMDA 受体亚基 GluN1 组织在神经元纤毛膜上的纳米结构域中，这些纳米结构域被精确定位以采样来自邻近谷氨酸能突触的神经递质流出。这些发现将神经元纤毛确立为专门的突触外信号平台，其纳米级组织使它们能够整合局部突触线索并调节神经元连接。</w:t>
      </w:r>
    </w:p>
    <w:p>
      <w:pPr>
        <w:spacing w:before="0" w:after="200" w:lineRule="auto" w:line="276"/>
      </w:pPr>
      <w:r>
        <w:rPr>
          <w:b/>
        </w:rPr>
        <w:t xml:space="preserve">Abstract (EN): </w:t>
      </w:r>
      <w:r>
        <w:t>Neuronal cilia have emerged as crucial signaling hubs, yet their molecular composition and integration with synaptic communication remain poorly understood. Using a newly developed</w:t>
      </w:r>
      <w:r>
        <w:t xml:space="preserve"> </w:t>
      </w:r>
      <w:r>
        <w:t>Arl13b-TurboID</w:t>
      </w:r>
      <w:r>
        <w:t xml:space="preserve"> </w:t>
      </w:r>
      <w:r>
        <w:t>mouse model, we achieved robust cilia-specific biotinylation and proteomic profiling across diverse tissues and cell types. Comparative proteomics revealed notable tissue-specific specialization, with neuronal cilia uniquely enriched in synaptic proteins, adhesion molecules, and neurotransmitter receptors. Unexpectedly, several signaling and adhesion molecules localize to neuronal cilia in discrete nanodomains maintained by active retrieval mechanisms. In the mouse cortex, expansion microscopy revealed that the NMDA receptor subunit GluN1 is organized in nanodomains on neuronal ciliary membranes, which are precisely positioned to sample neurotransmitter efflux from neighboring glutamatergic synapses. These findings establish neuronal cilia as specialized extrasynaptic signaling platforms, with nanoscale organization enabling them to integrate local synaptic cues and modulate neuronal connectivity.</w:t>
      </w:r>
    </w:p>
    <w:p>
      <w:pPr>
        <w:spacing w:before="120" w:after="120"/>
      </w:pPr>
      <w:r>
        <w:rPr>
          <w:sz w:val="18"/>
        </w:rPr>
        <w:t>——————————————————————————————————————————————————————————————————————</w:t>
      </w:r>
    </w:p>
    <w:p>
      <w:pPr>
        <w:spacing w:before="160" w:after="40" w:line="240" w:lineRule="auto"/>
      </w:pPr>
      <w:r>
        <w:rPr>
          <w:b/>
        </w:rPr>
        <w:t xml:space="preserve">[339] </w:t>
      </w:r>
      <w:hyperlink r:id="rId861">
        <w:r>
          <w:rPr>
            <w:color w:val="1155CC"/>
            <w:u w:val="single"/>
          </w:rPr>
          <w:t>花岗岩侵入增强了沿大洋滑脱断层的应变局部化和地幔快速折返</w:t>
        </w:r>
      </w:hyperlink>
    </w:p>
    <w:p>
      <w:pPr>
        <w:spacing w:before="0" w:after="80"/>
      </w:pPr>
      <w:r>
        <w:rPr>
          <w:i/>
          <w:sz w:val="20"/>
        </w:rPr>
        <w:t>EN: Granitic intrusions enhance strain localization and rapid mantle exhumation along an oceanic detachment fault</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62">
        <w:r>
          <w:rPr>
            <w:color w:val="1155CC"/>
            <w:u w:val="single"/>
          </w:rPr>
          <w:t>10.1126/sciadv.aec6950</w:t>
        </w:r>
      </w:hyperlink>
    </w:p>
    <w:p>
      <w:pPr>
        <w:spacing w:before="0" w:after="120"/>
      </w:pPr>
      <w:r>
        <w:rPr>
          <w:b/>
        </w:rPr>
        <w:t xml:space="preserve">Notes: </w:t>
      </w:r>
      <w:r>
        <w:t>abstract_source=crossref</w:t>
      </w:r>
    </w:p>
    <w:p>
      <w:pPr>
        <w:spacing w:before="0" w:after="80" w:lineRule="auto" w:line="276"/>
      </w:pPr>
      <w:r>
        <w:rPr>
          <w:b/>
        </w:rPr>
        <w:t xml:space="preserve">摘要（ZH）: </w:t>
      </w:r>
      <w:r>
        <w:t>蛇纹石化和岩浆作用削弱了岩石圈，并在贫岩裂谷和超慢海底扩张期间促进地幔折返。然而，沿着分离断层的这些竞争机制之间复杂的相互作用和时间安排仍然缺乏约束。国际海洋发现计划 (IODP) 402 号探险队在意大利近海第勒尼安海钻探了一个早期大洋盆地。回收的岩心由一系列不同变形的花岗岩侵入体组成，其中夹有橄榄岩碎片，而另一组主要是蛇纹石化的橄榄岩，具有不均匀的变形和局部花岗岩侵入体。地质年代学和地球化学数据显示，花岗岩于 400 万年前在约 7 至 9 公里的深度结晶，并在约 50 万年内迅速折返，需要每年约 2 厘米的折返速度。结构观察表明，这些花岗岩具有显着的结晶后应变，并增强了滑脱断层的局部化。稳定同位素记录的蛇纹石化温度约为200°C，表明蛇纹石化发生在花岗岩的侵位和变形之后。我们得出的结论是，弱长英质岩石可能会增强沿中间深度滑脱断层的应变局部化，并有助于大陆裂解和地幔折返。</w:t>
      </w:r>
    </w:p>
    <w:p>
      <w:pPr>
        <w:spacing w:before="0" w:after="200" w:lineRule="auto" w:line="276"/>
      </w:pPr>
      <w:r>
        <w:rPr>
          <w:b/>
        </w:rPr>
        <w:t xml:space="preserve">Abstract (EN): </w:t>
      </w:r>
      <w:r>
        <w:t>Serpentinization and magmatism weaken the lithosphere and facilitate mantle exhumation during magma-poor rifting and ultraslow seafloor spreading. However, the complex interplay and timing among these competing mechanisms along detachment faults remain poorly constrained. The International Ocean Discovery Program (IODP) Expedition 402 drilled an incipient oceanic basin in the Tyrrhenian Sea offshore Italy. Recovered cores consist of one sequence of variably deformed granitic intrusions intercalated with slivers of peridotites and another of primarily serpentinized peridotites with heterogeneous deformation and local granitic intrusions. Geochronological and geochemical data reveal that the granites crystallized at 4 million years ago at a depth of ~7 to 9 kilometers and rapidly exhumed within ~0.5 million years, requiring exhumation rates of ~2 centimeters per year. Structural observations show that these granites accommodated significant postcrystallization strain and enhanced localization of detachment faulting. Stable isotopes record serpentinization temperatures of ~200°C, suggesting that serpentinization occurred after the emplacement and deformation of granites. We conclude that weak felsic rocks may enhance strain localization along detachment faults at intermediate depths and aid continental breakup and mantle exhumation.</w:t>
      </w:r>
    </w:p>
    <w:p>
      <w:pPr>
        <w:spacing w:before="120" w:after="120"/>
      </w:pPr>
      <w:r>
        <w:rPr>
          <w:sz w:val="18"/>
        </w:rPr>
        <w:t>——————————————————————————————————————————————————————————————————————</w:t>
      </w:r>
    </w:p>
    <w:p>
      <w:pPr>
        <w:spacing w:before="160" w:after="40" w:line="240" w:lineRule="auto"/>
      </w:pPr>
      <w:r>
        <w:rPr>
          <w:b/>
        </w:rPr>
        <w:t xml:space="preserve">[340] </w:t>
      </w:r>
      <w:hyperlink r:id="rId863">
        <w:r>
          <w:rPr>
            <w:color w:val="1155CC"/>
            <w:u w:val="single"/>
          </w:rPr>
          <w:t>转座子驱动雄性性别决定基因从雌性基因进化而来，并在慈鲷中深度渗入</w:t>
        </w:r>
      </w:hyperlink>
    </w:p>
    <w:p>
      <w:pPr>
        <w:spacing w:before="0" w:after="80"/>
      </w:pPr>
      <w:r>
        <w:rPr>
          <w:i/>
          <w:sz w:val="20"/>
        </w:rPr>
        <w:t>EN: Transposons drove the evolution of a male sex-determining gene from a female gene with deep introgression across cichlids</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64">
        <w:r>
          <w:rPr>
            <w:color w:val="1155CC"/>
            <w:u w:val="single"/>
          </w:rPr>
          <w:t>10.1126/sciadv.aed6242</w:t>
        </w:r>
      </w:hyperlink>
    </w:p>
    <w:p>
      <w:pPr>
        <w:spacing w:before="0" w:after="120"/>
      </w:pPr>
      <w:r>
        <w:rPr>
          <w:b/>
        </w:rPr>
        <w:t xml:space="preserve">Notes: </w:t>
      </w:r>
      <w:r>
        <w:t>abstract_source=crossref</w:t>
      </w:r>
    </w:p>
    <w:p>
      <w:pPr>
        <w:spacing w:before="0" w:after="80" w:lineRule="auto" w:line="276"/>
      </w:pPr>
      <w:r>
        <w:rPr>
          <w:b/>
        </w:rPr>
        <w:t xml:space="preserve">摘要（ZH）: </w:t>
      </w:r>
      <w:r>
        <w:t>脊椎动物的性别决定机制及其主要调节因子是不同的。下游监管途径的组成部分有时可以被选为新的上游触发因素。在这里，我们报告了跨途径招募的一个显着发现：来自女性分化级联的基因被重新用作男性主性别决定（MSD）基因。我们确定</w:t>
      </w:r>
      <w:r>
        <w:t xml:space="preserve"> </w:t>
      </w:r>
      <w:r>
        <w:t>无花果</w:t>
      </w:r>
      <w:r>
        <w:t xml:space="preserve"> </w:t>
      </w:r>
      <w:r>
        <w:t>，女性相关的 Y 连锁截断重复</w:t>
      </w:r>
      <w:r>
        <w:t xml:space="preserve"> </w:t>
      </w:r>
      <w:r>
        <w:t>菲格拉</w:t>
      </w:r>
      <w:r>
        <w:t xml:space="preserve"> </w:t>
      </w:r>
      <w:r>
        <w:t>，作为莫桑比克罗非鱼的 MSD 基因。</w:t>
      </w:r>
      <w:r>
        <w:t xml:space="preserve"> </w:t>
      </w:r>
      <w:r>
        <w:t>无花果</w:t>
      </w:r>
      <w:r>
        <w:t xml:space="preserve"> </w:t>
      </w:r>
      <w:r>
        <w:t>起源于慈鲷祖先谱系的复制和易位，随后渗入到多个谱系中。促进转座因子</w:t>
      </w:r>
      <w:r>
        <w:t xml:space="preserve"> </w:t>
      </w:r>
      <w:r>
        <w:t>无花果</w:t>
      </w:r>
      <w:r>
        <w:t xml:space="preserve"> </w:t>
      </w:r>
      <w:r>
        <w:t>通过调解重复、截断和监管重新布线而出现。从功能上讲，FIGLAY 抑制</w:t>
      </w:r>
      <w:r>
        <w:t xml:space="preserve"> </w:t>
      </w:r>
      <w:r>
        <w:t>zp2</w:t>
      </w:r>
      <w:r>
        <w:t xml:space="preserve"> </w:t>
      </w:r>
      <w:r>
        <w:t>由FigLA/E12异二聚体激活的启动子，作为显性失活调节因子，抑制卵巢分化并促进睾丸发育。这一发现揭示了从女性到男性性别决定的前所未有的进化路线，即从最初的女性途径的“遗传缺陷”。这种以前未知的机制扩展了脊椎动物性别决定工具包。</w:t>
      </w:r>
    </w:p>
    <w:p>
      <w:pPr>
        <w:spacing w:before="0" w:after="200" w:lineRule="auto" w:line="276"/>
      </w:pPr>
      <w:r>
        <w:rPr>
          <w:b/>
        </w:rPr>
        <w:t xml:space="preserve">Abstract (EN): </w:t>
      </w:r>
      <w:r>
        <w:t>Sex-determination mechanisms and their master regulators are diverse among vertebrates. Components of downstream regulatory pathways can sometimes be co-opted as new upstream triggers. Here, we report a notable finding of cross-pathway recruitment: A gene from the female differentiation cascade was repurposed as a male master sex-determining (MSD) gene. We identify</w:t>
      </w:r>
      <w:r>
        <w:t xml:space="preserve"> </w:t>
      </w:r>
      <w:r>
        <w:t>figlaY</w:t>
      </w:r>
      <w:r>
        <w:t xml:space="preserve"> </w:t>
      </w:r>
      <w:r>
        <w:t>, a Y-linked truncated duplicate of the female-associated</w:t>
      </w:r>
      <w:r>
        <w:t xml:space="preserve"> </w:t>
      </w:r>
      <w:r>
        <w:t>figla</w:t>
      </w:r>
      <w:r>
        <w:t xml:space="preserve"> </w:t>
      </w:r>
      <w:r>
        <w:t>, as the MSD gene in Mozambique tilapia.</w:t>
      </w:r>
      <w:r>
        <w:t xml:space="preserve"> </w:t>
      </w:r>
      <w:r>
        <w:t>figlaY</w:t>
      </w:r>
      <w:r>
        <w:t xml:space="preserve"> </w:t>
      </w:r>
      <w:r>
        <w:t>originated through duplication and translocation in an ancestral cichlid lineage and subsequently introgressed into multiple lineages. Transposable elements facilitated</w:t>
      </w:r>
      <w:r>
        <w:t xml:space="preserve"> </w:t>
      </w:r>
      <w:r>
        <w:t>figlaY</w:t>
      </w:r>
      <w:r>
        <w:t xml:space="preserve"> </w:t>
      </w:r>
      <w:r>
        <w:t>’s emergence by mediating duplication, truncation, and regulatory rewiring. Functionally, FIGLAY suppresses the</w:t>
      </w:r>
      <w:r>
        <w:t xml:space="preserve"> </w:t>
      </w:r>
      <w:r>
        <w:t>zp2</w:t>
      </w:r>
      <w:r>
        <w:t xml:space="preserve"> </w:t>
      </w:r>
      <w:r>
        <w:t>promoter activated by the FIGLA/E12 heterodimer, acting as a dominant-negative regulator that inhibits ovarian differentiation and promotes testis development. This discovery reveals an unprecedented evolutionary route from female to male sex determination, i.e., a “genetic defection” from an initially female pathway. This previously unknown mechanism expands the vertebrate sex-determination toolkit.</w:t>
      </w:r>
    </w:p>
    <w:p>
      <w:pPr>
        <w:spacing w:before="120" w:after="120"/>
      </w:pPr>
      <w:r>
        <w:rPr>
          <w:sz w:val="18"/>
        </w:rPr>
        <w:t>——————————————————————————————————————————————————————————————————————</w:t>
      </w:r>
    </w:p>
    <w:p>
      <w:pPr>
        <w:spacing w:before="160" w:after="40" w:line="240" w:lineRule="auto"/>
      </w:pPr>
      <w:r>
        <w:rPr>
          <w:b/>
        </w:rPr>
        <w:t xml:space="preserve">[341] </w:t>
      </w:r>
      <w:hyperlink r:id="rId865">
        <w:r>
          <w:rPr>
            <w:color w:val="1155CC"/>
            <w:u w:val="single"/>
          </w:rPr>
          <w:t>古新世早期 Lagerstätte 捕获的现代海洋鱼类的兴起</w:t>
        </w:r>
      </w:hyperlink>
    </w:p>
    <w:p>
      <w:pPr>
        <w:spacing w:before="0" w:after="80"/>
      </w:pPr>
      <w:r>
        <w:rPr>
          <w:i/>
          <w:sz w:val="20"/>
        </w:rPr>
        <w:t>EN: Rise of modern marine fishes captured in an early Paleocene Lagerstätte</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66">
        <w:r>
          <w:rPr>
            <w:color w:val="1155CC"/>
            <w:u w:val="single"/>
          </w:rPr>
          <w:t>10.1126/sciadv.aec8978</w:t>
        </w:r>
      </w:hyperlink>
    </w:p>
    <w:p>
      <w:pPr>
        <w:spacing w:before="0" w:after="120"/>
      </w:pPr>
      <w:r>
        <w:rPr>
          <w:b/>
        </w:rPr>
        <w:t xml:space="preserve">Notes: </w:t>
      </w:r>
      <w:r>
        <w:t>abstract_source=crossref</w:t>
      </w:r>
    </w:p>
    <w:p>
      <w:pPr>
        <w:spacing w:before="0" w:after="80" w:lineRule="auto" w:line="276"/>
      </w:pPr>
      <w:r>
        <w:rPr>
          <w:b/>
        </w:rPr>
        <w:t xml:space="preserve">摘要（ZH）: </w:t>
      </w:r>
      <w:r>
        <w:t>白垩纪-古近纪（K-Pg）灭绝重塑了地球的生物多样性，但由于古新世记录的空白，其对海洋鱼类的影响仍然存在争议。在这里，我们报告了埃及古新世早期（达尼安期）的古热带组合，为了解这一转变提供了一个窗口。 Qreiya 3 Lagerstätte [6220 万年前 (Ma)] 揭示了一个近海海洋生态系统，其中至少有 21 个放线翅目类群，横跨 9 个目，超过了所有其他丹尼亚骨骼组合的多样性总和。大多数鱼类都是percomorphs，并且包含至少六个生态上不同的现存群体的最古老的基于骨骼的记录。这些发现强化了鱼类灭绝与 K-Pg 和组成现代群落的快速建立有关的推论，其标志是新谱系在事件发生后约 400 万年（Myr）内首次出现。不同地点的比较表明，percomorphs在古新世较低的古纬度地区更为常见，到始新世扩展到较高的古纬度地区。</w:t>
      </w:r>
    </w:p>
    <w:p>
      <w:pPr>
        <w:spacing w:before="0" w:after="200" w:lineRule="auto" w:line="276"/>
      </w:pPr>
      <w:r>
        <w:rPr>
          <w:b/>
        </w:rPr>
        <w:t xml:space="preserve">Abstract (EN): </w:t>
      </w:r>
      <w:r>
        <w:t>The Cretaceous-Paleogene (K-Pg) extinction reshaped Earth’s biodiversity, yet its impact on marine fishes remains debated due to gaps in the Paleocene record. Here, we report a paleotropical assemblage from the early Paleocene (Danian) of Egypt that provides a window into this transition. The Qreiya 3 Lagerstätte [62.2 million years ago (Ma)] reveals an offshore marine ecosystem with at least 21 actinopterygian taxa across nine orders, exceeding the diversity of all other Danian skeletal assemblages combined. Most fishes are percomorphs and include the oldest skeleton-based records for at least six ecologically divergent extant groups. These findings reinforce inferences of fish extinction linked to the K-Pg and the rapid establishment of compositionally modern communities, marked by the first occurrences of new lineages no later than ~4 million years (Myr) after the event. Comparisons across sites indicate that percomorphs appear more common at lower paleolatitudes in the Paleocene, expanding into higher paleolatitudes by the Eocene.</w:t>
      </w:r>
    </w:p>
    <w:p>
      <w:pPr>
        <w:spacing w:before="120" w:after="120"/>
      </w:pPr>
      <w:r>
        <w:rPr>
          <w:sz w:val="18"/>
        </w:rPr>
        <w:t>——————————————————————————————————————————————————————————————————————</w:t>
      </w:r>
    </w:p>
    <w:p>
      <w:pPr>
        <w:spacing w:before="160" w:after="40" w:line="240" w:lineRule="auto"/>
      </w:pPr>
      <w:r>
        <w:rPr>
          <w:b/>
        </w:rPr>
        <w:t xml:space="preserve">[342] </w:t>
      </w:r>
      <w:hyperlink r:id="rId867">
        <w:r>
          <w:rPr>
            <w:color w:val="1155CC"/>
            <w:u w:val="single"/>
          </w:rPr>
          <w:t>以深亚埃分辨率和深亚皮米精度对厚物体进行成像</w:t>
        </w:r>
      </w:hyperlink>
    </w:p>
    <w:p>
      <w:pPr>
        <w:spacing w:before="0" w:after="80"/>
      </w:pPr>
      <w:r>
        <w:rPr>
          <w:i/>
          <w:sz w:val="20"/>
        </w:rPr>
        <w:t>EN: Imaging thick objects with deep-subangstrom resolution and deep-subpicometer precision</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68">
        <w:r>
          <w:rPr>
            <w:color w:val="1155CC"/>
            <w:u w:val="single"/>
          </w:rPr>
          <w:t>10.1126/sciadv.aec9348</w:t>
        </w:r>
      </w:hyperlink>
    </w:p>
    <w:p>
      <w:pPr>
        <w:spacing w:before="0" w:after="120"/>
      </w:pPr>
      <w:r>
        <w:rPr>
          <w:b/>
        </w:rPr>
        <w:t xml:space="preserve">Notes: </w:t>
      </w:r>
      <w:r>
        <w:t>abstract_source=crossref</w:t>
      </w:r>
    </w:p>
    <w:p>
      <w:pPr>
        <w:spacing w:before="0" w:after="80" w:lineRule="auto" w:line="276"/>
      </w:pPr>
      <w:r>
        <w:rPr>
          <w:b/>
        </w:rPr>
        <w:t xml:space="preserve">摘要（ZH）: </w:t>
      </w:r>
      <w:r>
        <w:t>尺寸效应在材料的结构、机械和物理特性中普遍存在，因此非常需要通过透射电子显微镜中的高分辨率结构分析来研究厚物体的固有特性。尽管多层电子叠层成像技术已经实现了深亚埃分辨率，但样品厚度通常非常有限。通过结合能量过滤和扩展的局部轨道叠层成像 (eLOP)，在电子束扫描过程中检索不同的像差，我们在这里报告了厚达 85 纳米的硅的叠层成像重建，大约比传统多层电子叠层成像的通常厚度阈值大三倍。像差变化的消除有助于精确重建，信息限制为 18 皮米，原子位置精度为 0.39 皮米。对厚物体的精确叠层重建可以促进固体中固有结构和物理现象的发现或解释，这在物理、化学、材料科学和半导体器件工程中具有重要意义。</w:t>
      </w:r>
    </w:p>
    <w:p>
      <w:pPr>
        <w:spacing w:before="0" w:after="200" w:lineRule="auto" w:line="276"/>
      </w:pPr>
      <w:r>
        <w:rPr>
          <w:b/>
        </w:rPr>
        <w:t xml:space="preserve">Abstract (EN): </w:t>
      </w:r>
      <w:r>
        <w:t>Size effects are ubiquitous in the structural, mechanical, and physical properties of materials, making it highly desirable to study the intrinsic properties of thick objects through high-resolution structural analysis in transmission electron microscopy. Although deep-subangstrom resolution has been achieved with multislice electron ptychography, the sample thickness is typically very limited. By combining energy filtering and extended local-orbital ptychography (eLOP) that retrieves varying aberrations during electron beam scanning, here, we report ptychographic reconstructions for silicon as thick as 85 nanometers, approximately three times larger than usual thickness threshold for conventional multislice electron ptychography. The elimination of aberration variations contributes to accurate reconstructions with an information limit of 18 picometers and atomic position precision of 0.39 picometers. Accurate ptychographic reconstructions for thick objects can facilitate the discovery or interpretation of intrinsic structural and physical phenomena in solids, which is of great importance in physics, chemistry, materials science, and semiconductor device engineering.</w:t>
      </w:r>
    </w:p>
    <w:p>
      <w:pPr>
        <w:spacing w:before="120" w:after="120"/>
      </w:pPr>
      <w:r>
        <w:rPr>
          <w:sz w:val="18"/>
        </w:rPr>
        <w:t>——————————————————————————————————————————————————————————————————————</w:t>
      </w:r>
    </w:p>
    <w:p>
      <w:pPr>
        <w:spacing w:before="160" w:after="40" w:line="240" w:lineRule="auto"/>
      </w:pPr>
      <w:r>
        <w:rPr>
          <w:b/>
        </w:rPr>
        <w:t xml:space="preserve">[343] </w:t>
      </w:r>
      <w:hyperlink r:id="rId869">
        <w:r>
          <w:rPr>
            <w:color w:val="1155CC"/>
            <w:u w:val="single"/>
          </w:rPr>
          <w:t>通过滑动铁电的交变磁力的对称锁定六态控制</w:t>
        </w:r>
      </w:hyperlink>
    </w:p>
    <w:p>
      <w:pPr>
        <w:spacing w:before="0" w:after="80"/>
      </w:pPr>
      <w:r>
        <w:rPr>
          <w:i/>
          <w:sz w:val="20"/>
        </w:rPr>
        <w:t>EN: Symmetry-locked six-state control of altermagnetism via sliding ferroelectricity</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70">
        <w:r>
          <w:rPr>
            <w:color w:val="1155CC"/>
            <w:u w:val="single"/>
          </w:rPr>
          <w:t>10.1126/sciadv.aec5229</w:t>
        </w:r>
      </w:hyperlink>
    </w:p>
    <w:p>
      <w:pPr>
        <w:spacing w:before="0" w:after="120"/>
      </w:pPr>
      <w:r>
        <w:rPr>
          <w:b/>
        </w:rPr>
        <w:t xml:space="preserve">Notes: </w:t>
      </w:r>
      <w:r>
        <w:t>abstract_source=crossref</w:t>
      </w:r>
    </w:p>
    <w:p>
      <w:pPr>
        <w:spacing w:before="0" w:after="80" w:lineRule="auto" w:line="276"/>
      </w:pPr>
      <w:r>
        <w:rPr>
          <w:b/>
        </w:rPr>
        <w:t xml:space="preserve">摘要（ZH）: </w:t>
      </w:r>
      <w:r>
        <w:t>交变磁多铁性材料通过在没有净磁化的情况下实现自旋分裂，超越了传统的自旋轨道耦合，为低功耗自旋电子学提供了一条有前途的途径。然而，实现确定性电气控制仍然难以实现。在这里，通过利用滑动铁电体的非简并跃迁路径作为对称工程旋钮，建立了交流磁体中高维磁电耦合的六态平台，从而超越了滑动铁电体的传统二元（上/下）范式。双层三硫化锰磷的第一性原理计算揭示了自旋极化对称锁定机制。沿着三个非简并路径的偏振切换不仅反转自旋分裂，而且还以 120° 增量旋转其自旋分裂结构，产生六种非易失性、电可寻址的交变磁态。此外，在自旋分裂纹理和非线性霍尔响应之间建立了直接对应关系，为每个状态提供了独特的电指纹。这项工作建立了电场驱动的动量空间自旋几何重建的范例，为控制交磁自旋电子学中的量子现象提供了一个多功能平台。</w:t>
      </w:r>
    </w:p>
    <w:p>
      <w:pPr>
        <w:spacing w:before="0" w:after="200" w:lineRule="auto" w:line="276"/>
      </w:pPr>
      <w:r>
        <w:rPr>
          <w:b/>
        </w:rPr>
        <w:t xml:space="preserve">Abstract (EN): </w:t>
      </w:r>
      <w:r>
        <w:t>Altermagnetic multiferroics offer a promising route to low-power spintronics by enabling spin splitting without net magnetization, extending beyond conventional spin-orbit coupling. However, achieving deterministic electric control has remained elusive. Here, a six-state platform for high-dimensional magnetoelectric coupling in altermagnets is established by exploiting the nondegenerate transition paths of sliding ferroelectrics as a symmetry-engineering knob, thereby transcending the conventional binary (up/down) paradigm of sliding ferroelectricity. First-principles calculations on bilayer manganese phosphorus trisulfide reveal a spin-polarization symmetry-locking mechanism. Polarization switching along the three nondegenerate paths not only reverses the spin splitting but also rotates its spin-splitting texture in 120° increments, yielding six nonvolatile, electrically addressable altermagnetic states. Furthermore, direct correspondence is established between the spin-splitting texture and the nonlinear Hall response, providing unique electrical fingerprints for each state. This work establishes a paradigm for electric field–driven reconstruction of momentum-space spin geometry, providing a versatile platform for controlling quantum phenomena in altermagnetic spintronics.</w:t>
      </w:r>
    </w:p>
    <w:p>
      <w:pPr>
        <w:spacing w:before="120" w:after="120"/>
      </w:pPr>
      <w:r>
        <w:rPr>
          <w:sz w:val="18"/>
        </w:rPr>
        <w:t>——————————————————————————————————————————————————————————————————————</w:t>
      </w:r>
    </w:p>
    <w:p>
      <w:pPr>
        <w:spacing w:before="160" w:after="40" w:line="240" w:lineRule="auto"/>
      </w:pPr>
      <w:r>
        <w:rPr>
          <w:b/>
        </w:rPr>
        <w:t xml:space="preserve">[344] </w:t>
      </w:r>
      <w:hyperlink r:id="rId871">
        <w:r>
          <w:rPr>
            <w:color w:val="1155CC"/>
            <w:u w:val="single"/>
          </w:rPr>
          <w:t>基于图像的合成细胞表型分选</w:t>
        </w:r>
      </w:hyperlink>
    </w:p>
    <w:p>
      <w:pPr>
        <w:spacing w:before="0" w:after="80"/>
      </w:pPr>
      <w:r>
        <w:rPr>
          <w:i/>
          <w:sz w:val="20"/>
        </w:rPr>
        <w:t>EN: Image-based phenotypic sorting of synthetic cells</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72">
        <w:r>
          <w:rPr>
            <w:color w:val="1155CC"/>
            <w:u w:val="single"/>
          </w:rPr>
          <w:t>10.1126/sciadv.aed0860</w:t>
        </w:r>
      </w:hyperlink>
    </w:p>
    <w:p>
      <w:pPr>
        <w:spacing w:before="0" w:after="120"/>
      </w:pPr>
      <w:r>
        <w:rPr>
          <w:b/>
        </w:rPr>
        <w:t xml:space="preserve">Notes: </w:t>
      </w:r>
      <w:r>
        <w:t>abstract_source=crossref</w:t>
      </w:r>
    </w:p>
    <w:p>
      <w:pPr>
        <w:spacing w:before="0" w:after="80" w:lineRule="auto" w:line="276"/>
      </w:pPr>
      <w:r>
        <w:rPr>
          <w:b/>
        </w:rPr>
        <w:t xml:space="preserve">摘要（ZH）: </w:t>
      </w:r>
      <w:r>
        <w:t>了解基因型和表型之间的关系是许多生物学研究领域和合成细胞开发的关键。我们描述了一种基于图像的筛选和分选工作流程，该工作流程探索非克隆群体中基因表达囊泡的表型并选择所需的变体。使用自动共焦显微镜和实时神经网络辅助图像分析，我们证明可以根据荧光强度、蛋白质定位、膜形态和动态行为来选择脂质体，并且它们的表型可以与遗传内容相关联。这种方法可以在最小的合成环境下大大加速细胞功能的进化。</w:t>
      </w:r>
    </w:p>
    <w:p>
      <w:pPr>
        <w:spacing w:before="0" w:after="200" w:lineRule="auto" w:line="276"/>
      </w:pPr>
      <w:r>
        <w:rPr>
          <w:b/>
        </w:rPr>
        <w:t xml:space="preserve">Abstract (EN): </w:t>
      </w:r>
      <w:r>
        <w:t>Understanding the relationships between genotype and phenotype is key to many areas of biological research and to the development of synthetic cells. We describe an image-based screening and sorting workflow that explores the phenotypes of gene-expressing vesicles within nonclonal populations and selects the desired variants. Using automated confocal microscopy and real-time, neural network–assisted image analysis, we demonstrate that liposomes can be selected for fluorescence intensity, protein localization, membrane morphology, and dynamic behaviors, and their phenotype can be linked to genetic content. This approach could substantially accelerate the evolution of cellular functions in a minimal synthetic context.</w:t>
      </w:r>
    </w:p>
    <w:p>
      <w:pPr>
        <w:spacing w:before="120" w:after="120"/>
      </w:pPr>
      <w:r>
        <w:rPr>
          <w:sz w:val="18"/>
        </w:rPr>
        <w:t>——————————————————————————————————————————————————————————————————————</w:t>
      </w:r>
    </w:p>
    <w:p>
      <w:pPr>
        <w:spacing w:before="160" w:after="40" w:line="240" w:lineRule="auto"/>
      </w:pPr>
      <w:r>
        <w:rPr>
          <w:b/>
        </w:rPr>
        <w:t xml:space="preserve">[345] </w:t>
      </w:r>
      <w:hyperlink r:id="rId873">
        <w:r>
          <w:rPr>
            <w:color w:val="1155CC"/>
            <w:u w:val="single"/>
          </w:rPr>
          <w:t>骨骼肌慢肌球蛋白重链通过 NRF2 途径调节哺乳动物代谢稳态</w:t>
        </w:r>
      </w:hyperlink>
    </w:p>
    <w:p>
      <w:pPr>
        <w:spacing w:before="0" w:after="80"/>
      </w:pPr>
      <w:r>
        <w:rPr>
          <w:i/>
          <w:sz w:val="20"/>
        </w:rPr>
        <w:t>EN: The skeletal muscle slow myosin heavy chain regulates mammalian metabolic homeostasis through the NRF2 pathway</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74">
        <w:r>
          <w:rPr>
            <w:color w:val="1155CC"/>
            <w:u w:val="single"/>
          </w:rPr>
          <w:t>10.1126/sciadv.aed2478</w:t>
        </w:r>
      </w:hyperlink>
    </w:p>
    <w:p>
      <w:pPr>
        <w:spacing w:before="0" w:after="120"/>
      </w:pPr>
      <w:r>
        <w:rPr>
          <w:b/>
        </w:rPr>
        <w:t xml:space="preserve">Notes: </w:t>
      </w:r>
      <w:r>
        <w:t>abstract_source=crossref</w:t>
      </w:r>
    </w:p>
    <w:p>
      <w:pPr>
        <w:spacing w:before="0" w:after="80" w:lineRule="auto" w:line="276"/>
      </w:pPr>
      <w:r>
        <w:rPr>
          <w:b/>
        </w:rPr>
        <w:t xml:space="preserve">摘要（ZH）: </w:t>
      </w:r>
      <w:r>
        <w:t>哺乳动物骨骼肌对于代谢稳态至关重要。肌球蛋白重链 (MyHC) 是关键的肌肉收缩蛋白，利用三磷酸腺苷水解产生的能量产生机械力，这是肌肉功能的基础。然而，MyHC 和代谢调节之间的联系尚不清楚。在这里，我们演示一下角色</w:t>
      </w:r>
      <w:r>
        <w:t xml:space="preserve"> </w:t>
      </w:r>
      <w:r>
        <w:t>米哈7</w:t>
      </w:r>
      <w:r>
        <w:t xml:space="preserve"> </w:t>
      </w:r>
      <w:r>
        <w:t>，编码 MyHC-slow 蛋白，利用骨骼肌特异性基因敲除小鼠调节骨骼肌功能和代谢稳态。 MyHC-slow 的缺失会导致出生后早期骨骼肌肥大，随后出现萎缩、氧化慢肌纤维变性、纤维类型比例改变、力量产生减少和肌肉功能障碍。它还会导致葡萄糖利用受损、胰岛素抵抗和肌肉 GLUT4 水平降低，这是 2 型糖尿病的特征。这些是通过抗氧化剂 NRF2 水平降低、活性氧水平升高和线粒体功能障碍介导的。</w:t>
      </w:r>
      <w:r>
        <w:t xml:space="preserve"> </w:t>
      </w:r>
      <w:r>
        <w:t>米哈7</w:t>
      </w:r>
      <w:r>
        <w:t xml:space="preserve"> </w:t>
      </w:r>
      <w:r>
        <w:t>敲除，可以通过萝卜硫素激活 NRF2 信号传导来挽救。我们的研究结果将骨骼肌收缩性与代谢稳态联系起来，将 NRF2 通路确定为关键的治疗靶点。</w:t>
      </w:r>
    </w:p>
    <w:p>
      <w:pPr>
        <w:spacing w:before="0" w:after="200" w:lineRule="auto" w:line="276"/>
      </w:pPr>
      <w:r>
        <w:rPr>
          <w:b/>
        </w:rPr>
        <w:t xml:space="preserve">Abstract (EN): </w:t>
      </w:r>
      <w:r>
        <w:t>The mammalian skeletal muscle is central to metabolic homeostasis. Myosin heavy chains (MyHCs), key muscle contractile proteins, use energy from adenosine triphosphate hydrolysis to produce mechanical force, fundamental to muscle function. However, the link between MyHCs and metabolic regulation is unclear. Here, we demonstrate the role of</w:t>
      </w:r>
      <w:r>
        <w:t xml:space="preserve"> </w:t>
      </w:r>
      <w:r>
        <w:t>Myh7</w:t>
      </w:r>
      <w:r>
        <w:t xml:space="preserve"> </w:t>
      </w:r>
      <w:r>
        <w:t>, encoding the MyHC-slow protein, in regulating skeletal muscle function and metabolic homeostasis using skeletal muscle–specific knockout mice. The absence of MyHC-slow causes early postnatal skeletal muscle hypertrophy followed by atrophy, degeneration of the oxidative slow myofibers, alterations in fiber-type proportions, decreased force production, and muscle dysfunction. It also leads to impaired glucose utilization, insulin resistance, and reduced muscle GLUT4 levels, characteristic of type 2 diabetes. These are mediated through decreased levels of the antioxidant NRF2, elevated reactive oxygen species and mitochondrial dysfunction in the</w:t>
      </w:r>
      <w:r>
        <w:t xml:space="preserve"> </w:t>
      </w:r>
      <w:r>
        <w:t>Myh7</w:t>
      </w:r>
      <w:r>
        <w:t xml:space="preserve"> </w:t>
      </w:r>
      <w:r>
        <w:t>knockouts, which can be rescued by activating NRF2 signaling via sulforaphane administration. Our findings link skeletal muscle contractility to metabolic homeostasis, identifying the NRF2 pathway as a key therapeutic target.</w:t>
      </w:r>
    </w:p>
    <w:p>
      <w:pPr>
        <w:spacing w:before="120" w:after="120"/>
      </w:pPr>
      <w:r>
        <w:rPr>
          <w:sz w:val="18"/>
        </w:rPr>
        <w:t>——————————————————————————————————————————————————————————————————————</w:t>
      </w:r>
    </w:p>
    <w:p>
      <w:pPr>
        <w:spacing w:before="160" w:after="40" w:line="240" w:lineRule="auto"/>
      </w:pPr>
      <w:r>
        <w:rPr>
          <w:b/>
        </w:rPr>
        <w:t xml:space="preserve">[346] </w:t>
      </w:r>
      <w:hyperlink r:id="rId875">
        <w:r>
          <w:rPr>
            <w:color w:val="1155CC"/>
            <w:u w:val="single"/>
          </w:rPr>
          <w:t>仿生流量传感器使水下机器人能够估计运动并检测流动结构</w:t>
        </w:r>
      </w:hyperlink>
    </w:p>
    <w:p>
      <w:pPr>
        <w:spacing w:before="0" w:after="80"/>
      </w:pPr>
      <w:r>
        <w:rPr>
          <w:i/>
          <w:sz w:val="20"/>
        </w:rPr>
        <w:t>EN: Bioinspired flow sensor enables underwater robots to estimate motion and detect flow structure</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76">
        <w:r>
          <w:rPr>
            <w:color w:val="1155CC"/>
            <w:u w:val="single"/>
          </w:rPr>
          <w:t>10.1126/sciadv.aed2847</w:t>
        </w:r>
      </w:hyperlink>
    </w:p>
    <w:p>
      <w:pPr>
        <w:spacing w:before="0" w:after="120"/>
      </w:pPr>
      <w:r>
        <w:rPr>
          <w:b/>
        </w:rPr>
        <w:t xml:space="preserve">Notes: </w:t>
      </w:r>
      <w:r>
        <w:t>abstract_source=crossref</w:t>
      </w:r>
    </w:p>
    <w:p>
      <w:pPr>
        <w:spacing w:before="0" w:after="80" w:lineRule="auto" w:line="276"/>
      </w:pPr>
      <w:r>
        <w:rPr>
          <w:b/>
        </w:rPr>
        <w:t xml:space="preserve">摘要（ZH）: </w:t>
      </w:r>
      <w:r>
        <w:t>我们解决了自主水下航行器感知自身运动和环境信息的挑战。为了克服传统传感方法在尺寸、成本和环境限制方面的局限性，之前的工作研究了仿生流量传感器。这些仿生传感器应用中的挑战包括测量车辆的复杂运动并检测运动过程中的外部流动结构，所有这些都在适合小型车辆的紧凑形式内。为了应对这些挑战，我们提出了一种小型轻量的软磁毛发流量传感器，可以根据其机械偏转来测量流量的速度、方向和振荡。我们在水下机器人上测试了这些传感器估计其前进、横向（角）速度和方向的能力。当机器人游泳时，传感器还可以通过识别上游物体的特征频率来检测其后面的尾流。正如本文中提出的传感器所证明的，仿生水动力传感可以实现自适应且高效的水下探索。</w:t>
      </w:r>
    </w:p>
    <w:p>
      <w:pPr>
        <w:spacing w:before="0" w:after="200" w:lineRule="auto" w:line="276"/>
      </w:pPr>
      <w:r>
        <w:rPr>
          <w:b/>
        </w:rPr>
        <w:t xml:space="preserve">Abstract (EN): </w:t>
      </w:r>
      <w:r>
        <w:t>We address the challenge of sensing self-motion and environmental information by autonomous underwater vehicles. To overcome the limitations of conventional sensing methods in terms of size, cost, and environmental restrictions, previous work has investigated biomimetic flow sensors. Challenges in application of those biomimetic sensors include measuring complex locomotion of the vehicles and detecting external flow structure during the motion, all within a compact form suitable for a small vehicle. To address the challenges, we present a small and lightweight soft magnetic hair flow sensor that can measure the speed, direction, and oscillation of flow based on its mechanical deflection. We tested the ability of these sensors on underwater robots to estimate their forward, lateral (angular) speeds and orientations. While the robots were swimming, the sensors could also detect the wake behind an upstream object by identifying its characteristic frequency. The bioinspired hydrodynamic sensing, as demonstrated with the proposed sensors in this article, could allow adaptive and efficient underwater exploration.</w:t>
      </w:r>
    </w:p>
    <w:p>
      <w:pPr>
        <w:spacing w:before="120" w:after="120"/>
      </w:pPr>
      <w:r>
        <w:rPr>
          <w:sz w:val="18"/>
        </w:rPr>
        <w:t>——————————————————————————————————————————————————————————————————————</w:t>
      </w:r>
    </w:p>
    <w:p>
      <w:pPr>
        <w:spacing w:before="160" w:after="40" w:line="240" w:lineRule="auto"/>
      </w:pPr>
      <w:r>
        <w:rPr>
          <w:b/>
        </w:rPr>
        <w:t xml:space="preserve">[347] </w:t>
      </w:r>
      <w:hyperlink r:id="rId877">
        <w:r>
          <w:rPr>
            <w:color w:val="1155CC"/>
            <w:u w:val="single"/>
          </w:rPr>
          <w:t>社交网络对过度武装的双重影响：关于社会和个人利益一致性的见解</w:t>
        </w:r>
      </w:hyperlink>
    </w:p>
    <w:p>
      <w:pPr>
        <w:spacing w:before="0" w:after="80"/>
      </w:pPr>
      <w:r>
        <w:rPr>
          <w:i/>
          <w:sz w:val="20"/>
        </w:rPr>
        <w:t>EN: Bivalent impact of social networks on overarming: Insights on the alignment between social and individual interests</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78">
        <w:r>
          <w:rPr>
            <w:color w:val="1155CC"/>
            <w:u w:val="single"/>
          </w:rPr>
          <w:t>10.1126/sciadv.aed3904</w:t>
        </w:r>
      </w:hyperlink>
    </w:p>
    <w:p>
      <w:pPr>
        <w:spacing w:before="0" w:after="120"/>
      </w:pPr>
      <w:r>
        <w:rPr>
          <w:b/>
        </w:rPr>
        <w:t xml:space="preserve">Notes: </w:t>
      </w:r>
      <w:r>
        <w:t>abstract_source=crossref</w:t>
      </w:r>
    </w:p>
    <w:p>
      <w:pPr>
        <w:spacing w:before="0" w:after="80" w:lineRule="auto" w:line="276"/>
      </w:pPr>
      <w:r>
        <w:rPr>
          <w:b/>
        </w:rPr>
        <w:t xml:space="preserve">摘要（ZH）: </w:t>
      </w:r>
      <w:r>
        <w:t>借鉴进化博弈论，我们为每个人都有权携带武器的社会中的个人提出了一个获取枪支的程式化模型。在我们的动态模型中，武装或手无寸铁的个人之间会发生配对对抗并带来相应的回报。个人的回报取决于对抗的可能性、武装的选择以及其他人的选择。我们表明，对抗的可能性会影响最佳社会武装率和均衡状态下的武装率。随着对抗概率的增加，后者的比率迅速超过前者，这种现象我们称之为“过度武装”。这反映出个人利益与社会利益的不一致。我们进一步表明，空间结构会加剧过度武装，特别是当个人感知到社会环境不断恶化时。我们的基本模型及其扩展的结果强调了了解基本行为动力学和网络异质性如何影响个人获取枪支的决策的重要性，为缓解过度武装的实证研究提供了信息。</w:t>
      </w:r>
    </w:p>
    <w:p>
      <w:pPr>
        <w:spacing w:before="0" w:after="200" w:lineRule="auto" w:line="276"/>
      </w:pPr>
      <w:r>
        <w:rPr>
          <w:b/>
        </w:rPr>
        <w:t xml:space="preserve">Abstract (EN): </w:t>
      </w:r>
      <w:r>
        <w:t>Drawing on evolutionary game theory, we present a stylized model of gun acquisition for individuals in a society where all have the right to bear arms. In our dynamic model, pairwise confrontations with attendant payoffs take place between individuals who are either armed or unarmed. Individual payoffs depend on the probability of confrontation, the choice to arm, and others’ choices. We show that the likelihood of confrontation affects the optimal societal arming rate and the arming rate that occurs in equilibrium. The latter rate quickly surpasses the former one as the probability of confrontation increases, a phenomenon we call “overarming.” This reflects a misalignment of individual and societal interests. We further show that spatial structures can exacerbate overarming, especially when individuals perceive a deteriorating social environment. Results from our base model and its extensions highlight the importance of understanding how fundamental behavioral dynamics and network heterogeneity influence individual decisions to acquire firearms, informing empirical research for mitigating overarming.</w:t>
      </w:r>
    </w:p>
    <w:p>
      <w:pPr>
        <w:spacing w:before="120" w:after="120"/>
      </w:pPr>
      <w:r>
        <w:rPr>
          <w:sz w:val="18"/>
        </w:rPr>
        <w:t>——————————————————————————————————————————————————————————————————————</w:t>
      </w:r>
    </w:p>
    <w:p>
      <w:pPr>
        <w:spacing w:before="160" w:after="40" w:line="240" w:lineRule="auto"/>
      </w:pPr>
      <w:r>
        <w:rPr>
          <w:b/>
        </w:rPr>
        <w:t xml:space="preserve">[348] </w:t>
      </w:r>
      <w:hyperlink r:id="rId879">
        <w:r>
          <w:rPr>
            <w:color w:val="1155CC"/>
            <w:u w:val="single"/>
          </w:rPr>
          <w:t>使用纳米柱上的异质双层通过亚衍射极限探测观察莫尔条纹捕获双激子</w:t>
        </w:r>
      </w:hyperlink>
    </w:p>
    <w:p>
      <w:pPr>
        <w:spacing w:before="0" w:after="80"/>
      </w:pPr>
      <w:r>
        <w:rPr>
          <w:i/>
          <w:sz w:val="20"/>
        </w:rPr>
        <w:t>EN: Observation of Moiré Trapped Biexciton Through Sub‐Diffraction‐Limit Probing Using Hetero‐Bilayer on Nanopillar</w:t>
      </w:r>
    </w:p>
    <w:p>
      <w:pPr>
        <w:spacing w:before="0" w:after="120"/>
      </w:pPr>
      <w:r>
        <w:rPr>
          <w:b/>
        </w:rPr>
        <w:t xml:space="preserve">Source: </w:t>
      </w:r>
      <w:r>
        <w:t>Wiley: Advanced Materials: Table of Contents</w:t>
      </w:r>
      <w:r>
        <w:t xml:space="preserve">    </w:t>
      </w:r>
      <w:r>
        <w:rPr>
          <w:b/>
        </w:rPr>
        <w:t xml:space="preserve">Pub date: </w:t>
      </w:r>
      <w:r>
        <w:t>2026-06-03 07:00:00+00:00</w:t>
      </w:r>
      <w:r>
        <w:t xml:space="preserve">    </w:t>
      </w:r>
      <w:r>
        <w:rPr>
          <w:b/>
        </w:rPr>
        <w:t xml:space="preserve">DOI: </w:t>
      </w:r>
      <w:hyperlink r:id="rId880">
        <w:r>
          <w:rPr>
            <w:color w:val="1155CC"/>
            <w:u w:val="single"/>
          </w:rPr>
          <w:t>10.1002/adma.73520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纳米尺度上调节粒子之间相互作用程度的能力非常有趣。这种相互作用的光谱特征通常很微妙，需要特殊的探针来观察。为此，莫尔超晶格周期性势阱中捕获的层间激子提供了丰富的相互作用物理，特别是由于相互作用中同时存在吸引和排斥成分。在这里，我们表明，当长度尺度从WS中的莫尔口袋间减小到莫尔口袋内时，两个层间激子之间的库仑力从排斥力转变为吸引力。</w:t>
      </w:r>
      <w:r>
        <w:rPr>
          <w:vertAlign w:val="subscript"/>
        </w:rPr>
        <w:t>2</w:t>
      </w:r>
      <w:r>
        <w:t>/硒化钨</w:t>
      </w:r>
      <w:r>
        <w:rPr>
          <w:vertAlign w:val="subscript"/>
        </w:rPr>
        <w:t>2</w:t>
      </w:r>
      <w:r>
        <w:t>异质双层——由于直接相互作用和交换相互作用之间的复杂竞争。这一发现偏离了由于层极化而排斥层间激子的通常概念。这表现为同时观察到莫尔激子的反常超线性幂律和莫尔俘获双激子的稳定性。通过将异质双层放置在聚合物纳米柱/金膜堆叠上，可以促进实验观察，与平面样品相比，通过选择性地探测更小的莫尔纹袋集合，显着减少了不均匀光谱展宽。这创建了一个有趣的平台来探索莫尔条纹捕获激子和高阶准粒子之间的相互作用。</w:t>
      </w:r>
    </w:p>
    <w:p>
      <w:pPr>
        <w:spacing w:before="0" w:after="200" w:lineRule="auto" w:line="276"/>
      </w:pPr>
      <w:r>
        <w:rPr>
          <w:b/>
        </w:rPr>
        <w:t xml:space="preserve">Abstract (EN): </w:t>
      </w:r>
      <w:r>
        <w:t>The ability to tune the degree of interaction among particles at the nanoscale is highly intriguing. The spectroscopic signature of such interaction is often subtle and requires special probes to observe. To this end, inter‐layer excitons trapped in the periodic potential wells of a moiré superlattice offer rich interaction physics, specifically due to the presence of both attractive and repulsive components in the interaction. Here we show that the Coulomb force between two inter‐layer excitons switches from repulsive to attractive when the length scale reduces from inter‐moiré‐pocket to intra‐moiré‐pocket in a WS</w:t>
      </w:r>
      <w:r>
        <w:rPr>
          <w:vertAlign w:val="subscript"/>
        </w:rPr>
        <w:t>2</w:t>
      </w:r>
      <w:r>
        <w:t>/WSe</w:t>
      </w:r>
      <w:r>
        <w:rPr>
          <w:vertAlign w:val="subscript"/>
        </w:rPr>
        <w:t>2</w:t>
      </w:r>
      <w:r>
        <w:t>hetero‐bilayer ‐ thanks to the complex competition between direct and exchange interaction. The finding is a departure from the usual notion of repelling inter‐layer excitons due to layer polarization. This manifests as the simultaneous observation of an anomalous superlinear power‐law of moiré exciton and a stabilization of moiré trapped biexciton. The experimental observation is facilitated by placing the hetero‐bilayer on a polymer‐nanopillar/gold‐film stack which significantly reduces the inhomogeneous spectral broadening by selectively probing a smaller ensemble of moiré pockets compared with a flat sample. This creates an interesting platform to explore interaction among moiré trapped excitons and higher order quasiparticles.</w:t>
      </w:r>
    </w:p>
    <w:p>
      <w:pPr>
        <w:spacing w:before="120" w:after="120"/>
      </w:pPr>
      <w:r>
        <w:rPr>
          <w:sz w:val="18"/>
        </w:rPr>
        <w:t>——————————————————————————————————————————————————————————————————————</w:t>
      </w:r>
    </w:p>
    <w:p>
      <w:pPr>
        <w:spacing w:before="160" w:after="40" w:line="240" w:lineRule="auto"/>
      </w:pPr>
      <w:r>
        <w:rPr>
          <w:b/>
        </w:rPr>
        <w:t xml:space="preserve">[349] </w:t>
      </w:r>
      <w:hyperlink r:id="rId881">
        <w:r>
          <w:rPr>
            <w:color w:val="1155CC"/>
            <w:u w:val="single"/>
          </w:rPr>
          <w:t>针对 PCDH7 的单克隆抗体可抑制 KRAS 突变非小细胞肺癌的肿瘤生长并增强免疫反应</w:t>
        </w:r>
      </w:hyperlink>
    </w:p>
    <w:p>
      <w:pPr>
        <w:spacing w:before="0" w:after="80"/>
      </w:pPr>
      <w:r>
        <w:rPr>
          <w:i/>
          <w:sz w:val="20"/>
        </w:rPr>
        <w:t>EN: Monoclonal antibodies targeting PCDH7 inhibit tumor growth and enhance immune responses in KRAS-mutant non–small cell lung cancer</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82">
        <w:r>
          <w:rPr>
            <w:color w:val="1155CC"/>
            <w:u w:val="single"/>
          </w:rPr>
          <w:t>10.1126/sciadv.aeb0794</w:t>
        </w:r>
      </w:hyperlink>
    </w:p>
    <w:p>
      <w:pPr>
        <w:spacing w:before="0" w:after="120"/>
      </w:pPr>
      <w:r>
        <w:rPr>
          <w:b/>
        </w:rPr>
        <w:t xml:space="preserve">Notes: </w:t>
      </w:r>
      <w:r>
        <w:t>abstract_source=crossref</w:t>
      </w:r>
    </w:p>
    <w:p>
      <w:pPr>
        <w:spacing w:before="0" w:after="80" w:lineRule="auto" w:line="276"/>
      </w:pPr>
      <w:r>
        <w:rPr>
          <w:b/>
        </w:rPr>
        <w:t xml:space="preserve">摘要（ZH）: </w:t>
      </w:r>
      <w:r>
        <w:t>我们确定了原钙粘蛋白 7 (PCDH7) 的重要致癌作用，原钙粘蛋白 7 是一种细胞表面蛋白，在肺腺癌中经常过度表达，并与不良的临床结果相关。</w:t>
      </w:r>
      <w:r>
        <w:t xml:space="preserve"> </w:t>
      </w:r>
      <w:r>
        <w:t>聚氯乙烯7</w:t>
      </w:r>
      <w:r>
        <w:t xml:space="preserve"> </w:t>
      </w:r>
      <w:r>
        <w:t>耗尽可减少肿瘤负荷并延长生存期</w:t>
      </w:r>
      <w:r>
        <w:t xml:space="preserve"> </w:t>
      </w:r>
      <w:r>
        <w:t>克拉斯</w:t>
      </w:r>
      <w:r>
        <w:t xml:space="preserve"> </w:t>
      </w:r>
      <w:r>
        <w:t>LSL-G12D</w:t>
      </w:r>
      <w:r>
        <w:t xml:space="preserve"> </w:t>
      </w:r>
      <w:r>
        <w:t>;</w:t>
      </w:r>
      <w:r>
        <w:t xml:space="preserve"> </w:t>
      </w:r>
      <w:r>
        <w:t>TP53</w:t>
      </w:r>
      <w:r>
        <w:t xml:space="preserve"> </w:t>
      </w:r>
      <w:r>
        <w:t>液量/液量</w:t>
      </w:r>
      <w:r>
        <w:t xml:space="preserve"> </w:t>
      </w:r>
      <w:r>
        <w:t>老鼠。这些发现提名这种细胞表面蛋白作为可行的治疗靶点，并强调了 PCDH7 抑制对非小细胞肺癌的治疗潜力。我们报告了高亲和力抗 PCDH7 单克隆抗体 (mAb) 的开发和表征，该抗体可抑制下游丝裂原激活蛋白激酶 (MAPK) 通路激活并抑制多种突变体中的肿瘤生长</w:t>
      </w:r>
      <w:r>
        <w:t xml:space="preserve"> </w:t>
      </w:r>
      <w:r>
        <w:t>克拉斯</w:t>
      </w:r>
      <w:r>
        <w:t xml:space="preserve"> </w:t>
      </w:r>
      <w:r>
        <w:t>——驱动模型。先导单克隆抗体 (mAb7) 使肿瘤对美国食品和药物管理局批准的 MAPK 激酶抑制剂曲美替尼和 KRAS 敏感</w:t>
      </w:r>
      <w:r>
        <w:t xml:space="preserve"> </w:t>
      </w:r>
      <w:r>
        <w:t>G12C</w:t>
      </w:r>
      <w:r>
        <w:t xml:space="preserve"> </w:t>
      </w:r>
      <w:r>
        <w:t>抑制剂阿达格拉西。人源化 mAb7-IgG1 (Hu-mAb7) 表现出抗体依赖性细胞毒性和 Fc 介导的体内肿瘤细胞免疫效应杀伤作用。此外，鼠源化抗体（Ms-mAb7）改善了小鼠的抗肿瘤免疫力。</w:t>
      </w:r>
      <w:r>
        <w:t xml:space="preserve"> </w:t>
      </w:r>
      <w:r>
        <w:t>克拉斯</w:t>
      </w:r>
      <w:r>
        <w:t xml:space="preserve"> </w:t>
      </w:r>
      <w:r>
        <w:t>G12D</w:t>
      </w:r>
      <w:r>
        <w:t xml:space="preserve"> </w:t>
      </w:r>
      <w:r>
        <w:t>通过增强浸润和激活的同基因肿瘤模型</w:t>
      </w:r>
    </w:p>
    <w:p>
      <w:pPr>
        <w:spacing w:before="0" w:after="200" w:lineRule="auto" w:line="276"/>
      </w:pPr>
      <w:r>
        <w:rPr>
          <w:b/>
        </w:rPr>
        <w:t xml:space="preserve">Abstract (EN): </w:t>
      </w:r>
      <w:r>
        <w:t>We identified an important oncogenic role for protocadherin 7 (PCDH7), a cell surface protein frequently overexpressed in lung adenocarcinoma and associated with poor clinical outcome.</w:t>
      </w:r>
      <w:r>
        <w:t xml:space="preserve"> </w:t>
      </w:r>
      <w:r>
        <w:t>Pcdh7</w:t>
      </w:r>
      <w:r>
        <w:t xml:space="preserve"> </w:t>
      </w:r>
      <w:r>
        <w:t>depletion reduces tumor burden and prolongs survival in</w:t>
      </w:r>
      <w:r>
        <w:t xml:space="preserve"> </w:t>
      </w:r>
      <w:r>
        <w:t>Kras</w:t>
      </w:r>
      <w:r>
        <w:t xml:space="preserve"> </w:t>
      </w:r>
      <w:r>
        <w:t>LSL-G12D</w:t>
      </w:r>
      <w:r>
        <w:t xml:space="preserve"> </w:t>
      </w:r>
      <w:r>
        <w:t>;</w:t>
      </w:r>
      <w:r>
        <w:t xml:space="preserve"> </w:t>
      </w:r>
      <w:r>
        <w:t>Tp53</w:t>
      </w:r>
      <w:r>
        <w:t xml:space="preserve"> </w:t>
      </w:r>
      <w:r>
        <w:t>fl/fl</w:t>
      </w:r>
      <w:r>
        <w:t xml:space="preserve"> </w:t>
      </w:r>
      <w:r>
        <w:t>mice. These findings nominate this cell surface protein as an actionable therapeutic target and highlight the therapeutic potential of PCDH7 inhibition for non–small cell lung cancer. We report the development and characterization of high-affinity anti-PCDH7 monoclonal antibodies (mAbs) that inhibit downstream mitogen-activated protein kinase (MAPK) pathway activation and suppress tumor growth in multiple mutant</w:t>
      </w:r>
      <w:r>
        <w:t xml:space="preserve"> </w:t>
      </w:r>
      <w:r>
        <w:t>KRAS</w:t>
      </w:r>
      <w:r>
        <w:t xml:space="preserve"> </w:t>
      </w:r>
      <w:r>
        <w:t>–driven models. A lead mAb (mAb7) sensitized tumors to the US Food and Drug Administration–approved MAPK kinase inhibitor trametinib and the KRAS</w:t>
      </w:r>
      <w:r>
        <w:t xml:space="preserve"> </w:t>
      </w:r>
      <w:r>
        <w:t>G12C</w:t>
      </w:r>
      <w:r>
        <w:t xml:space="preserve"> </w:t>
      </w:r>
      <w:r>
        <w:t>inhibitor adagrasib. A humanized mAb7-IgG1 (Hu-mAb7) exhibited antibody-dependent cellular cytotoxicity and Fc-mediated immune effector killing of tumor cells in vivo. Moreover, a murinized antibody (Ms-mAb7) improved antitumor immunity in a</w:t>
      </w:r>
      <w:r>
        <w:t xml:space="preserve"> </w:t>
      </w:r>
      <w:r>
        <w:t>Kras</w:t>
      </w:r>
      <w:r>
        <w:t xml:space="preserve"> </w:t>
      </w:r>
      <w:r>
        <w:t>G12D</w:t>
      </w:r>
      <w:r>
        <w:t xml:space="preserve"> </w:t>
      </w:r>
      <w:r>
        <w:t>syngeneic tumor model by enhancing infiltration and activation of cytotoxic immune cells. These findings provide an important advance in the clinical development of PCDH7-targeting antibodies for lung cancer treatment.</w:t>
      </w:r>
    </w:p>
    <w:p>
      <w:pPr>
        <w:spacing w:before="120" w:after="120"/>
      </w:pPr>
      <w:r>
        <w:rPr>
          <w:sz w:val="18"/>
        </w:rPr>
        <w:t>——————————————————————————————————————————————————————————————————————</w:t>
      </w:r>
    </w:p>
    <w:p>
      <w:pPr>
        <w:spacing w:before="160" w:after="40" w:line="240" w:lineRule="auto"/>
      </w:pPr>
      <w:r>
        <w:rPr>
          <w:b/>
        </w:rPr>
        <w:t xml:space="preserve">[350] </w:t>
      </w:r>
      <w:hyperlink r:id="rId883">
        <w:r>
          <w:rPr>
            <w:color w:val="1155CC"/>
            <w:u w:val="single"/>
          </w:rPr>
          <w:t>超图相似性的信息论</w:t>
        </w:r>
      </w:hyperlink>
    </w:p>
    <w:p>
      <w:pPr>
        <w:spacing w:before="0" w:after="80"/>
      </w:pPr>
      <w:r>
        <w:rPr>
          <w:i/>
          <w:sz w:val="20"/>
        </w:rPr>
        <w:t>EN: Information theory for hypergraph similarity</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84">
        <w:r>
          <w:rPr>
            <w:color w:val="1155CC"/>
            <w:u w:val="single"/>
          </w:rPr>
          <w:t>10.1126/sciadv.aec5619</w:t>
        </w:r>
      </w:hyperlink>
    </w:p>
    <w:p>
      <w:pPr>
        <w:spacing w:before="0" w:after="120"/>
      </w:pPr>
      <w:r>
        <w:rPr>
          <w:b/>
        </w:rPr>
        <w:t xml:space="preserve">Notes: </w:t>
      </w:r>
      <w:r>
        <w:t>abstract_source=crossref</w:t>
      </w:r>
    </w:p>
    <w:p>
      <w:pPr>
        <w:spacing w:before="0" w:after="80" w:lineRule="auto" w:line="276"/>
      </w:pPr>
      <w:r>
        <w:rPr>
          <w:b/>
        </w:rPr>
        <w:t xml:space="preserve">摘要（ZH）: </w:t>
      </w:r>
      <w:r>
        <w:t>比较网络对于从聚类到异常检测等许多下游任务至关重要。尽管高阶交互对于理解复杂系统的动态至关重要，但传统的网络比较方法仅限于成对交互。在这里，我们构建了一个用于超图相似性的通用信息论框架，捕获高阶交互之间有意义的对应关系，同时纠正虚假相关性。我们的方法将超图之间的任何结构重叠概念作为一种有原则的归一化互信息度量来操作，使我们能够在交互顺序内和交互顺序之间以及在多个尺度上导出超图之间日益细化的相似性公式的层次结构。我们通过对合成超图进行广泛的实验来验证这些措施，并应用该框架来揭示各种经验高阶网络中有意义的模式。我们的工作为高阶网络的原则性比较提供了基础工具，揭示了具有非二元交互的网络系统的结构组织。</w:t>
      </w:r>
    </w:p>
    <w:p>
      <w:pPr>
        <w:spacing w:before="0" w:after="200" w:lineRule="auto" w:line="276"/>
      </w:pPr>
      <w:r>
        <w:rPr>
          <w:b/>
        </w:rPr>
        <w:t xml:space="preserve">Abstract (EN): </w:t>
      </w:r>
      <w:r>
        <w:t>Comparing networks is essential for a number of downstream tasks, from clustering to anomaly detection. Despite higher-order interactions being critical for understanding the dynamics of complex systems, traditional approaches for network comparison are limited to pairwise interactions only. Here, we construct a general information theoretic framework for hypergraph similarity, capturing meaningful correspondence among higher-order interactions while correcting for spurious correlations. Our method operationalizes any notion of structural overlap among hypergraphs as a principled normalized mutual information measure, allowing us to derive a hierarchy of increasingly granular formulations of similarity among hypergraphs within and across orders of interactions and at multiple scales. We validate these measures through extensive experiments on synthetic hypergraphs and apply the framework to reveal meaningful patterns in a variety of empirical higher-order networks. Our work provides foundational tools for the principled comparison of higher-order networks, shedding light on the structural organization of networked systems with nondyadic interactions.</w:t>
      </w:r>
    </w:p>
    <w:p>
      <w:pPr>
        <w:spacing w:before="120" w:after="120"/>
      </w:pPr>
      <w:r>
        <w:rPr>
          <w:sz w:val="18"/>
        </w:rPr>
        <w:t>——————————————————————————————————————————————————————————————————————</w:t>
      </w:r>
    </w:p>
    <w:p>
      <w:pPr>
        <w:spacing w:before="160" w:after="40" w:line="240" w:lineRule="auto"/>
      </w:pPr>
      <w:r>
        <w:rPr>
          <w:b/>
        </w:rPr>
        <w:t xml:space="preserve">[351] </w:t>
      </w:r>
      <w:hyperlink r:id="rId885">
        <w:r>
          <w:rPr>
            <w:color w:val="1155CC"/>
            <w:u w:val="single"/>
          </w:rPr>
          <w:t>通过酰胺-π辅助阴离子配位纳米结构组装溶胶-凝胶可互换的62组分十二面体</w:t>
        </w:r>
      </w:hyperlink>
    </w:p>
    <w:p>
      <w:pPr>
        <w:spacing w:before="0" w:after="80"/>
      </w:pPr>
      <w:r>
        <w:rPr>
          <w:i/>
          <w:sz w:val="20"/>
        </w:rPr>
        <w:t>EN: Sol-gel interconvertible 62-component dodecahedra assembled via amide-π–assisted anion-coordination nanoarchitectonics</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86">
        <w:r>
          <w:rPr>
            <w:color w:val="1155CC"/>
            <w:u w:val="single"/>
          </w:rPr>
          <w:t>10.1126/sciadv.aec5613</w:t>
        </w:r>
      </w:hyperlink>
    </w:p>
    <w:p>
      <w:pPr>
        <w:spacing w:before="0" w:after="120"/>
      </w:pPr>
      <w:r>
        <w:rPr>
          <w:b/>
        </w:rPr>
        <w:t xml:space="preserve">Notes: </w:t>
      </w:r>
      <w:r>
        <w:t>abstract_source=crossref</w:t>
      </w:r>
    </w:p>
    <w:p>
      <w:pPr>
        <w:spacing w:before="0" w:after="80" w:lineRule="auto" w:line="276"/>
      </w:pPr>
      <w:r>
        <w:rPr>
          <w:b/>
        </w:rPr>
        <w:t xml:space="preserve">摘要（ZH）: </w:t>
      </w:r>
      <w:r>
        <w:t>病毒通过蛋白质亚基的自组装实现了显着的复杂性，但合成地模拟此类过程仍然是一个巨大的挑战。虽然已经获得了 144 个组件的金属有机笼，但已知的弱非共价力超分子组装体的最大组件数仅为 20。在这里，我们报告了通过仿生策略组装的 62 个组件的超分子笼。通过将阴离子配位与酰胺-π相互作用相结合，我们构建了一个由 62 个组件组成的离散十二面体笼，其结构类似于登革热病毒。这种合成结构由通过 60 个氢键和 30 组酰胺-π 相互作用结合在一起的三种不同分子组成，在溶液中表现出优异的稳定性，并表现出多种固体结构多晶型物。可逆的溶胶-凝胶转变是通过十二面体在乙酰丙酮（acac）中的混合物实现的，这是由主客体介导的高阶组装驱动的。这些发现为构建多组分超分子笼建立了一个先前未知的范例，为开发仿生分子纳米容器开辟了途径，并为各种纳米技术应用奠定了基础。</w:t>
      </w:r>
    </w:p>
    <w:p>
      <w:pPr>
        <w:spacing w:before="0" w:after="200" w:lineRule="auto" w:line="276"/>
      </w:pPr>
      <w:r>
        <w:rPr>
          <w:b/>
        </w:rPr>
        <w:t xml:space="preserve">Abstract (EN): </w:t>
      </w:r>
      <w:r>
        <w:t>Viruses achieve remarkable complexity through the self-assembly of protein subunits, yet mimicking such processes synthetically has remained a grand challenge. While a 144-component metal-organic cage has been obtained, the maximum component count for known supramolecular assemblies of weak noncovalent forces is only 20. Here, we report a 62-component supramolecular cage assembled via a bioinspired strategy. By combining anion coordination with amide-π interactions, we construct a 62-component discrete dodecahedral cage structurally analogous to the dengue virus. This synthetic architecture, comprising three distinct molecular species held together via 60 H-bonds and 30 sets of amide-π interactions, demonstrates excellent stability in solution and exhibits multiple solid structural polymorphs. A reversible sol-gel transition is achieved by a mixture of the dodecahedra in acetylacetone (acac), which is driven by the host-guest–mediated higher-order assembly. These findings establish a previously unidentified paradigm for constructing multicomponent supramolecular cages, opening avenues for developing bioinspired molecular nanocontainers and providing a foundation for diverse nanotechnological applications.</w:t>
      </w:r>
    </w:p>
    <w:p>
      <w:pPr>
        <w:spacing w:before="120" w:after="120"/>
      </w:pPr>
      <w:r>
        <w:rPr>
          <w:sz w:val="18"/>
        </w:rPr>
        <w:t>——————————————————————————————————————————————————————————————————————</w:t>
      </w:r>
    </w:p>
    <w:p>
      <w:pPr>
        <w:spacing w:before="160" w:after="40" w:line="240" w:lineRule="auto"/>
      </w:pPr>
      <w:r>
        <w:rPr>
          <w:b/>
        </w:rPr>
        <w:t xml:space="preserve">[352] </w:t>
      </w:r>
      <w:hyperlink r:id="rId887">
        <w:r>
          <w:rPr>
            <w:color w:val="1155CC"/>
            <w:u w:val="single"/>
          </w:rPr>
          <w:t>用于非经典光的芯片级原子束</w:t>
        </w:r>
      </w:hyperlink>
    </w:p>
    <w:p>
      <w:pPr>
        <w:spacing w:before="0" w:after="80"/>
      </w:pPr>
      <w:r>
        <w:rPr>
          <w:i/>
          <w:sz w:val="20"/>
        </w:rPr>
        <w:t>EN: A chip-scale atomic beam for nonclassical light</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88">
        <w:r>
          <w:rPr>
            <w:color w:val="1155CC"/>
            <w:u w:val="single"/>
          </w:rPr>
          <w:t>10.1126/sciadv.aec3179</w:t>
        </w:r>
      </w:hyperlink>
    </w:p>
    <w:p>
      <w:pPr>
        <w:spacing w:before="0" w:after="120"/>
      </w:pPr>
      <w:r>
        <w:rPr>
          <w:b/>
        </w:rPr>
        <w:t xml:space="preserve">Notes: </w:t>
      </w:r>
      <w:r>
        <w:t>abstract_source=crossref</w:t>
      </w:r>
    </w:p>
    <w:p>
      <w:pPr>
        <w:spacing w:before="0" w:after="80" w:lineRule="auto" w:line="276"/>
      </w:pPr>
      <w:r>
        <w:rPr>
          <w:b/>
        </w:rPr>
        <w:t xml:space="preserve">摘要（ZH）: </w:t>
      </w:r>
      <w:r>
        <w:t>非经典光是广泛的量子技术和基础科学的关键资源。然而，由于复杂性和光谱漂移，激光冷却原子和固态系统等领先平台都对可扩展性提出了巨大的挑战。在这里，我们演示了一种混合方法，使用芯片级铷束耦合到高精细腔量子电动力学（QED）系统。具体来说，我们产生非经典光并观察少数光子水平的光学非线性。这是在不降低腔 QED 系统性能的情况下实现的。通过证明这两种技术的兼容性，我们为分布式非经典光源开辟了一条道路，并为使用腔 QED 增强芯片级磁力计和原子钟的性能奠定了基础。</w:t>
      </w:r>
    </w:p>
    <w:p>
      <w:pPr>
        <w:spacing w:before="0" w:after="200" w:lineRule="auto" w:line="276"/>
      </w:pPr>
      <w:r>
        <w:rPr>
          <w:b/>
        </w:rPr>
        <w:t xml:space="preserve">Abstract (EN): </w:t>
      </w:r>
      <w:r>
        <w:t>Nonclassical light is a critical resource for a broad range of quantum technologies and fundamental science. However, leading platforms such as laser-cooled atoms and solid-state systems both present substantial challenges to scalability due to complexity and spectral drift. Here, we demonstrate a hybrid approach using a chip-scale rubidium beam coupled to a high-finesse cavity–quantum electrodynamics (QED) system. Specifically, we generate nonclassical light and observe optical nonlinearities at the few photon level. This is achieved without degradation of the cavity-QED system. By demonstrating the compatibility of these two technologies, we open a path for distributed sources of nonclassical light and set the stage for using cavity-QED to enhance the performance of chip-scale magnetometers and atomic clocks.</w:t>
      </w:r>
    </w:p>
    <w:p>
      <w:pPr>
        <w:spacing w:before="120" w:after="120"/>
      </w:pPr>
      <w:r>
        <w:rPr>
          <w:sz w:val="18"/>
        </w:rPr>
        <w:t>——————————————————————————————————————————————————————————————————————</w:t>
      </w:r>
    </w:p>
    <w:p>
      <w:pPr>
        <w:spacing w:before="160" w:after="40" w:line="240" w:lineRule="auto"/>
      </w:pPr>
      <w:r>
        <w:rPr>
          <w:b/>
        </w:rPr>
        <w:t xml:space="preserve">[353] </w:t>
      </w:r>
      <w:hyperlink r:id="rId889">
        <w:r>
          <w:rPr>
            <w:color w:val="1155CC"/>
            <w:u w:val="single"/>
          </w:rPr>
          <w:t>收缩心肌细胞的荧光寿命光学电生理学</w:t>
        </w:r>
      </w:hyperlink>
    </w:p>
    <w:p>
      <w:pPr>
        <w:spacing w:before="0" w:after="80"/>
      </w:pPr>
      <w:r>
        <w:rPr>
          <w:i/>
          <w:sz w:val="20"/>
        </w:rPr>
        <w:t>EN: Fluorescence-lifetime optical electrophysiology in contracting cardiomyocytes</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890">
        <w:r>
          <w:rPr>
            <w:color w:val="1155CC"/>
            <w:u w:val="single"/>
          </w:rPr>
          <w:t>10.1073/pnas.2533881123</w:t>
        </w:r>
      </w:hyperlink>
    </w:p>
    <w:p>
      <w:pPr>
        <w:spacing w:before="0" w:after="120"/>
      </w:pPr>
      <w:r>
        <w:rPr>
          <w:b/>
        </w:rPr>
        <w:t xml:space="preserve">Notes: </w:t>
      </w:r>
      <w:r>
        <w:t>abstract_source=crossref</w:t>
      </w:r>
    </w:p>
    <w:p>
      <w:pPr>
        <w:spacing w:before="0" w:after="80" w:lineRule="auto" w:line="276"/>
      </w:pPr>
      <w:r>
        <w:rPr>
          <w:b/>
        </w:rPr>
        <w:t xml:space="preserve">摘要（ZH）: </w:t>
      </w:r>
      <w:r>
        <w:t>体外心脏电生理学的精确监测对于了解心脏功能和心脏病至关重要。然而，用于直接测量兴奋-收缩耦合的高通量、非接触式方法仍然有限。在这里，我们介绍了一种定量电生理成像范例，该范例结合了荧光寿命和强度信息，以高保真度捕获动态心脏信号。我们表明，寿命测量本质上与运动伪影脱钩，并在宽视野范围内提供校准的钙浓度和膜电位估计。使用门控单光子雪崩二极管相机，我们以每秒高达 200 帧的速度获取荧光寿命图像，具有足够的信噪比，使得每一帧都包含有意义的寿命信息，而无需时间平均。这种方法产生了收缩心肌细胞单层的电压和钙值的空间分辨图，揭示了个体测定中的异质细胞行为，并揭示了晚相复极化过程中先前未报告的动态，以实时分析兴奋-收缩耦合。</w:t>
      </w:r>
    </w:p>
    <w:p>
      <w:pPr>
        <w:spacing w:before="0" w:after="200" w:lineRule="auto" w:line="276"/>
      </w:pPr>
      <w:r>
        <w:rPr>
          <w:b/>
        </w:rPr>
        <w:t xml:space="preserve">Abstract (EN): </w:t>
      </w:r>
      <w:r>
        <w:t>Precise monitoring of cardiac electrophysiology in vitro is crucial to understanding heart function and cardiac disease. However, high-throughput, contact-free methods for directly measuring excitation–contraction coupling remain limited. Here, we introduce a paradigm for quantitative electrophysiological imaging that combines fluorescence lifetime and intensity information to capture dynamic cardiac signals with high fidelity. We show that lifetime measurements are intrinsically decoupled from motion artifacts and provide calibrated calcium concentration and membrane potential estimates across wide fields of view. Using a gated single-photon avalanche diode camera, we acquire fluorescence lifetime images at up to 200 frames per second with sufficient signal-to-noise ratio such that each frame contains meaningful lifetime information without temporal averaging. This approach yields spatially resolved maps of voltage and calcium values across contracting cardiomyocyte monolayers, revealing heterogeneous cell behaviors within individual assays and uncovering previously unreported dynamics during late-phase repolarization for real-time analysis of excitation–contraction coupling.</w:t>
      </w:r>
    </w:p>
    <w:p>
      <w:pPr>
        <w:spacing w:before="120" w:after="120"/>
      </w:pPr>
      <w:r>
        <w:rPr>
          <w:sz w:val="18"/>
        </w:rPr>
        <w:t>——————————————————————————————————————————————————————————————————————</w:t>
      </w:r>
    </w:p>
    <w:p>
      <w:pPr>
        <w:spacing w:before="160" w:after="40" w:line="240" w:lineRule="auto"/>
      </w:pPr>
      <w:r>
        <w:rPr>
          <w:b/>
        </w:rPr>
        <w:t xml:space="preserve">[354] </w:t>
      </w:r>
      <w:hyperlink r:id="rId891">
        <w:r>
          <w:rPr>
            <w:color w:val="1155CC"/>
            <w:u w:val="single"/>
          </w:rPr>
          <w:t>干燥病中连接 CD4+ T 和 B 细胞病理学的共享抗原的鉴定</w:t>
        </w:r>
      </w:hyperlink>
    </w:p>
    <w:p>
      <w:pPr>
        <w:spacing w:before="0" w:after="80"/>
      </w:pPr>
      <w:r>
        <w:rPr>
          <w:i/>
          <w:sz w:val="20"/>
        </w:rPr>
        <w:t>EN: Identification of a shared antigen linking CD4+ T and B cell pathology in Sjögren’s disease</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92">
        <w:r>
          <w:rPr>
            <w:color w:val="1155CC"/>
            <w:u w:val="single"/>
          </w:rPr>
          <w:t>10.1126/sciadv.aeb2491</w:t>
        </w:r>
      </w:hyperlink>
    </w:p>
    <w:p>
      <w:pPr>
        <w:spacing w:before="0" w:after="120"/>
      </w:pPr>
      <w:r>
        <w:rPr>
          <w:b/>
        </w:rPr>
        <w:t xml:space="preserve">Notes: </w:t>
      </w:r>
      <w:r>
        <w:t>abstract_source=crossref</w:t>
      </w:r>
    </w:p>
    <w:p>
      <w:pPr>
        <w:spacing w:before="0" w:after="80" w:lineRule="auto" w:line="276"/>
      </w:pPr>
      <w:r>
        <w:rPr>
          <w:b/>
        </w:rPr>
        <w:t xml:space="preserve">摘要（ZH）: </w:t>
      </w:r>
      <w:r>
        <w:t>干燥病 (SjD) 是一种自身免疫性疾病，其特征是外分泌腺淋巴细胞浸润。尽管在唾液腺病变中经常发现产生抗 Ro60 自身抗体的 B 细胞，但 CD4 的抗原特异性</w:t>
      </w:r>
      <w:r>
        <w:t xml:space="preserve"> </w:t>
      </w:r>
      <w:r>
        <w:t>+</w:t>
      </w:r>
      <w:r>
        <w:t xml:space="preserve"> </w:t>
      </w:r>
      <w:r>
        <w:t>T细胞仍不清楚。鉴于 T 细胞参与局部自身抗体产生的证据不断积累，我们全面研究了病变浸润 CD4 中的 Ro60 反应性</w:t>
      </w:r>
      <w:r>
        <w:t xml:space="preserve"> </w:t>
      </w:r>
      <w:r>
        <w:t>+</w:t>
      </w:r>
      <w:r>
        <w:t xml:space="preserve"> </w:t>
      </w:r>
      <w:r>
        <w:t>T细胞。使用 TCR 报告系统筛选了日本和白人 SjD 患者唾液腺中富集的 200 多种 T 细胞受体 (TCR)，识别出主要在 T 外周辅助细胞/T 滤泡辅助细胞亚群中表达的 13 个 Ro60 反应性 TCR，以及与 SjD 易感性相关的人类白细胞抗原等位基因。在自身抗体存在的情况下，Ro60 被抗原呈递细胞有效吞噬，并呈递给 Ro60 特异性 T 细胞，触发其激活。这表明 Ro60 特异性 B 和 CD4</w:t>
      </w:r>
      <w:r>
        <w:t xml:space="preserve"> </w:t>
      </w:r>
      <w:r>
        <w:t>+</w:t>
      </w:r>
      <w:r>
        <w:t xml:space="preserve"> </w:t>
      </w:r>
      <w:r>
        <w:t>T 细胞在唾液腺中协调病理循环。我们的研究首次对主要 CD4 进行了分子鉴定</w:t>
      </w:r>
      <w:r>
        <w:t xml:space="preserve"> </w:t>
      </w:r>
      <w:r>
        <w:t>+</w:t>
      </w:r>
      <w:r>
        <w:t xml:space="preserve"> </w:t>
      </w:r>
      <w:r>
        <w:t>系统性自身免疫中的 T 细胞抗原，并强调针对共享自身抗原的协调 T-B 细胞反应。</w:t>
      </w:r>
    </w:p>
    <w:p>
      <w:pPr>
        <w:spacing w:before="0" w:after="200" w:lineRule="auto" w:line="276"/>
      </w:pPr>
      <w:r>
        <w:rPr>
          <w:b/>
        </w:rPr>
        <w:t xml:space="preserve">Abstract (EN): </w:t>
      </w:r>
      <w:r>
        <w:t>Sjögren’s disease (SjD) is an autoimmune disorder characterized by lymphocytic infiltration of exocrine glands. Although B cells producing anti-Ro60 autoantibodies are frequently found in salivary gland lesions, the antigen specificity of CD4</w:t>
      </w:r>
      <w:r>
        <w:t xml:space="preserve"> </w:t>
      </w:r>
      <w:r>
        <w:t>+</w:t>
      </w:r>
      <w:r>
        <w:t xml:space="preserve"> </w:t>
      </w:r>
      <w:r>
        <w:t>T cells has remained unclear. Given accumulating evidence for T cell involvement in local autoantibody production, we comprehensively investigated Ro60 reactivity among lesion-infiltrating CD4</w:t>
      </w:r>
      <w:r>
        <w:t xml:space="preserve"> </w:t>
      </w:r>
      <w:r>
        <w:t>+</w:t>
      </w:r>
      <w:r>
        <w:t xml:space="preserve"> </w:t>
      </w:r>
      <w:r>
        <w:t>T cells. Over 200 T cell receptors (TCRs) enriched in salivary glands from Japanese and Caucasian patients with SjD were screened using a TCR reporter system, identifying 13 Ro60-reactive TCRs predominantly expressed in T peripheral helper/T follicular helper subset, along with human leukocyte antigen alleles linked to SjD susceptibility. Ro60 was efficiently phagocytosed by antigen-presenting cells in the presence of autoantibodies and presented to Ro60-specific T cells, triggering their activation. This suggests that Ro60-specific B and CD4</w:t>
      </w:r>
      <w:r>
        <w:t xml:space="preserve"> </w:t>
      </w:r>
      <w:r>
        <w:t>+</w:t>
      </w:r>
      <w:r>
        <w:t xml:space="preserve"> </w:t>
      </w:r>
      <w:r>
        <w:t>T cells orchestrate a pathological loop in salivary glands. Our study provides the first molecular identification of a major CD4</w:t>
      </w:r>
      <w:r>
        <w:t xml:space="preserve"> </w:t>
      </w:r>
      <w:r>
        <w:t>+</w:t>
      </w:r>
      <w:r>
        <w:t xml:space="preserve"> </w:t>
      </w:r>
      <w:r>
        <w:t>T cell antigen in systemic autoimmunity and highlights coordinated T-B cell responses against a shared autoantigen.</w:t>
      </w:r>
    </w:p>
    <w:p>
      <w:pPr>
        <w:spacing w:before="120" w:after="120"/>
      </w:pPr>
      <w:r>
        <w:rPr>
          <w:sz w:val="18"/>
        </w:rPr>
        <w:t>——————————————————————————————————————————————————————————————————————</w:t>
      </w:r>
    </w:p>
    <w:p>
      <w:pPr>
        <w:spacing w:before="160" w:after="40" w:line="240" w:lineRule="auto"/>
      </w:pPr>
      <w:r>
        <w:rPr>
          <w:b/>
        </w:rPr>
        <w:t xml:space="preserve">[355] </w:t>
      </w:r>
      <w:hyperlink r:id="rId893">
        <w:r>
          <w:rPr>
            <w:color w:val="1155CC"/>
            <w:u w:val="single"/>
          </w:rPr>
          <w:t>当帮助就是伤害</w:t>
        </w:r>
      </w:hyperlink>
    </w:p>
    <w:p>
      <w:pPr>
        <w:spacing w:before="0" w:after="80"/>
      </w:pPr>
      <w:r>
        <w:rPr>
          <w:i/>
          <w:sz w:val="20"/>
        </w:rPr>
        <w:t>EN: When help is harm</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94">
        <w:r>
          <w:rPr>
            <w:color w:val="1155CC"/>
            <w:u w:val="single"/>
          </w:rPr>
          <w:t>10.1126/sciadv.aei2098</w:t>
        </w:r>
      </w:hyperlink>
    </w:p>
    <w:p>
      <w:pPr>
        <w:spacing w:before="0" w:after="120"/>
      </w:pPr>
      <w:r>
        <w:rPr>
          <w:b/>
        </w:rPr>
        <w:t xml:space="preserve">Notes: </w:t>
      </w:r>
      <w:r>
        <w:t>abstract_source=crossref</w:t>
      </w:r>
    </w:p>
    <w:p>
      <w:pPr>
        <w:spacing w:before="0" w:after="80" w:lineRule="auto" w:line="276"/>
      </w:pPr>
      <w:r>
        <w:rPr>
          <w:b/>
        </w:rPr>
        <w:t xml:space="preserve">摘要（ZH）: </w:t>
      </w:r>
      <w:r>
        <w:t>B 细胞与具有相同抗原特异性的 T 辅助细胞合作，产生针对干燥病 Ro60 自身抗原的致病性抗体。</w:t>
      </w:r>
    </w:p>
    <w:p>
      <w:pPr>
        <w:spacing w:before="0" w:after="200" w:lineRule="auto" w:line="276"/>
      </w:pPr>
      <w:r>
        <w:rPr>
          <w:b/>
        </w:rPr>
        <w:t xml:space="preserve">Abstract (EN): </w:t>
      </w:r>
      <w:r>
        <w:t>B cells collaborate with T helper cells sharing the same antigen specificity to produce pathogenic antibodies to the Ro60 autoantigen in Sjögren’s disease.</w:t>
      </w:r>
    </w:p>
    <w:p>
      <w:pPr>
        <w:spacing w:before="120" w:after="120"/>
      </w:pPr>
      <w:r>
        <w:rPr>
          <w:sz w:val="18"/>
        </w:rPr>
        <w:t>——————————————————————————————————————————————————————————————————————</w:t>
      </w:r>
    </w:p>
    <w:p>
      <w:pPr>
        <w:spacing w:before="160" w:after="40" w:line="240" w:lineRule="auto"/>
      </w:pPr>
      <w:r>
        <w:rPr>
          <w:b/>
        </w:rPr>
        <w:t xml:space="preserve">[356] </w:t>
      </w:r>
      <w:hyperlink r:id="rId895">
        <w:r>
          <w:rPr>
            <w:color w:val="1155CC"/>
            <w:u w:val="single"/>
          </w:rPr>
          <w:t>Am80-脂质纳米颗粒作为灭活脊髓灰质炎疫苗肠外免疫后的肠粘膜佐剂</w:t>
        </w:r>
      </w:hyperlink>
    </w:p>
    <w:p>
      <w:pPr>
        <w:spacing w:before="0" w:after="80"/>
      </w:pPr>
      <w:r>
        <w:rPr>
          <w:i/>
          <w:sz w:val="20"/>
        </w:rPr>
        <w:t>EN: Am80-lipid nanoparticles serve as an enteric mucosal adjuvant following parenteral immunization with inactivated polio vaccine</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96">
        <w:r>
          <w:rPr>
            <w:color w:val="1155CC"/>
            <w:u w:val="single"/>
          </w:rPr>
          <w:t>10.1126/sciadv.aea5433</w:t>
        </w:r>
      </w:hyperlink>
    </w:p>
    <w:p>
      <w:pPr>
        <w:spacing w:before="0" w:after="120"/>
      </w:pPr>
      <w:r>
        <w:rPr>
          <w:b/>
        </w:rPr>
        <w:t xml:space="preserve">Notes: </w:t>
      </w:r>
      <w:r>
        <w:t>abstract_source=crossref</w:t>
      </w:r>
    </w:p>
    <w:p>
      <w:pPr>
        <w:spacing w:before="0" w:after="80" w:lineRule="auto" w:line="276"/>
      </w:pPr>
      <w:r>
        <w:rPr>
          <w:b/>
        </w:rPr>
        <w:t xml:space="preserve">摘要（ZH）: </w:t>
      </w:r>
      <w:r>
        <w:t>肠道病原体是全球疾病负担的主要原因，因此需要能够诱导强大胃肠粘膜免疫的疫苗。对于灭活疫苗或亚单位疫苗来说，实现这种反应尤其具有挑战性，因为它们缺乏减毒活制剂模拟诱导强肠粘膜免疫所需的自然感染过程的能力。具体而言，非肠道注射的灭活脊髓灰质炎疫苗 (IPV) 可引发强大的全身免疫力，但无法诱导完全阻断脊髓灰质炎病毒传播所需的粘膜 IgA 反应，而这是彻底根除脊髓灰质炎病毒的关键一步。为了解决这一限制，我们开发了一种临床可转化和可扩展的基于纳米颗粒的肠粘膜佐剂，将Am80（一种已知可促进肠粘膜免疫的疏水性小分子）封装在专为淋巴结递送而设计的纳米颗粒（NP）中，无需抗原修饰、封装或吸附。纳米颗粒的封装消除了对有机溶剂的使用，降低了毒性，并防止了降解，而脂质纳米颗粒 (Am80-LNP) 经过精心设计，可在 3 至 5 天内持续释放，并具有高封装效率 (78 ± 9%)。 Cy5 标记的 Am80-LNP 在 6 小时内定位于引流淋巴结，并保留长达 72 小时。在 Wistar 大鼠模型中，Am80-LNP 与许可的 IPV-2 共同给药，与单独使用 IPV-2 相比，显着提高了 IPV-2 特异性粪便 IgA 的 20 倍，是游离 Am80 的三倍。这些发现表明 Am80-LNPs 标志</w:t>
      </w:r>
    </w:p>
    <w:p>
      <w:pPr>
        <w:spacing w:before="0" w:after="200" w:lineRule="auto" w:line="276"/>
      </w:pPr>
      <w:r>
        <w:rPr>
          <w:b/>
        </w:rPr>
        <w:t xml:space="preserve">Abstract (EN): </w:t>
      </w:r>
      <w:r>
        <w:t>Enteric pathogens are a major contributor to the global disease burden, necessitating vaccines capable of inducing robust gastrointestinal mucosal immunity. Achieving this response is especially challenging with inactivated or subunit vaccines, which lack the ability of live-attenuated formulations to mimic the natural infection process needed to induce strong intestinal mucosal immunity. Specifically, the inactivated polio vaccine (IPV), administered parenterally, elicits strong systemic immunity but fails to induce the mucosal IgA responses required to fully block poliovirus transmission, a critical step toward complete eradication. To address this limitation, we developed a clinically translatable and scalable nanoparticle-based intestinal mucosal adjuvant by encapsulating Am80, a small hydrophobic molecule known to promote intestinal mucosal immunity, within nanoparticles (NPs) designed for lymph node delivery, without requiring antigen modification, encapsulation, or adsorption. Encapsulation in NPs eliminated the need for the use of organic solvents, reduced toxicity, and prevented degradation, while lipid nanoparticles (Am80-LNPs) were engineered for sustained release over 3 to 5 days with high encapsulation efficiency (78 ± 9%). Cy5-labeled Am80-LNPs localized to draining lymph nodes within 6 hours and were retained for up to 72 hours. Coadministration of Am80-LNPs with the licensed IPV-2 in a Wistar rat model significantly boosted IPV-2–specific fecal IgA by 20-fold compared to IPV-2 alone and threefold over free Am80. These findings demonstrate that Am80-LNPs significantly enhance IPV-2–specific mucosal immunity in vivo and suggest their potential as a potent mucosal adjuvant against other enteric pathogens.</w:t>
      </w:r>
    </w:p>
    <w:p>
      <w:pPr>
        <w:spacing w:before="120" w:after="120"/>
      </w:pPr>
      <w:r>
        <w:rPr>
          <w:sz w:val="18"/>
        </w:rPr>
        <w:t>——————————————————————————————————————————————————————————————————————</w:t>
      </w:r>
    </w:p>
    <w:p>
      <w:pPr>
        <w:spacing w:before="160" w:after="40" w:line="240" w:lineRule="auto"/>
      </w:pPr>
      <w:r>
        <w:rPr>
          <w:b/>
        </w:rPr>
        <w:t xml:space="preserve">[357] </w:t>
      </w:r>
      <w:hyperlink r:id="rId897">
        <w:r>
          <w:rPr>
            <w:color w:val="1155CC"/>
            <w:u w:val="single"/>
          </w:rPr>
          <w:t>绘制婴儿前额皮质基因表达网络的人类特异性特性</w:t>
        </w:r>
      </w:hyperlink>
    </w:p>
    <w:p>
      <w:pPr>
        <w:spacing w:before="0" w:after="80"/>
      </w:pPr>
      <w:r>
        <w:rPr>
          <w:i/>
          <w:sz w:val="20"/>
        </w:rPr>
        <w:t>EN: Charting the human-specific properties of gene expression networks in the infant prefrontal cortex</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898">
        <w:r>
          <w:rPr>
            <w:color w:val="1155CC"/>
            <w:u w:val="single"/>
          </w:rPr>
          <w:t>10.1126/sciadv.aea3316</w:t>
        </w:r>
      </w:hyperlink>
    </w:p>
    <w:p>
      <w:pPr>
        <w:spacing w:before="0" w:after="120"/>
      </w:pPr>
      <w:r>
        <w:rPr>
          <w:b/>
        </w:rPr>
        <w:t xml:space="preserve">Notes: </w:t>
      </w:r>
      <w:r>
        <w:t>abstract_source=crossref</w:t>
      </w:r>
    </w:p>
    <w:p>
      <w:pPr>
        <w:spacing w:before="0" w:after="80" w:lineRule="auto" w:line="276"/>
      </w:pPr>
      <w:r>
        <w:rPr>
          <w:b/>
        </w:rPr>
        <w:t xml:space="preserve">摘要（ZH）: </w:t>
      </w:r>
      <w:r>
        <w:t>人类婴儿期的特点是大脑发育延长，同时也是广泛突触重塑的敏感期。这是否得到人类婴儿特异性转录程序的支持尚不清楚，因为无法获得密切相关的灵长类动物物种的比较材料。在这里，我们使用单细胞转录组学和表观基因组学分析了罕见的新生黑猩猩以及年龄匹配的人类和恒河猴大脑样本。我们在未成熟的少突胶质细胞中发现了人类婴儿特异性的转录程序，该程序在自闭症风险基因和患者基因表达变化中表现过度。此外，人类婴儿神经谱系中特定的转录程序在帕金森病风险基因和患者基因表达变化中被过度体现。这两个程序都是核心转录网络的一部分，该网络包含调节 DNA 中人类特异性的序列变化，并且缺乏细胞谱系特异性。我们的研究提供了对婴儿早期人类进化阶段特定特性的见解，并揭示了人类特定的神经疾病倾向。</w:t>
      </w:r>
    </w:p>
    <w:p>
      <w:pPr>
        <w:spacing w:before="0" w:after="200" w:lineRule="auto" w:line="276"/>
      </w:pPr>
      <w:r>
        <w:rPr>
          <w:b/>
        </w:rPr>
        <w:t xml:space="preserve">Abstract (EN): </w:t>
      </w:r>
      <w:r>
        <w:t>Human infancy is characterized by protracted brain development coinciding with sensitive periods of extensive synaptic remodeling. Whether this is supported by human infant–specific transcriptional programs is unknown as comparative material in closely related primate species was unavailable. Here, we analyze rare newborn chimpanzee and age-matched human and rhesus macaque brain samples using single-cell transcriptomics and epigenomics. We identify a human infant–specific transcriptional program in immature oligodendrocytes that is overrepresented in autism risk genes and patient gene expression changes. Furthermore, a human infant–specific transcriptional program in the neural lineage is overrepresented in Parkinson’s disease risk genes and patient gene expression changes. Both of these programs are part of a core transcriptional network that contains human-specific sequence changes in regulatory DNA and lacks cell lineage specificity. Our study provides insights into the stage-specific properties of human evolution during early infancy and sheds light on the human-specific propensities to neural disease.</w:t>
      </w:r>
    </w:p>
    <w:p>
      <w:pPr>
        <w:spacing w:before="120" w:after="120"/>
      </w:pPr>
      <w:r>
        <w:rPr>
          <w:sz w:val="18"/>
        </w:rPr>
        <w:t>——————————————————————————————————————————————————————————————————————</w:t>
      </w:r>
    </w:p>
    <w:p>
      <w:pPr>
        <w:spacing w:before="160" w:after="40" w:line="240" w:lineRule="auto"/>
      </w:pPr>
      <w:r>
        <w:rPr>
          <w:b/>
        </w:rPr>
        <w:t xml:space="preserve">[358] </w:t>
      </w:r>
      <w:hyperlink r:id="rId899">
        <w:r>
          <w:rPr>
            <w:color w:val="1155CC"/>
            <w:u w:val="single"/>
          </w:rPr>
          <w:t>代偿性呼吸支持铜绿微囊藻在长时间热应激期间的生存</w:t>
        </w:r>
      </w:hyperlink>
    </w:p>
    <w:p>
      <w:pPr>
        <w:spacing w:before="0" w:after="80"/>
      </w:pPr>
      <w:r>
        <w:rPr>
          <w:i/>
          <w:sz w:val="20"/>
        </w:rPr>
        <w:t>EN: Compensatory respiration supports survival during extended heat stress in Microcystis aeruginosa</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900">
        <w:r>
          <w:rPr>
            <w:color w:val="1155CC"/>
            <w:u w:val="single"/>
          </w:rPr>
          <w:t>10.1126/sciadv.adz4338</w:t>
        </w:r>
      </w:hyperlink>
    </w:p>
    <w:p>
      <w:pPr>
        <w:spacing w:before="0" w:after="120"/>
      </w:pPr>
      <w:r>
        <w:rPr>
          <w:b/>
        </w:rPr>
        <w:t xml:space="preserve">Notes: </w:t>
      </w:r>
      <w:r>
        <w:t>abstract_source=crossref</w:t>
      </w:r>
    </w:p>
    <w:p>
      <w:pPr>
        <w:spacing w:before="0" w:after="80" w:lineRule="auto" w:line="276"/>
      </w:pPr>
      <w:r>
        <w:rPr>
          <w:b/>
        </w:rPr>
        <w:t xml:space="preserve">摘要（ZH）: </w:t>
      </w:r>
      <w:r>
        <w:t>光养生物必须平衡光合作用和呼吸之间的能量才能生存。在蓝细菌中，这种协调尤其重要，因为两个过程共享相同的膜和电子传输复合物。尽管两种途径之间的电子交换是已知的，但通常认为光合作用在许多条件下占主导地位。在这里，在长期的热应激条件下，我们的数据表明呼吸可以补偿光合作用活动的减少。我们比较了两个</w:t>
      </w:r>
      <w:r>
        <w:t xml:space="preserve"> </w:t>
      </w:r>
      <w:r>
        <w:t>铜绿微囊藻</w:t>
      </w:r>
      <w:r>
        <w:t xml:space="preserve"> </w:t>
      </w:r>
      <w:r>
        <w:t>菌株（PCC7806 和 Lake Kinneret 分离菌株 C-1004）。 PCC7806 保持活力，同时增加暗呼吸并维持更大的活性质体蓝素池和周转。 C-1004 保持较高的光系统 II 活性，但呼吸作用和生物量减少。总体而言，结果表明，呼吸补偿（而不是残余光化学通量）与这种情况下的生存相关。这种差异可能导致菌株优势的季节性变化，并表明呼吸是蓝藻在热应激期间的重要生存机制。</w:t>
      </w:r>
    </w:p>
    <w:p>
      <w:pPr>
        <w:spacing w:before="0" w:after="200" w:lineRule="auto" w:line="276"/>
      </w:pPr>
      <w:r>
        <w:rPr>
          <w:b/>
        </w:rPr>
        <w:t xml:space="preserve">Abstract (EN): </w:t>
      </w:r>
      <w:r>
        <w:t>Phototrophic organisms must balance energy between photosynthesis and respiration to survive. In cyanobacteria, this coordination is especially critical as both processes share the same membrane and electron transport complexes. Although electron exchange between the two pathways is known, photosynthesis is often presumed to dominate under many conditions. Here, under an extended heat-stress condition, our data indicate that respiration can compensate for reduced photosynthetic activity. We compared two</w:t>
      </w:r>
      <w:r>
        <w:t xml:space="preserve"> </w:t>
      </w:r>
      <w:r>
        <w:t>Microcystis aeruginosa</w:t>
      </w:r>
      <w:r>
        <w:t xml:space="preserve"> </w:t>
      </w:r>
      <w:r>
        <w:t>strains (PCC7806 and Lake Kinneret isolated strain C-1004). PCC7806 maintained viability while increasing dark respiration and sustaining a larger, active plastocyanin pool and turnover. C-1004 maintained higher photosystem II activity but showed reduced respiration and reduced biomass. Overall, the results suggest that respiratory compensation, rather than residual photochemical throughput, aligns with survival under this condition. Such differences could contribute to seasonal shifts in strain dominance and point to respiration as an important survival mechanism in cyanobacteria during heat stress.</w:t>
      </w:r>
    </w:p>
    <w:p>
      <w:pPr>
        <w:spacing w:before="120" w:after="120"/>
      </w:pPr>
      <w:r>
        <w:rPr>
          <w:sz w:val="18"/>
        </w:rPr>
        <w:t>——————————————————————————————————————————————————————————————————————</w:t>
      </w:r>
    </w:p>
    <w:p>
      <w:pPr>
        <w:spacing w:before="160" w:after="40" w:line="240" w:lineRule="auto"/>
      </w:pPr>
      <w:r>
        <w:rPr>
          <w:b/>
        </w:rPr>
        <w:t xml:space="preserve">[359] </w:t>
      </w:r>
      <w:hyperlink r:id="rId901">
        <w:r>
          <w:rPr>
            <w:color w:val="1155CC"/>
            <w:u w:val="single"/>
          </w:rPr>
          <w:t>线粒体 OXPHOS 限制 SARS-CoV-2 复制</w:t>
        </w:r>
      </w:hyperlink>
    </w:p>
    <w:p>
      <w:pPr>
        <w:spacing w:before="0" w:after="80"/>
      </w:pPr>
      <w:r>
        <w:rPr>
          <w:i/>
          <w:sz w:val="20"/>
        </w:rPr>
        <w:t>EN: Mitochondrial OXPHOS restricts SARS-CoV-2 replication</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902">
        <w:r>
          <w:rPr>
            <w:color w:val="1155CC"/>
            <w:u w:val="single"/>
          </w:rPr>
          <w:t>10.1126/sciadv.adz3081</w:t>
        </w:r>
      </w:hyperlink>
    </w:p>
    <w:p>
      <w:pPr>
        <w:spacing w:before="0" w:after="120"/>
      </w:pPr>
      <w:r>
        <w:rPr>
          <w:b/>
        </w:rPr>
        <w:t xml:space="preserve">Notes: </w:t>
      </w:r>
      <w:r>
        <w:t>abstract_source=crossref</w:t>
      </w:r>
    </w:p>
    <w:p>
      <w:pPr>
        <w:spacing w:before="0" w:after="80" w:lineRule="auto" w:line="276"/>
      </w:pPr>
      <w:r>
        <w:rPr>
          <w:b/>
        </w:rPr>
        <w:t xml:space="preserve">摘要（ZH）: </w:t>
      </w:r>
      <w:r>
        <w:t>严重急性呼吸综合征冠状病毒 2 (SARS-CoV-2) 会重新连接宿主代谢以优化病毒生产。尽管糖酵解是病毒产生所必需的，但线粒体氧化磷酸化 (OXPHOS) 的重要性尚不清楚。线粒体 DNA (mtDNA) 编码 13 种关键的 OXPHOS 多肽以及用于线粒体蛋白质合成的 22 种转移 RNA (tRNA) 和 2 种核糖体 RNA (rRNA)。我们发现，当 OXPHOS 被 mtDNA 消耗抑制时，受感染的表达 ACE2 的 A549 肺细胞中 SARS-CoV-2 病毒的产量增加约 5 至 100 倍（ρ</w:t>
      </w:r>
      <w:r>
        <w:rPr>
          <w:vertAlign w:val="subscript"/>
        </w:rPr>
        <w:t>0</w:t>
      </w:r>
      <w:r>
        <w:t>细胞），用氯霉素（CAP）抑制线粒体翻译，或化学抑制 OXPHOS 复合物。 OXPHOS 抑制导致病毒复制中心的大小和分布显着增加，并加速感染性颗粒的产生和释放，比亲代 A549-ACE2（野生型）细胞早约 2 小时。随后，我们发现增强病毒复制需要增加糖酵解能力，而先天免疫途径激活的差异则不需要。将 mtDNA 从明确的母系重新引入 ρ</w:t>
      </w:r>
      <w:r>
        <w:rPr>
          <w:vertAlign w:val="subscript"/>
        </w:rPr>
        <w:t>0</w:t>
      </w:r>
      <w:r>
        <w:t>细胞恢复 OXPHOS，损害 SARS-CoV-2 复制，并逆转相关的病毒和糖酵解相关性。因此，代谢平衡调节 SARS-CoV-2 复制，而 OXPHOS 则发挥抗病毒作用。</w:t>
      </w:r>
    </w:p>
    <w:p>
      <w:pPr>
        <w:spacing w:before="0" w:after="200" w:lineRule="auto" w:line="276"/>
      </w:pPr>
      <w:r>
        <w:rPr>
          <w:b/>
        </w:rPr>
        <w:t xml:space="preserve">Abstract (EN): </w:t>
      </w:r>
      <w:r>
        <w:t>Severe acute respiratory syndrome coronavirus 2 (SARS-CoV-2) rewires host metabolism to optimize virus production. Although glycolysis is necessary for virus production, the importance of mitochondrial oxidative phosphorylation (OXPHOS) is unknown. The mitochondrial DNA (mtDNA) codes for 13 critical OXPHOS polypeptides plus the 22 transfer RNAs (tRNAs) and 2 ribosomal RNAs (rRNAs) for mitochondrial protein synthesis. We found an ∼5- to 100-fold greater SARS-CoV-2 virus production in infected human ACE2-expressing A549 lung cells when OXPHOS was inhibited by mtDNA depletion (ρ</w:t>
      </w:r>
      <w:r>
        <w:rPr>
          <w:vertAlign w:val="subscript"/>
        </w:rPr>
        <w:t>0</w:t>
      </w:r>
      <w:r>
        <w:t>cells), inhibition of mitochondrial translation with chloramphenicol (CAP), or chemical inhibition of OXPHOS complexes. OXPHOS inhibition led to a marked increase in the size and distribution of viral replication centers and accelerated the production and release of infectious particles, occurring ∼2 hours earlier than in parental A549-ACE2 (wild type) cells. Subsequently, we found that increased glycolytic capacity was required for enhanced viral replication whereas differences in innate immune pathway activation were not. Reintroduction of mtDNA from a well-defined maternal lineage into the ρ</w:t>
      </w:r>
      <w:r>
        <w:rPr>
          <w:vertAlign w:val="subscript"/>
        </w:rPr>
        <w:t>0</w:t>
      </w:r>
      <w:r>
        <w:t>cells reinstated OXPHOS, impaired SARS-CoV-2 replication, and reversed associated viral and glycolytic correlates. Thus, metabolic balance regulates SARS-CoV-2 replication, with OXPHOS exerting an antiviral effect.</w:t>
      </w:r>
    </w:p>
    <w:p>
      <w:pPr>
        <w:spacing w:before="120" w:after="120"/>
      </w:pPr>
      <w:r>
        <w:rPr>
          <w:sz w:val="18"/>
        </w:rPr>
        <w:t>——————————————————————————————————————————————————————————————————————</w:t>
      </w:r>
    </w:p>
    <w:p>
      <w:pPr>
        <w:spacing w:before="160" w:after="40" w:line="240" w:lineRule="auto"/>
      </w:pPr>
      <w:r>
        <w:rPr>
          <w:b/>
        </w:rPr>
        <w:t xml:space="preserve">[360] </w:t>
      </w:r>
      <w:hyperlink r:id="rId903">
        <w:r>
          <w:rPr>
            <w:color w:val="1155CC"/>
            <w:u w:val="single"/>
          </w:rPr>
          <w:t>在形态假时间中重建 EBV 再激活和 DNA 损伤反应动力学</w:t>
        </w:r>
      </w:hyperlink>
    </w:p>
    <w:p>
      <w:pPr>
        <w:spacing w:before="0" w:after="80"/>
      </w:pPr>
      <w:r>
        <w:rPr>
          <w:i/>
          <w:sz w:val="20"/>
        </w:rPr>
        <w:t>EN: Reconstructing EBV reactivation and DNA damage response kinetics in morphologic pseudotime</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04">
        <w:r>
          <w:rPr>
            <w:color w:val="1155CC"/>
            <w:u w:val="single"/>
          </w:rPr>
          <w:t>10.1073/pnas.2609598123</w:t>
        </w:r>
      </w:hyperlink>
    </w:p>
    <w:p>
      <w:pPr>
        <w:spacing w:before="0" w:after="120"/>
      </w:pPr>
      <w:r>
        <w:rPr>
          <w:b/>
        </w:rPr>
        <w:t xml:space="preserve">Notes: </w:t>
      </w:r>
      <w:r>
        <w:t>abstract_source=crossref</w:t>
      </w:r>
    </w:p>
    <w:p>
      <w:pPr>
        <w:spacing w:before="0" w:after="80" w:lineRule="auto" w:line="276"/>
      </w:pPr>
      <w:r>
        <w:rPr>
          <w:b/>
        </w:rPr>
        <w:t xml:space="preserve">摘要（ZH）: </w:t>
      </w:r>
      <w:r>
        <w:t>Epstein-Barr 病毒 (EBV) 裂解性感染有助于肿瘤发生和自身免疫，并依赖于宿主 DNA 损伤反应 (DDR) 的破坏。我们使用高内涵筛选 (HCS) 系统地捕获常见 B 细胞模型和裂解诱导治疗中 EBV 重新激活和 DDR 的单细胞形态学特征和伪时间动力学。我们生成了即时早期和晚期裂解蛋白、病毒和细胞 DNA 复制以及双链断裂 (DSB) DDR 因子的时空不同表型图谱（&gt;850,000 个细胞）。细胞分割、特征量化和聚类确定了治疗和模型依赖性细胞反应和裂解诱导。裂解细胞和潜伏细胞表现出不同的基因毒素诱导的 DDR 谱，并且裂解蛋白的定位因药理和生理刺激而异。伪时间轨迹揭示了病毒复制室 (VRC) 成核和扩张以及伴随的 DDR 定位。早期 DDR 标记 γH2AX 在 VRC 中被耗尽，但在整个重新激活过程中广泛分布在宿主染色质中。令人惊讶的是，裂解必需的晚期 DDR 蛋白 53BP1 在病毒基因组复制之前就存在，但随后在 VRC 和宿主染色质中未检测到，表明 EBV 重新激活期间 DDR 的空间和动力学失调。这些数据支持一个模型，其中 EBV 短暂地利用宿主 DSB DDR 介体来启动基因组复制，同时宿主靶向 DDR 被启动但受损。我们进一步展示了我们的方法在显微镜系统中的生物学普遍性和实用性。 HCS排</w:t>
      </w:r>
    </w:p>
    <w:p>
      <w:pPr>
        <w:spacing w:before="0" w:after="200" w:lineRule="auto" w:line="276"/>
      </w:pPr>
      <w:r>
        <w:rPr>
          <w:b/>
        </w:rPr>
        <w:t xml:space="preserve">Abstract (EN): </w:t>
      </w:r>
      <w:r>
        <w:t>Epstein–Barr virus (EBV) lytic infection contributes to oncogenesis and autoimmunity and depends on subversion of host DNA damage responses (DDR). We used high-content screening (HCS) to systematically capture single-cell morphologic profiles and pseudotemporal dynamics of EBV reactivation and DDR across common B cell models and lytic induction treatments. We generated an atlas (&amp;gt;850,000 cells) of spatiotemporally distinct phenotypes of immediate-early and late lytic proteins, viral and cellular DNA replication, and double-stranded break (DSB) DDR factors. Cell segmentation, feature quantification, and clustering identified treatment- and model-dependent cell responses and lytic induction. Lytic and latent cells showed distinct genotoxin-induced DDR profiles, and lytic protein localization varied by pharmacologic and physiologic stimuli. Pseudotime trajectories revealed viral replication compartment (VRC) nucleation and expansion alongside concomitant DDR localization. The early DDR marker γH2AX was depleted from VRCs but widespread across host chromatin throughout reactivation. Surprisingly, the lytic-essential late DDR protein 53BP1 was present prior to viral genome replication but subsequently undetected in VRCs and host chromatin, indicating spatial and kinetic DDR dysregulation during EBV reactivation. These data support a model wherein EBV transiently employs host DSB DDR mediators to initiate genome replication while host-targeted DDR is initiated but impaired. We further show biological generalizability and utility of our method across microscope systems. HCS paired with morphologic pseudotime analysis thus provides a powerful approach to recover single-cell host–virus dynamics from snapshot samples.</w:t>
      </w:r>
    </w:p>
    <w:p>
      <w:pPr>
        <w:spacing w:before="120" w:after="120"/>
      </w:pPr>
      <w:r>
        <w:rPr>
          <w:sz w:val="18"/>
        </w:rPr>
        <w:t>——————————————————————————————————————————————————————————————————————</w:t>
      </w:r>
    </w:p>
    <w:p>
      <w:pPr>
        <w:spacing w:before="160" w:after="40" w:line="240" w:lineRule="auto"/>
      </w:pPr>
      <w:r>
        <w:rPr>
          <w:b/>
        </w:rPr>
        <w:t xml:space="preserve">[361] </w:t>
      </w:r>
      <w:hyperlink r:id="rId905">
        <w:r>
          <w:rPr>
            <w:color w:val="1155CC"/>
            <w:u w:val="single"/>
          </w:rPr>
          <w:t>冈比亚按蚊酚氧化酶原激活系统的部分重建</w:t>
        </w:r>
      </w:hyperlink>
    </w:p>
    <w:p>
      <w:pPr>
        <w:spacing w:before="0" w:after="80"/>
      </w:pPr>
      <w:r>
        <w:rPr>
          <w:i/>
          <w:sz w:val="20"/>
        </w:rPr>
        <w:t>EN: Partial reconstitution of the prophenoloxidase activation system in Anopheles gambiae</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06">
        <w:r>
          <w:rPr>
            <w:color w:val="1155CC"/>
            <w:u w:val="single"/>
          </w:rPr>
          <w:t>10.1073/pnas.2607910123</w:t>
        </w:r>
      </w:hyperlink>
    </w:p>
    <w:p>
      <w:pPr>
        <w:spacing w:before="0" w:after="120"/>
      </w:pPr>
      <w:r>
        <w:rPr>
          <w:b/>
        </w:rPr>
        <w:t xml:space="preserve">Notes: </w:t>
      </w:r>
      <w:r>
        <w:t>abstract_source=crossref</w:t>
      </w:r>
    </w:p>
    <w:p>
      <w:pPr>
        <w:spacing w:before="0" w:after="80" w:lineRule="auto" w:line="276"/>
      </w:pPr>
      <w:r>
        <w:rPr>
          <w:b/>
        </w:rPr>
        <w:t xml:space="preserve">摘要（ZH）: </w:t>
      </w:r>
      <w:r>
        <w:t>黑色化是昆虫对伤害和微生物入侵的主要免疫反应。它由丝氨酸蛋白酶及其同系物系统介导，主要是 CLIP 亚家族的成员，并导致酚氧化酶原 (proPO) 激活和 PO 介导的细胞毒性化合物和黑色素聚合物的产生，从而杀死和隔离入侵的病原体。在蚊子中，黑色素的包裹提供了针对疟原虫的有效防御，但潜在的丝氨酸蛋白酶系统的组成和组织仍不清楚。在基因直系同源性和蛋白质丰度的指导下，我们表达了 SP217、4 个 CLIPC 和 12 个 CLIPB</w:t>
      </w:r>
      <w:r>
        <w:t xml:space="preserve"> </w:t>
      </w:r>
      <w:r>
        <w:t>冈比亚按蚊</w:t>
      </w:r>
      <w:r>
        <w:t xml:space="preserve"> </w:t>
      </w:r>
      <w:r>
        <w:t>并使用纯化的酶原重建了五步分支级联。 SP217，直系同源物</w:t>
      </w:r>
      <w:r>
        <w:t xml:space="preserve"> </w:t>
      </w:r>
      <w:r>
        <w:t>果蝇</w:t>
      </w:r>
      <w:r>
        <w:t xml:space="preserve"> </w:t>
      </w:r>
      <w:r>
        <w:t>ModSP 通过激活 proCLIPC1 启动级联。 CLIPC1 激活 proCLIPB13 和 proCLIPB47，这是 10 个直系同源物中的两个</w:t>
      </w:r>
      <w:r>
        <w:t xml:space="preserve"> </w:t>
      </w:r>
      <w:r>
        <w:t>果蝇</w:t>
      </w:r>
      <w:r>
        <w:t xml:space="preserve"> </w:t>
      </w:r>
      <w:r>
        <w:t>草和</w:t>
      </w:r>
      <w:r>
        <w:t xml:space="preserve"> </w:t>
      </w:r>
      <w:r>
        <w:t>曼杜卡</w:t>
      </w:r>
      <w:r>
        <w:t xml:space="preserve"> </w:t>
      </w:r>
      <w:r>
        <w:t>HP5。 CLIPB13 激活 proCLIPC4、proCLIPC6 和 proCLIPB10，而 CLIPB47 仅激活 proCLIPC6。在下一步中，CLIPC6 激活 proCLIPB4 和 proCLIPB9。 CLIPB9 和 CLIPB10 充当 proPO 激活蛋白酶 (PAP)，在辅因子存在的情况下裂解 proPO2 以生成高活性的 PO2。总之，这些结果揭示了驱动黑化的蚊子丝氨酸蛋白酶系统的框架。我们的研究结果强调了 holometabo 系统的强大进化保守性</w:t>
      </w:r>
    </w:p>
    <w:p>
      <w:pPr>
        <w:spacing w:before="0" w:after="200" w:lineRule="auto" w:line="276"/>
      </w:pPr>
      <w:r>
        <w:rPr>
          <w:b/>
        </w:rPr>
        <w:t xml:space="preserve">Abstract (EN): </w:t>
      </w:r>
      <w:r>
        <w:t>Melanization is a central insect immune response to wounding and microbial invasion. It is mediated by a system of serine proteases and their homologs, mostly members of the CLIP subfamily, and leads to prophenoloxidase (proPO) activation and PO-mediated production of cytotoxic compounds and melanin polymers that kill and sequester invading pathogens. In mosquitoes, melanotic encapsulation provides an effective defense against malaria parasites, yet the composition and organization of the underlying serine protease system remain largely unclear. Guided by gene orthology and protein abundance, we expressed SP217, four CLIPCs, and 12 CLIPBs from</w:t>
      </w:r>
      <w:r>
        <w:t xml:space="preserve"> </w:t>
      </w:r>
      <w:r>
        <w:t>Anopheles gambiae</w:t>
      </w:r>
      <w:r>
        <w:t xml:space="preserve"> </w:t>
      </w:r>
      <w:r>
        <w:t>and reconstructed a five-step branched cascade using purified zymogens. SP217, an ortholog of</w:t>
      </w:r>
      <w:r>
        <w:t xml:space="preserve"> </w:t>
      </w:r>
      <w:r>
        <w:t>Drosophila</w:t>
      </w:r>
      <w:r>
        <w:t xml:space="preserve"> </w:t>
      </w:r>
      <w:r>
        <w:t>ModSP, initiates the cascade by activating proCLIPC1. CLIPC1 activates proCLIPB13 and proCLIPB47, two of the 10 orthologs of</w:t>
      </w:r>
      <w:r>
        <w:t xml:space="preserve"> </w:t>
      </w:r>
      <w:r>
        <w:t>Drosophila</w:t>
      </w:r>
      <w:r>
        <w:t xml:space="preserve"> </w:t>
      </w:r>
      <w:r>
        <w:t>Grass and</w:t>
      </w:r>
      <w:r>
        <w:t xml:space="preserve"> </w:t>
      </w:r>
      <w:r>
        <w:t>Manduca</w:t>
      </w:r>
      <w:r>
        <w:t xml:space="preserve"> </w:t>
      </w:r>
      <w:r>
        <w:t>HP5. CLIPB13 activates proCLIPC4, proCLIPC6, and proCLIPB10 whereas CLIPB47 activates proCLIPC6 only. In the next step, CLIPC6 activates proCLIPB4 and proCLIPB9. CLIPB9 and CLIPB10 function as proPO-activating proteases (PAPs), cleaving proPO2 to generate highly active PO2 in the presence of a cofactor. Together, these results have revealed a framework of the mosquito serine protease system that drives melanization. Our findings highlight both strong evolutionary conservation of the system among holometabolous insects and species-specific differences in its organization, providing a foundation for future analysis through combinational genetic perturbation.</w:t>
      </w:r>
    </w:p>
    <w:p>
      <w:pPr>
        <w:spacing w:before="120" w:after="120"/>
      </w:pPr>
      <w:r>
        <w:rPr>
          <w:sz w:val="18"/>
        </w:rPr>
        <w:t>——————————————————————————————————————————————————————————————————————</w:t>
      </w:r>
    </w:p>
    <w:p>
      <w:pPr>
        <w:spacing w:before="160" w:after="40" w:line="240" w:lineRule="auto"/>
      </w:pPr>
      <w:r>
        <w:rPr>
          <w:b/>
        </w:rPr>
        <w:t xml:space="preserve">[362] </w:t>
      </w:r>
      <w:hyperlink r:id="rId907">
        <w:r>
          <w:rPr>
            <w:color w:val="1155CC"/>
            <w:u w:val="single"/>
          </w:rPr>
          <w:t>评估探针可靠性：全身麻醉药的相互作用组范围对接揭示功能组特异性偏差</w:t>
        </w:r>
      </w:hyperlink>
    </w:p>
    <w:p>
      <w:pPr>
        <w:spacing w:before="0" w:after="80"/>
      </w:pPr>
      <w:r>
        <w:rPr>
          <w:i/>
          <w:sz w:val="20"/>
        </w:rPr>
        <w:t>EN: Assessing probe reliability: Functional group–specific biases revealed by interactome-wide docking of general anesthetics</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08">
        <w:r>
          <w:rPr>
            <w:color w:val="1155CC"/>
            <w:u w:val="single"/>
          </w:rPr>
          <w:t>10.1073/pnas.2602689123</w:t>
        </w:r>
      </w:hyperlink>
    </w:p>
    <w:p>
      <w:pPr>
        <w:spacing w:before="0" w:after="120"/>
      </w:pPr>
      <w:r>
        <w:rPr>
          <w:b/>
        </w:rPr>
        <w:t xml:space="preserve">Notes: </w:t>
      </w:r>
      <w:r>
        <w:t>abstract_source=crossref</w:t>
      </w:r>
    </w:p>
    <w:p>
      <w:pPr>
        <w:spacing w:before="0" w:after="80" w:lineRule="auto" w:line="276"/>
      </w:pPr>
      <w:r>
        <w:rPr>
          <w:b/>
        </w:rPr>
        <w:t xml:space="preserve">摘要（ZH）: </w:t>
      </w:r>
      <w:r>
        <w:t>全身麻醉剂被广泛用于诱导可逆性意识丧失，但其分子机制仍不完全清楚。尽管全身麻醉剂的结合亲和力低且蛋白质结合范围广泛，但仍然以结构选择性的方式与神经元蛋白质相互作用。实验上，化学修饰的探针已被用来绘制其蛋白质靶标。然而，这些结构修饰所引入的偏差仍然未知，这就提出了这样的关键问题：此类实验在捕获真正的麻醉剂-蛋白质相互作用方面的可靠性如何。在这项研究中，我们提出了一种相互作用组规模的计算方法来表征麻醉剂</w:t>
      </w:r>
      <w:r>
        <w:t xml:space="preserve"> </w:t>
      </w:r>
      <w:r>
        <w:t>–</w:t>
      </w:r>
      <w:r>
        <w:t xml:space="preserve"> </w:t>
      </w:r>
      <w:r>
        <w:t>使用高通量分子对接进行蛋白质相互作用。我们针对一组 2,388 个实验确定的小鼠神经元蛋白质结构筛选了两个麻醉配体家族——丙泊酚和依托咪酯，以及每种的化学修饰类似物。通过比较亲本配体和修饰配体，我们揭示了通过化学修饰引入的功能组特异性偏差如何改变配体在整个相互作用组中参与蛋白质环境。对接姿势和能量可识别重复的结合位点特征，并量化微小的修改如何重塑相互作用轮廓。使用 3D 空间分布函数，我们总结了每个配体周围的局部氨基酸环境，提供了相互作用热点的直观可视化。该分析揭示了麻醉识别的保守和可变元素，并阐明了如何进行麻醉识别。</w:t>
      </w:r>
    </w:p>
    <w:p>
      <w:pPr>
        <w:spacing w:before="0" w:after="200" w:lineRule="auto" w:line="276"/>
      </w:pPr>
      <w:r>
        <w:rPr>
          <w:b/>
        </w:rPr>
        <w:t xml:space="preserve">Abstract (EN): </w:t>
      </w:r>
      <w:r>
        <w:t>General anesthetics are widely used to induce reversible unconsciousness, yet their molecular mechanisms remain incompletely understood. Despite their low binding affinities and broad protein-binding promiscuity, general anesthetics still interact with neuronal proteins in a structurally selective manner. Experimentally, chemically modified probes have been used to map their protein targets. However, the biases introduced by the structural modifications of these remain unknown, raising the key question of how reliable such experiments are in capturing true anesthetic–protein interactions. In this study, we present an interactome-scale computational approach to characterize anesthetic</w:t>
      </w:r>
      <w:r>
        <w:t xml:space="preserve"> </w:t>
      </w:r>
      <w:r>
        <w:t>–</w:t>
      </w:r>
      <w:r>
        <w:t xml:space="preserve"> </w:t>
      </w:r>
      <w:r>
        <w:t>protein interactions using high-throughput molecular docking. We screened two families of anesthetic ligands—propofol and etomidate, as well as chemically modified analogs of each—against a set of 2,388 experimentally determined mouse neuronal protein structures. By comparing parent and modified ligands, we reveal how functional group–specific biases, introduced by chemical modifications, altering ligands engage protein environments across the interactome. Docking poses and energies identify recurrent binding-site features and quantify how small modifications reshape interaction profiles. Using 3D spatial distribution functions, we summarize local amino acid environments surrounding each ligand, providing intuitive visualizations of interaction hotspots. This analysis exposes conserved and variable elements of anesthetic recognition and clarifies how probe modifications shape observed patterns. Our results offer a statistical and structural description of anesthetic binding across an interactome, providing mechanistic insight into affinity-based protein profiling mapping biases and guiding improved probe and drug design.</w:t>
      </w:r>
    </w:p>
    <w:p>
      <w:pPr>
        <w:spacing w:before="120" w:after="120"/>
      </w:pPr>
      <w:r>
        <w:rPr>
          <w:sz w:val="18"/>
        </w:rPr>
        <w:t>——————————————————————————————————————————————————————————————————————</w:t>
      </w:r>
    </w:p>
    <w:p>
      <w:pPr>
        <w:spacing w:before="160" w:after="40" w:line="240" w:lineRule="auto"/>
      </w:pPr>
      <w:r>
        <w:rPr>
          <w:b/>
        </w:rPr>
        <w:t xml:space="preserve">[363] </w:t>
      </w:r>
      <w:hyperlink r:id="rId909">
        <w:r>
          <w:rPr>
            <w:color w:val="1155CC"/>
            <w:u w:val="single"/>
          </w:rPr>
          <w:t>DNA嵌入的抗噬菌体分子通过相互破坏引发流产感染并与细菌免疫协同作用</w:t>
        </w:r>
      </w:hyperlink>
    </w:p>
    <w:p>
      <w:pPr>
        <w:spacing w:before="0" w:after="80"/>
      </w:pPr>
      <w:r>
        <w:rPr>
          <w:i/>
          <w:sz w:val="20"/>
        </w:rPr>
        <w:t>EN: DNA-intercalating antiphage molecules trigger abortive infection through mutual destruction and synergize with bacterial immunity</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10">
        <w:r>
          <w:rPr>
            <w:color w:val="1155CC"/>
            <w:u w:val="single"/>
          </w:rPr>
          <w:t>10.1073/pnas.2602073123</w:t>
        </w:r>
      </w:hyperlink>
    </w:p>
    <w:p>
      <w:pPr>
        <w:spacing w:before="0" w:after="120"/>
      </w:pPr>
      <w:r>
        <w:rPr>
          <w:b/>
        </w:rPr>
        <w:t xml:space="preserve">Notes: </w:t>
      </w:r>
      <w:r>
        <w:t>abstract_source=crossref</w:t>
      </w:r>
    </w:p>
    <w:p>
      <w:pPr>
        <w:spacing w:before="0" w:after="80" w:lineRule="auto" w:line="276"/>
      </w:pPr>
      <w:r>
        <w:rPr>
          <w:b/>
        </w:rPr>
        <w:t xml:space="preserve">摘要（ZH）: </w:t>
      </w:r>
      <w:r>
        <w:t>细菌部署了多种抗噬菌体防御系统，包括在多细胞水平上提供保护的小生物活性分子。 DNA 嵌入的蒽环类药物，例如柔红霉素，表现出广泛的抗噬菌体活性，但其潜在机制仍然难以捉摸。在这里，我们系统地筛选了</w:t>
      </w:r>
      <w:r>
        <w:t xml:space="preserve"> </w:t>
      </w:r>
      <w:r>
        <w:t>大肠杆菌</w:t>
      </w:r>
      <w:r>
        <w:t xml:space="preserve"> </w:t>
      </w:r>
      <w:r>
        <w:t>巴塞尔噬菌体收集阐明了 DNA 嵌入抗噬菌体分子的作用模式。我们确定了分类学上不同的易感病毒群簇，并表明对于</w:t>
      </w:r>
      <w:r>
        <w:t xml:space="preserve"> </w:t>
      </w:r>
      <w:r>
        <w:t>四五病毒属</w:t>
      </w:r>
      <w:r>
        <w:t xml:space="preserve"> </w:t>
      </w:r>
      <w:r>
        <w:t>巴斯33（</w:t>
      </w:r>
      <w:r>
        <w:t xml:space="preserve"> </w:t>
      </w:r>
      <w:r>
        <w:t>马卡达病毒亚科</w:t>
      </w:r>
      <w:r>
        <w:t xml:space="preserve"> </w:t>
      </w:r>
      <w:r>
        <w:t>），柔红霉素可在第一步转移后阻止感染。在柔红霉素存在的情况下，早期基因的持续表达会通过“相互破坏”导致感染流产，噬菌体和宿主都会死亡。类似的流产感染表型发生在暴露于化学上不同的 DNA 嵌入分子的分类学上不同的噬菌体中。值得注意的是，我们表明柔红霉素与下游核酸靶向防御具有协同作用，强调了背景依赖性结果。总之，这些发现揭示了化学防御如何促进多层抗病毒免疫，并强调了机械抑制和感染结果之间复杂的相互作用。</w:t>
      </w:r>
    </w:p>
    <w:p>
      <w:pPr>
        <w:spacing w:before="0" w:after="200" w:lineRule="auto" w:line="276"/>
      </w:pPr>
      <w:r>
        <w:rPr>
          <w:b/>
        </w:rPr>
        <w:t xml:space="preserve">Abstract (EN): </w:t>
      </w:r>
      <w:r>
        <w:t>Bacteria deploy diverse antiphage defense systems, including small bioactive molecules providing protection at the multicellular level. DNA-intercalating anthracyclines, such as daunorubicin, exhibit broad antiphage activity, but the underlying mechanism has remained elusive. Here, we systematically screened the</w:t>
      </w:r>
      <w:r>
        <w:t xml:space="preserve"> </w:t>
      </w:r>
      <w:r>
        <w:t>Escherichia coli</w:t>
      </w:r>
      <w:r>
        <w:t xml:space="preserve"> </w:t>
      </w:r>
      <w:r>
        <w:t>BASEL phage collection to elucidate the mode of action of DNA-intercalating antiphage molecules. We identified taxonomically distinct clusters of susceptible viral groups and show that for the</w:t>
      </w:r>
      <w:r>
        <w:t xml:space="preserve"> </w:t>
      </w:r>
      <w:r>
        <w:t>Tequintavirus</w:t>
      </w:r>
      <w:r>
        <w:t xml:space="preserve"> </w:t>
      </w:r>
      <w:r>
        <w:t>Bas33 (</w:t>
      </w:r>
      <w:r>
        <w:t xml:space="preserve"> </w:t>
      </w:r>
      <w:r>
        <w:t>Markadamsvirinae</w:t>
      </w:r>
      <w:r>
        <w:t xml:space="preserve"> </w:t>
      </w:r>
      <w:r>
        <w:t>), daunorubicin blocks infection after first-step transfer. In the presence of daunorubicin, continued expression of pre-early genes leads to abortive infection via “mutual destruction,” where both phage and host succumb. Analogous abortive-infection phenotypes occur across taxonomically diverse phages exposed to chemically distinct DNA-intercalating molecules. Notably, we show that daunorubicin synergizes with downstream nucleic acid-targeting defenses underscoring context-dependent outcomes. Together, these findings reveal how chemical defense contributes to the multilayered antiviral immunity and highlight the intricate interplay between mechanistic inhibition and infection outcome.</w:t>
      </w:r>
    </w:p>
    <w:p>
      <w:pPr>
        <w:spacing w:before="120" w:after="120"/>
      </w:pPr>
      <w:r>
        <w:rPr>
          <w:sz w:val="18"/>
        </w:rPr>
        <w:t>——————————————————————————————————————————————————————————————————————</w:t>
      </w:r>
    </w:p>
    <w:p>
      <w:pPr>
        <w:spacing w:before="160" w:after="40" w:line="240" w:lineRule="auto"/>
      </w:pPr>
      <w:r>
        <w:rPr>
          <w:b/>
        </w:rPr>
        <w:t xml:space="preserve">[364] </w:t>
      </w:r>
      <w:hyperlink r:id="rId911">
        <w:r>
          <w:rPr>
            <w:color w:val="1155CC"/>
            <w:u w:val="single"/>
          </w:rPr>
          <w:t>无创光遗传学诱导心律失常改变小鼠全身血流动力学</w:t>
        </w:r>
      </w:hyperlink>
    </w:p>
    <w:p>
      <w:pPr>
        <w:spacing w:before="0" w:after="80"/>
      </w:pPr>
      <w:r>
        <w:rPr>
          <w:i/>
          <w:sz w:val="20"/>
        </w:rPr>
        <w:t>EN: Noninvasive optogenetic induction of cardiac arrhythmias alters systemic hemodynamics in mice</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912">
        <w:r>
          <w:rPr>
            <w:color w:val="1155CC"/>
            <w:u w:val="single"/>
          </w:rPr>
          <w:t>10.1126/sciadv.aeb1092</w:t>
        </w:r>
      </w:hyperlink>
    </w:p>
    <w:p>
      <w:pPr>
        <w:spacing w:before="0" w:after="120"/>
      </w:pPr>
      <w:r>
        <w:rPr>
          <w:b/>
        </w:rPr>
        <w:t xml:space="preserve">Notes: </w:t>
      </w:r>
      <w:r>
        <w:t>abstract_source=crossref</w:t>
      </w:r>
    </w:p>
    <w:p>
      <w:pPr>
        <w:spacing w:before="0" w:after="80" w:lineRule="auto" w:line="276"/>
      </w:pPr>
      <w:r>
        <w:rPr>
          <w:b/>
        </w:rPr>
        <w:t xml:space="preserve">摘要（ZH）: </w:t>
      </w:r>
      <w:r>
        <w:t>小鼠模型对于研究心律失常的全身影响很有价值，但传统的心脏起搏方法具有侵入性且技术复杂。心脏光遗传学能够利用光敏离子通道精确控制心脏活动，并已用于动物模型中的快速起搏、重新同步和除颤。具有红移激活光谱和优化光传输策略的视蛋白的最新进展增强了无创起搏方法，特别是在哺乳动物模型中。在这里，我们使用区域照明方法通过完整的胸部进行光刺激，在低辐照度（&lt;1 mW/mm）表达 ReaChR 的转基因小鼠中进行体内非侵入性光遗传学快速起搏</w:t>
      </w:r>
      <w:r>
        <w:rPr>
          <w:vertAlign w:val="subscript"/>
        </w:rPr>
        <w:t>2</w:t>
      </w:r>
      <w:r>
        <w:t>）。我们通过超声心动图和光学内在信号成像（OISI）评估心脏和皮质血流动力学反应。我们的研究结果表明，全心心律失常刺激会改变皮质血流动力学活动，强调心律失常对大脑灌注和氧合的直接影响。这项工作提供了对心脑连接以及心功能障碍更广泛的系统性后果的深入了解。</w:t>
      </w:r>
    </w:p>
    <w:p>
      <w:pPr>
        <w:spacing w:before="0" w:after="200" w:lineRule="auto" w:line="276"/>
      </w:pPr>
      <w:r>
        <w:rPr>
          <w:b/>
        </w:rPr>
        <w:t xml:space="preserve">Abstract (EN): </w:t>
      </w:r>
      <w:r>
        <w:t>Mouse models are valuable for studying the systemic effects of arrhythmia, but traditional methods of heart pacing are invasive and technically complex. Cardiac optogenetics enables precise control of cardiac activity using light-sensitive ion channels and has been used for tachypacing, resynchronization, and defibrillation in animal models. Recent advances in opsins with red-shifted activation spectra and optimized light delivery strategies have enhanced noninvasive pacing approaches, particularly in mammalian models. Here, we use an area illumination approach for light stimulation through the intact chest to perform in vivo, noninvasive optogenetic tachypacing in transgenic mice expressing ReaChR with low irradiance (&amp;lt;1 mW/mm</w:t>
      </w:r>
      <w:r>
        <w:rPr>
          <w:vertAlign w:val="subscript"/>
        </w:rPr>
        <w:t>2</w:t>
      </w:r>
      <w:r>
        <w:t>). We assess both cardiac and cortical hemodynamic responses via echocardiography and optical intrinsic signal imaging (OISI). Our findings reveal that whole-heart arrhythmic stimulation alters cortical hemodynamic activity, highlighting the direct impact of arrhythmias on brain perfusion and oxygenation. This work provides insight into the heart-brain connection and the broader systemic consequences of cardiac dysfunction.</w:t>
      </w:r>
    </w:p>
    <w:p>
      <w:pPr>
        <w:spacing w:before="120" w:after="120"/>
      </w:pPr>
      <w:r>
        <w:rPr>
          <w:sz w:val="18"/>
        </w:rPr>
        <w:t>——————————————————————————————————————————————————————————————————————</w:t>
      </w:r>
    </w:p>
    <w:p>
      <w:pPr>
        <w:spacing w:before="160" w:after="40" w:line="240" w:lineRule="auto"/>
      </w:pPr>
      <w:r>
        <w:rPr>
          <w:b/>
        </w:rPr>
        <w:t xml:space="preserve">[365] </w:t>
      </w:r>
      <w:hyperlink r:id="rId913">
        <w:r>
          <w:rPr>
            <w:color w:val="1155CC"/>
            <w:u w:val="single"/>
          </w:rPr>
          <w:t>β-肌营养不良聚糖的细胞质区域对于小鼠突触后成熟和神经肌肉功能至关重要</w:t>
        </w:r>
      </w:hyperlink>
    </w:p>
    <w:p>
      <w:pPr>
        <w:spacing w:before="0" w:after="80"/>
      </w:pPr>
      <w:r>
        <w:rPr>
          <w:i/>
          <w:sz w:val="20"/>
        </w:rPr>
        <w:t>EN: Cytoplasmic region of beta-dystroglycan is essential for postsynaptic maturation and neuromuscular function in mice</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14">
        <w:r>
          <w:rPr>
            <w:color w:val="1155CC"/>
            <w:u w:val="single"/>
          </w:rPr>
          <w:t>10.1073/pnas.2600931123</w:t>
        </w:r>
      </w:hyperlink>
    </w:p>
    <w:p>
      <w:pPr>
        <w:spacing w:before="0" w:after="120"/>
      </w:pPr>
      <w:r>
        <w:rPr>
          <w:b/>
        </w:rPr>
        <w:t xml:space="preserve">Notes: </w:t>
      </w:r>
      <w:r>
        <w:t>abstract_source=crossref</w:t>
      </w:r>
    </w:p>
    <w:p>
      <w:pPr>
        <w:spacing w:before="0" w:after="80" w:lineRule="auto" w:line="276"/>
      </w:pPr>
      <w:r>
        <w:rPr>
          <w:b/>
        </w:rPr>
        <w:t xml:space="preserve">摘要（ZH）: </w:t>
      </w:r>
      <w:r>
        <w:t>肌营养不良蛋白-糖蛋白复合物 (DGC) 为肌膜提供结构完整性，DGC 的破坏会导致肌营养不良。 DGC 的核心成员是肌营养不良聚糖 (DG)，它通过 α-DG 与细胞外配体结合，通过 β-DG 与细胞内细胞骨架结合。突变在</w:t>
      </w:r>
      <w:r>
        <w:t xml:space="preserve"> </w:t>
      </w:r>
      <w:r>
        <w:t>有向无环图1</w:t>
      </w:r>
      <w:r>
        <w:t xml:space="preserve"> </w:t>
      </w:r>
      <w:r>
        <w:t>或参与 DG 翻译后加工的基因会导致神经肌肉疾病的一个子集，称为肌营养不良症。 α-DG 细胞外相互作用的重要性已得到充分证实；然而，人们对 β-DG 细胞内相互作用的重要性知之甚少。在这里，我们研究了细胞内 β-DG 在神经肌肉健康中的重要性。使用缺乏大的 β-DG 细胞内区域（残基 777 至 893）的小鼠，我们发现细胞质 β-DG 的缺失会导致骨骼肌病理并伴有突触后破坏。我们的数据表明，在专门的神经肌肉接头 (NMJ) 内，细胞质 β-DG 对于 utropin 和 rapsyn 的定位以及乙酰胆碱受体的聚集是必需的。此外，我们提供的证据表明，突触后异常会导致缺乏 β-DG 细胞质区域的小鼠的神经肌肉功能障碍。此外，使用仅缺少 β-DG C 端尾部（残基 879 至 893）的小鼠模型，我们证明骨骼肌和 NMJ 健康依赖于 β-DG 残基 777 至 878。 总之，我们的小鼠模型表明，β-DG 细胞结构域的缺失令人惊讶地导致小鼠中非常严重的神经肌肉病理生理学。</w:t>
      </w:r>
    </w:p>
    <w:p>
      <w:pPr>
        <w:spacing w:before="0" w:after="200" w:lineRule="auto" w:line="276"/>
      </w:pPr>
      <w:r>
        <w:rPr>
          <w:b/>
        </w:rPr>
        <w:t xml:space="preserve">Abstract (EN): </w:t>
      </w:r>
      <w:r>
        <w:t>The dystrophin–glycoprotein complex (DGC) provides structural integrity to the sarcolemma, and disruption of the DGC leads to muscular dystrophy. A core member of the DGC is dystroglycan (DG), which binds to extracellular ligands via α-DG and intracellular cytoskeleton via β-DG. Mutations in</w:t>
      </w:r>
      <w:r>
        <w:t xml:space="preserve"> </w:t>
      </w:r>
      <w:r>
        <w:t>DAG1</w:t>
      </w:r>
      <w:r>
        <w:t xml:space="preserve"> </w:t>
      </w:r>
      <w:r>
        <w:t>or genes involved in the posttranslational processing of DG lead to a subset of neuromuscular diseases referred to as dystroglycanopathies. The importance of the α-DG extracellular interactions is well established; however, little is known about the significance of the β-DG intracellular interactions. Here, we investigate the importance of intracellular β-DG in neuromuscular health. Using a mouse that lacks a large intracellular region of β-DG (residues 777 to 893), we show that the deletion of cytoplasmic β-DG leads to skeletal muscle pathology accompanied by postsynaptic disruption. Our data show that within the specialized neuromuscular junction (NMJ), cytoplasmic β-DG is necessary for the localization of utrophin and rapsyn, and clustering of acetylcholine receptors. Moreover, we provide evidence that the postsynaptic abnormalities contribute to neuromuscular dysfunction in mice lacking the cytoplasmic region of β-DG. Further, using a mouse model that only lacks the C-terminal tail (residues 879 to 893) of β-DG, we demonstrate that skeletal muscle and NMJ health rely on β-DG residues 777 to 878. Together, our mouse models suggest that deletion of the cytodomain of β-DG surprisingly results in very severe neuromuscular pathophysiology in mice. Our results identify β-DG as a critical player in shaping and maintaining neuromuscular synapse architecture in vivo, thus further defining the molecular mechanisms underlying neuromuscular health.</w:t>
      </w:r>
    </w:p>
    <w:p>
      <w:pPr>
        <w:spacing w:before="120" w:after="120"/>
      </w:pPr>
      <w:r>
        <w:rPr>
          <w:sz w:val="18"/>
        </w:rPr>
        <w:t>——————————————————————————————————————————————————————————————————————</w:t>
      </w:r>
    </w:p>
    <w:p>
      <w:pPr>
        <w:spacing w:before="160" w:after="40" w:line="240" w:lineRule="auto"/>
      </w:pPr>
      <w:r>
        <w:rPr>
          <w:b/>
        </w:rPr>
        <w:t xml:space="preserve">[366] </w:t>
      </w:r>
      <w:hyperlink r:id="rId915">
        <w:r>
          <w:rPr>
            <w:color w:val="1155CC"/>
            <w:u w:val="single"/>
          </w:rPr>
          <w:t>雌激素受体增强剂的剂量依赖性激素作用指定了不同的分子和生物学结果</w:t>
        </w:r>
      </w:hyperlink>
    </w:p>
    <w:p>
      <w:pPr>
        <w:spacing w:before="0" w:after="80"/>
      </w:pPr>
      <w:r>
        <w:rPr>
          <w:i/>
          <w:sz w:val="20"/>
        </w:rPr>
        <w:t>EN: Dose-dependent hormone actions at estrogen receptor enhancers specify distinct molecular and biological outcomes</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916">
        <w:r>
          <w:rPr>
            <w:color w:val="1155CC"/>
            <w:u w:val="single"/>
          </w:rPr>
          <w:t>10.1126/sciadv.aec2424</w:t>
        </w:r>
      </w:hyperlink>
    </w:p>
    <w:p>
      <w:pPr>
        <w:spacing w:before="0" w:after="120"/>
      </w:pPr>
      <w:r>
        <w:rPr>
          <w:b/>
        </w:rPr>
        <w:t xml:space="preserve">Notes: </w:t>
      </w:r>
      <w:r>
        <w:t>abstract_source=crossref</w:t>
      </w:r>
    </w:p>
    <w:p>
      <w:pPr>
        <w:spacing w:before="0" w:after="80" w:lineRule="auto" w:line="276"/>
      </w:pPr>
      <w:r>
        <w:rPr>
          <w:b/>
        </w:rPr>
        <w:t xml:space="preserve">摘要（ZH）: </w:t>
      </w:r>
      <w:r>
        <w:t>成年女性通常接触的 17β-雌二醇 (E2) 浓度约为 100 至 200 pM，但大多数基于细胞的研究使用 100 nM。我们确定了乳腺癌细胞中 E2 浓度跨越六个数量级（1 pM 至 100 nM）的分子效应。在低生理剂量的 E2（1 至 100 pM）下形成的雌激素受体 α (ERα) 增强剂在机制上与在高药理学剂量（10 至 100 nM）下形成的增强剂不同。它们 (i) 在由 FOXA1 结合的开放染色质中形成，(ii) 聚集在拓扑相关的结构域内，(iii) 产生富含功能性增强子 RNA 调节基序的增强子 RNA，以及 (iv) 通过启动子近端暂停的 RNA 聚合酶 II 和不同的共调节子富集驱动增殖基因的表达。在对芳香酶抑制剂反应较差的乳腺癌患者中，低剂量 ERα 增强剂的使用量会增加，这可能是对低循环 E2 水平的持续反应。总的来说，我们的结果确定了低剂量和高剂量 ERα 增强剂之间的机制差异，这些差异指定了不同的生物学结果。</w:t>
      </w:r>
    </w:p>
    <w:p>
      <w:pPr>
        <w:spacing w:before="0" w:after="200" w:lineRule="auto" w:line="276"/>
      </w:pPr>
      <w:r>
        <w:rPr>
          <w:b/>
        </w:rPr>
        <w:t xml:space="preserve">Abstract (EN): </w:t>
      </w:r>
      <w:r>
        <w:t>Adult women are typically exposed to 17β-estradiol (E2) concentrations of ~100 to 200 pM, yet most cell-based studies use 100 nM. We determined the molecular effects of E2 concentrations spanning six orders of magnitude (1 pM to 100 nM) in breast cancer cells. Estrogen receptor α (ERα) enhancers formed at low physiological doses of E2 (1 to 100 pM) are mechanistically distinct from those that form at high pharmacological doses (10 to 100 nM). They (i) form in open chromatin bound by FOXA1, (ii) are clustered within topologically associated domains, (iii) produce enhancer RNAs enriched with functional enhancer RNA regulatory motifs, and (iv) drive expression of proliferation genes with promoter-proximal paused RNA polymerase II and distinct co-regulator enrichment. Low-dose ERα enhancer usage is elevated in patients who have breast cancer with poor responses to aromatase inhibitors, likely as a continued response to low circulating levels of E2. Collectively, our results identify mechanistic differences between low- and high-dose ERα enhancers that specify distinct biological outcomes.</w:t>
      </w:r>
    </w:p>
    <w:p>
      <w:pPr>
        <w:spacing w:before="120" w:after="120"/>
      </w:pPr>
      <w:r>
        <w:rPr>
          <w:sz w:val="18"/>
        </w:rPr>
        <w:t>——————————————————————————————————————————————————————————————————————</w:t>
      </w:r>
    </w:p>
    <w:p>
      <w:pPr>
        <w:spacing w:before="160" w:after="40" w:line="240" w:lineRule="auto"/>
      </w:pPr>
      <w:r>
        <w:rPr>
          <w:b/>
        </w:rPr>
        <w:t xml:space="preserve">[367] </w:t>
      </w:r>
      <w:hyperlink r:id="rId917">
        <w:r>
          <w:rPr>
            <w:color w:val="1155CC"/>
            <w:u w:val="single"/>
          </w:rPr>
          <w:t>扩展序列背景塑造了大肠杆菌的突变偏差</w:t>
        </w:r>
      </w:hyperlink>
    </w:p>
    <w:p>
      <w:pPr>
        <w:spacing w:before="0" w:after="80"/>
      </w:pPr>
      <w:r>
        <w:rPr>
          <w:i/>
          <w:sz w:val="20"/>
        </w:rPr>
        <w:t>EN: Extended sequence context shapes mutational bias in Escherichia coli</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18">
        <w:r>
          <w:rPr>
            <w:color w:val="1155CC"/>
            <w:u w:val="single"/>
          </w:rPr>
          <w:t>10.1073/pnas.2601345123</w:t>
        </w:r>
      </w:hyperlink>
    </w:p>
    <w:p>
      <w:pPr>
        <w:spacing w:before="0" w:after="120"/>
      </w:pPr>
      <w:r>
        <w:rPr>
          <w:b/>
        </w:rPr>
        <w:t xml:space="preserve">Notes: </w:t>
      </w:r>
      <w:r>
        <w:t>abstract_source=crossref</w:t>
      </w:r>
    </w:p>
    <w:p>
      <w:pPr>
        <w:spacing w:before="0" w:after="80" w:lineRule="auto" w:line="276"/>
      </w:pPr>
      <w:r>
        <w:rPr>
          <w:b/>
        </w:rPr>
        <w:t xml:space="preserve">摘要（ZH）: </w:t>
      </w:r>
      <w:r>
        <w:t>了解序列背景如何影响给定基因组位点突变的可能性对于破译进化过程至关重要。众所周知，紧邻的碱基会影响突变率，但更远端碱基的作用仍然知之甚少。在这里，我们分析了来自 32 个国家的超过 100,000 个突变</w:t>
      </w:r>
      <w:r>
        <w:t xml:space="preserve"> </w:t>
      </w:r>
      <w:r>
        <w:t>大肠杆菌</w:t>
      </w:r>
      <w:r>
        <w:t xml:space="preserve"> </w:t>
      </w:r>
      <w:r>
        <w:t>突变积累实验，包括具有不同 DNA 校对和错配修复能力的菌株。通过量化突变位点周围最多 6 bp 的每个核苷酸的频率，我们揭示了复杂的突变偏差，这些偏差延伸到直接相邻的碱基之外，并且对于每种类型的碱基对替换都是独特的。此外，哪些序列背景对突变偏差影响最大取决于哪些修复机制是活跃的，以及哪条链在复制过程中充当领先模板和滞后模板。单核苷酸运行是显着的突变热点——我们系统地描述了哪些类型的运行最具致突变性，包括之前未描述的 G:C→C:G 颠换热点，该热点可以将其频率增加多达四个数量级。值得注意的是，将我们的分析从突变位点扩展到 1,000 bp 揭示了序列背景可以影响意想不到的长距离的突变偏差。这些发现揭示了扩展序列背景与形成自发突变的 DNA 修复系统之间复杂的相互作用，并揭示了机械起源</w:t>
      </w:r>
    </w:p>
    <w:p>
      <w:pPr>
        <w:spacing w:before="0" w:after="200" w:lineRule="auto" w:line="276"/>
      </w:pPr>
      <w:r>
        <w:rPr>
          <w:b/>
        </w:rPr>
        <w:t xml:space="preserve">Abstract (EN): </w:t>
      </w:r>
      <w:r>
        <w:t>Understanding how sequence context influences the likelihood of mutation at a given genomic locus is critical for deciphering evolutionary processes. It is well established that the immediately adjacent bases influence mutation rates, but the role of more distal bases remains poorly understood. Here, we analyze over 100,000 mutations from 32</w:t>
      </w:r>
      <w:r>
        <w:t xml:space="preserve"> </w:t>
      </w:r>
      <w:r>
        <w:t>Escherichia coli</w:t>
      </w:r>
      <w:r>
        <w:t xml:space="preserve"> </w:t>
      </w:r>
      <w:r>
        <w:t>mutation accumulation experiments, encompassing strains with varying DNA proofreading and mismatch repair capabilities. By quantifying the frequency of each nucleotide up to 6 bp around mutation sites, we reveal complex mutational biases that extend beyond the immediately adjacent bases and are unique to each type of base pair substitution. Furthermore, which sequence contexts contribute most to mutational bias depends on what repair mechanisms are active and which strand serves as the leading versus lagging template during replication. Mononucleotide runs are prominent mutational hotspots–we systematically characterize which types of runs are the most mutagenic, including a previously undescribed hotspot for G:C→C:G transversions that can increase their frequency by up to four orders of magnitude. Remarkably, extending our analysis to 1,000 bp from mutation sites reveals that sequence context can influence mutational bias over unexpectedly long distances. These findings expose the intricate interactions between extended sequence context and DNA repair systems that shape spontaneous mutagenesis, and shed light on the mechanistic origins and evolutionary consequences of mutational signatures.</w:t>
      </w:r>
    </w:p>
    <w:p>
      <w:pPr>
        <w:spacing w:before="120" w:after="120"/>
      </w:pPr>
      <w:r>
        <w:rPr>
          <w:sz w:val="18"/>
        </w:rPr>
        <w:t>——————————————————————————————————————————————————————————————————————</w:t>
      </w:r>
    </w:p>
    <w:p>
      <w:pPr>
        <w:spacing w:before="160" w:after="40" w:line="240" w:lineRule="auto"/>
      </w:pPr>
      <w:r>
        <w:rPr>
          <w:b/>
        </w:rPr>
        <w:t xml:space="preserve">[368] </w:t>
      </w:r>
      <w:hyperlink r:id="rId919">
        <w:r>
          <w:rPr>
            <w:color w:val="1155CC"/>
            <w:u w:val="single"/>
          </w:rPr>
          <w:t>迈向实用的大气水收集技术</w:t>
        </w:r>
      </w:hyperlink>
    </w:p>
    <w:p>
      <w:pPr>
        <w:spacing w:before="0" w:after="80"/>
      </w:pPr>
      <w:r>
        <w:rPr>
          <w:i/>
          <w:sz w:val="20"/>
        </w:rPr>
        <w:t>EN: Toward practical atmospheric water harvesting technologies</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920">
        <w:r>
          <w:rPr>
            <w:color w:val="1155CC"/>
            <w:u w:val="single"/>
          </w:rPr>
          <w:t>10.1126/sciadv.aef4164</w:t>
        </w:r>
      </w:hyperlink>
    </w:p>
    <w:p>
      <w:pPr>
        <w:spacing w:before="0" w:after="120"/>
      </w:pPr>
      <w:r>
        <w:rPr>
          <w:b/>
        </w:rPr>
        <w:t xml:space="preserve">Notes: </w:t>
      </w:r>
      <w:r>
        <w:t>abstract_source=crossref</w:t>
      </w:r>
    </w:p>
    <w:p>
      <w:pPr>
        <w:spacing w:before="0" w:after="80" w:lineRule="auto" w:line="276"/>
      </w:pPr>
      <w:r>
        <w:rPr>
          <w:b/>
        </w:rPr>
        <w:t xml:space="preserve">摘要（ZH）: </w:t>
      </w:r>
      <w:r>
        <w:t>大气水收集（AWH）为解决不断升级的全球水危机提供了一种有前途的解决方案。在其变体中，基于吸附的 AWH (SAWH) 因其对各种气候的适应性而特别引人注目。在这篇综述中，我们深入研究了吸附剂材料的复杂性，讨论了基础吸附动力学、材料设计的进展以及放大加工的策略。该分析扩展到系统工程，特别是热和传质过程的优化，这对于跨不同场景的有效运行至关重要。通过综合来自材料、系统和气候的见解，我们应对能源管理、运营策略和多功能应用的挑战。我们概述了 SAWH 技术实际实施的战略路线图，强调了其显着增强全球可持续水解决方案的潜力。</w:t>
      </w:r>
    </w:p>
    <w:p>
      <w:pPr>
        <w:spacing w:before="0" w:after="200" w:lineRule="auto" w:line="276"/>
      </w:pPr>
      <w:r>
        <w:rPr>
          <w:b/>
        </w:rPr>
        <w:t xml:space="preserve">Abstract (EN): </w:t>
      </w:r>
      <w:r>
        <w:t>Atmospheric water harvesting (AWH) offers a promising solution to the escalating global water crises. Among its variants, sorption-based AWH (SAWH) is particularly notable for its adaptability across a range of climates. In this Review, we delve into the complexities of sorbent materials, discussing foundational sorption dynamics, advances in material design, and the strategies for scale-up processing. The analysis extends to system engineering, particularly the optimization of thermal and mass-transfer processes essential for effective operation across different scenarios. By synthesizing insights from materials, systems, and climate, we tackle the challenges of energy management, operational strategies, and multifunctional applications. We outline a strategic roadmap for the practical implementation of SAWH technologies, underscoring their potential to significantly enhance sustainable water solutions globally.</w:t>
      </w:r>
    </w:p>
    <w:p>
      <w:pPr>
        <w:spacing w:before="120" w:after="120"/>
      </w:pPr>
      <w:r>
        <w:rPr>
          <w:sz w:val="18"/>
        </w:rPr>
        <w:t>——————————————————————————————————————————————————————————————————————</w:t>
      </w:r>
    </w:p>
    <w:p>
      <w:pPr>
        <w:spacing w:before="160" w:after="40" w:line="240" w:lineRule="auto"/>
      </w:pPr>
      <w:r>
        <w:rPr>
          <w:b/>
        </w:rPr>
        <w:t xml:space="preserve">[369] </w:t>
      </w:r>
      <w:hyperlink r:id="rId921">
        <w:r>
          <w:rPr>
            <w:color w:val="1155CC"/>
            <w:u w:val="single"/>
          </w:rPr>
          <w:t>CCDC32 与膜协作组装 AP-2 网格蛋白接头复合物</w:t>
        </w:r>
      </w:hyperlink>
    </w:p>
    <w:p>
      <w:pPr>
        <w:spacing w:before="0" w:after="80"/>
      </w:pPr>
      <w:r>
        <w:rPr>
          <w:i/>
          <w:sz w:val="20"/>
        </w:rPr>
        <w:t>EN: CCDC32 collaborates with the membrane to assemble the AP-2 clathrin adaptor complex</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922">
        <w:r>
          <w:rPr>
            <w:color w:val="1155CC"/>
            <w:u w:val="single"/>
          </w:rPr>
          <w:t>10.1126/sciadv.aeb2377</w:t>
        </w:r>
      </w:hyperlink>
    </w:p>
    <w:p>
      <w:pPr>
        <w:spacing w:before="0" w:after="120"/>
      </w:pPr>
      <w:r>
        <w:rPr>
          <w:b/>
        </w:rPr>
        <w:t xml:space="preserve">Notes: </w:t>
      </w:r>
      <w:r>
        <w:t>abstract_source=crossref</w:t>
      </w:r>
    </w:p>
    <w:p>
      <w:pPr>
        <w:spacing w:before="0" w:after="80" w:lineRule="auto" w:line="276"/>
      </w:pPr>
      <w:r>
        <w:rPr>
          <w:b/>
        </w:rPr>
        <w:t xml:space="preserve">摘要（ZH）: </w:t>
      </w:r>
      <w:r>
        <w:t>接头蛋白复合物 2 (AP-2) 是网格蛋白介导的内吞作用中的主要货物接头，其组装受到伴侣 α 和 γ 适应蛋白结合蛋白 (AAGAB) 以及含有卷曲螺旋结构域的蛋白 32 (CCDC32) 的调节，其缺失会导致体内所有 AP-2 亚基丢失。在这里，我们描述了 CCDC32 介导的 AP-2 组装的分子机制。 CCDC32 以高亲和力与 AP-2 α 亚基的附属结构域相互作用，除了 α 上先前未识别但高度保守的口袋之外，还使用与经典内吞调节因子相同的结合位点。 CCDC32 包含通常在跨膜货物中发现的货物分选基序，并使用规范的货物结合位点与 AP-2 异二聚体结合。此外，CCDC32 中的两个两亲性螺旋与 α/σ2 异二聚体结合。出乎意料的是，在溶液中，CCDC32 阻止了复杂的组装并主动分解 AP-2 四聚体。抑制需要 CCDC32 的两亲性螺旋，它还介导与磷脂酰肌醇 4,5-二磷酸 (PIP</w:t>
      </w:r>
      <w:r>
        <w:rPr>
          <w:vertAlign w:val="subscript"/>
        </w:rPr>
        <w:t>2</w:t>
      </w:r>
      <w:r>
        <w:t>)–含膜。 PIP 的存在</w:t>
      </w:r>
      <w:r>
        <w:rPr>
          <w:vertAlign w:val="subscript"/>
        </w:rPr>
        <w:t>2</w:t>
      </w:r>
      <w:r>
        <w:t>含有膜的膜可稳定组装的最后阶段。我们建议膜充当分子开关来释放抑制性相互作用，从而允许完整的复杂组装进行。</w:t>
      </w:r>
    </w:p>
    <w:p>
      <w:pPr>
        <w:spacing w:before="0" w:after="200" w:lineRule="auto" w:line="276"/>
      </w:pPr>
      <w:r>
        <w:rPr>
          <w:b/>
        </w:rPr>
        <w:t xml:space="preserve">Abstract (EN): </w:t>
      </w:r>
      <w:r>
        <w:t>Assembly of adaptor protein complex 2 (AP-2), the primary cargo adaptor in clathrin-mediated endocytosis, is regulated by the chaperones alpha- and gamma-adaptin binding protein (AAGAB) and coiled-coil domain-containing protein 32 (CCDC32), whose deletion causes loss of all AP-2 subunits in vivo. Here, we describe the molecular mechanism of CCDC32-mediated AP-2 assembly. CCDC32 interacts with the appendage domain of the AP-2 α subunit with high affinity, using the same binding site as canonical endocytic regulators in addition to a previously unidentified, yet highly conserved pocket on α. CCDC32 contains cargo sorting motifs normally found in transmembrane cargo and binds to AP-2 heterodimers using canonical cargo-binding sites. In addition, two amphipathic helices in CCDC32 bind to the α/σ2 heterodimer. Unexpectedly, in solution, CCDC32 prevents complex assembly and actively disassembles AP-2 tetramers. Inhibition requires the amphipathic helices of CCDC32, which also mediate binding to phosphatidylinositol 4,5-bisphosphate (PIP</w:t>
      </w:r>
      <w:r>
        <w:rPr>
          <w:vertAlign w:val="subscript"/>
        </w:rPr>
        <w:t>2</w:t>
      </w:r>
      <w:r>
        <w:t>)–containing membranes. The presence of PIP</w:t>
      </w:r>
      <w:r>
        <w:rPr>
          <w:vertAlign w:val="subscript"/>
        </w:rPr>
        <w:t>2</w:t>
      </w:r>
      <w:r>
        <w:t>-containing membrane stabilizes the final stages of assembly. We propose that the membrane acts as a molecular switch to release inhibitory interactions, allowing for full complex assembly to proceed.</w:t>
      </w:r>
    </w:p>
    <w:p>
      <w:pPr>
        <w:spacing w:before="120" w:after="120"/>
      </w:pPr>
      <w:r>
        <w:rPr>
          <w:sz w:val="18"/>
        </w:rPr>
        <w:t>——————————————————————————————————————————————————————————————————————</w:t>
      </w:r>
    </w:p>
    <w:p>
      <w:pPr>
        <w:spacing w:before="160" w:after="40" w:line="240" w:lineRule="auto"/>
      </w:pPr>
      <w:r>
        <w:rPr>
          <w:b/>
        </w:rPr>
        <w:t xml:space="preserve">[370] </w:t>
      </w:r>
      <w:hyperlink r:id="rId923">
        <w:r>
          <w:rPr>
            <w:color w:val="1155CC"/>
            <w:u w:val="single"/>
          </w:rPr>
          <w:t>学术合作的政治化可能损害国际科学</w:t>
        </w:r>
      </w:hyperlink>
    </w:p>
    <w:p>
      <w:pPr>
        <w:spacing w:before="0" w:after="80"/>
      </w:pPr>
      <w:r>
        <w:rPr>
          <w:i/>
          <w:sz w:val="20"/>
        </w:rPr>
        <w:t>EN: The politicization of academic collaborations threatens to harm international science</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24">
        <w:r>
          <w:rPr>
            <w:color w:val="1155CC"/>
            <w:u w:val="single"/>
          </w:rPr>
          <w:t>10.1073/pnas.2502611123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[371] </w:t>
      </w:r>
      <w:hyperlink r:id="rId925">
        <w:r>
          <w:rPr>
            <w:color w:val="1155CC"/>
            <w:u w:val="single"/>
          </w:rPr>
          <w:t>陆地加热使东太平洋和赤道太平洋变冷</w:t>
        </w:r>
      </w:hyperlink>
    </w:p>
    <w:p>
      <w:pPr>
        <w:spacing w:before="0" w:after="80"/>
      </w:pPr>
      <w:r>
        <w:rPr>
          <w:i/>
          <w:sz w:val="20"/>
        </w:rPr>
        <w:t>EN: Heating the land cools the eastern and equatorial Pacific</w:t>
      </w:r>
    </w:p>
    <w:p>
      <w:pPr>
        <w:spacing w:before="0" w:after="120"/>
      </w:pPr>
      <w:r>
        <w:rPr>
          <w:b/>
        </w:rPr>
        <w:t xml:space="preserve">Source: </w:t>
      </w:r>
      <w:r>
        <w:t>AAAS: Science Advances: Table of Contents</w:t>
      </w:r>
      <w:r>
        <w:t xml:space="preserve">    </w:t>
      </w:r>
      <w:r>
        <w:rPr>
          <w:b/>
        </w:rPr>
        <w:t xml:space="preserve">Pub date: </w:t>
      </w:r>
      <w:r>
        <w:t>2026-06-03 07:00:00+00:00</w:t>
      </w:r>
      <w:r>
        <w:t xml:space="preserve">    </w:t>
      </w:r>
      <w:r>
        <w:rPr>
          <w:b/>
        </w:rPr>
        <w:t xml:space="preserve">DOI: </w:t>
      </w:r>
      <w:hyperlink r:id="rId926">
        <w:r>
          <w:rPr>
            <w:color w:val="1155CC"/>
            <w:u w:val="single"/>
          </w:rPr>
          <w:t>10.1126/sciadv.aeb7004</w:t>
        </w:r>
      </w:hyperlink>
    </w:p>
    <w:p>
      <w:pPr>
        <w:spacing w:before="0" w:after="120"/>
      </w:pPr>
      <w:r>
        <w:rPr>
          <w:b/>
        </w:rPr>
        <w:t xml:space="preserve">Notes: </w:t>
      </w:r>
      <w:r>
        <w:t>abstract_source=crossref</w:t>
      </w:r>
    </w:p>
    <w:p>
      <w:pPr>
        <w:spacing w:before="0" w:after="80" w:lineRule="auto" w:line="276"/>
      </w:pPr>
      <w:r>
        <w:rPr>
          <w:b/>
        </w:rPr>
        <w:t xml:space="preserve">摘要（ZH）: </w:t>
      </w:r>
      <w:r>
        <w:t>东太平洋近几十年来未解决的降温问题及其不确定的未来仍然是气候动力学的关键难题。我们提出陆地-海洋加热对比作为这种现象的潜在驱动因素。为了测试这一点，我们通过将二氧化碳 (CO</w:t>
      </w:r>
      <w:r>
        <w:rPr>
          <w:vertAlign w:val="subscript"/>
        </w:rPr>
        <w:t>2</w:t>
      </w:r>
      <w:r>
        <w:t>）仅在全球耦合气候模型中的陆地上。我们的研究表明，这会导致东太平洋和赤道太平洋出现明显的短暂变冷。每年 1% 的短暂二氧化碳排放</w:t>
      </w:r>
      <w:r>
        <w:rPr>
          <w:vertAlign w:val="subscript"/>
        </w:rPr>
        <w:t>2</w:t>
      </w:r>
      <w:r>
        <w:t>陆地上的增加会产生年代际变冷，这表明与观察到的东太平洋变冷有关。局部增加 CO 的有针对性的模拟</w:t>
      </w:r>
      <w:r>
        <w:rPr>
          <w:vertAlign w:val="subscript"/>
        </w:rPr>
        <w:t>2</w:t>
      </w:r>
      <w:r>
        <w:t>不同陆地区域的浓度揭示了这种降温的三个驱动因素：热带辐合带向北移动、西太平洋对流向西移动以及罗斯贝波副热带高压增强。这些见解将常用的海洋动态恒温器机制重新定义为反馈而不是瞬态冷却的驱动因素，并有助于理解和预测太平洋温度模式。</w:t>
      </w:r>
    </w:p>
    <w:p>
      <w:pPr>
        <w:spacing w:before="0" w:after="200" w:lineRule="auto" w:line="276"/>
      </w:pPr>
      <w:r>
        <w:rPr>
          <w:b/>
        </w:rPr>
        <w:t xml:space="preserve">Abstract (EN): </w:t>
      </w:r>
      <w:r>
        <w:t>The unresolved recent multidecadal cooling of the eastern Pacific and its uncertain future remain key puzzles in climate dynamics. We propose the land-sea heating contrast as a potential driver of this phenomenon. To test this, we amplify the land-sea contrast by quadrupling carbon dioxide (CO</w:t>
      </w:r>
      <w:r>
        <w:rPr>
          <w:vertAlign w:val="subscript"/>
        </w:rPr>
        <w:t>2</w:t>
      </w:r>
      <w:r>
        <w:t>) only over land in a global coupled climate model. We show that this causes a pronounced transient cooling of the eastern and equatorial Pacific. A transient 1%-per-year CO</w:t>
      </w:r>
      <w:r>
        <w:rPr>
          <w:vertAlign w:val="subscript"/>
        </w:rPr>
        <w:t>2</w:t>
      </w:r>
      <w:r>
        <w:t>increase over land produces decadal cooling, suggesting relevance to the observed eastern Pacific cooling. Targeted simulations with locally increased CO</w:t>
      </w:r>
      <w:r>
        <w:rPr>
          <w:vertAlign w:val="subscript"/>
        </w:rPr>
        <w:t>2</w:t>
      </w:r>
      <w:r>
        <w:t>concentrations over different land regions reveal three drivers of this cooling: a northward intertropical convergence zone shift, a westward convection shift over the western Pacific, and strengthened subtropical highs from Rossby waves. These insights recast the commonly used ocean dynamical thermostat mechanism as a feedback rather than a driver of transient cooling and contribute to understanding and predicting Pacific temperature patterns.</w:t>
      </w:r>
    </w:p>
    <w:p>
      <w:pPr>
        <w:spacing w:before="120" w:after="120"/>
      </w:pPr>
      <w:r>
        <w:rPr>
          <w:sz w:val="18"/>
        </w:rPr>
        <w:t>——————————————————————————————————————————————————————————————————————</w:t>
      </w:r>
    </w:p>
    <w:p>
      <w:pPr>
        <w:spacing w:before="160" w:after="40" w:line="240" w:lineRule="auto"/>
      </w:pPr>
      <w:r>
        <w:rPr>
          <w:b/>
        </w:rPr>
        <w:t xml:space="preserve">[372] </w:t>
      </w:r>
      <w:hyperlink r:id="rId927">
        <w:r>
          <w:rPr>
            <w:color w:val="1155CC"/>
            <w:u w:val="single"/>
          </w:rPr>
          <w:t>多磷酸盐合成对于营养物质升级过程中磷酸盐和 ATP 稳态至关重要</w:t>
        </w:r>
      </w:hyperlink>
    </w:p>
    <w:p>
      <w:pPr>
        <w:spacing w:before="0" w:after="80"/>
      </w:pPr>
      <w:r>
        <w:rPr>
          <w:i/>
          <w:sz w:val="20"/>
        </w:rPr>
        <w:t>EN: Polyphosphate synthesis is essential for phosphate and ATP homeostasis during nutrient upshift</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28">
        <w:r>
          <w:rPr>
            <w:color w:val="1155CC"/>
            <w:u w:val="single"/>
          </w:rPr>
          <w:t>10.1073/pnas.2531128123</w:t>
        </w:r>
      </w:hyperlink>
    </w:p>
    <w:p>
      <w:pPr>
        <w:spacing w:before="0" w:after="120"/>
      </w:pPr>
      <w:r>
        <w:rPr>
          <w:b/>
        </w:rPr>
        <w:t xml:space="preserve">Notes: </w:t>
      </w:r>
      <w:r>
        <w:t>abstract_source=crossref</w:t>
      </w:r>
    </w:p>
    <w:p>
      <w:pPr>
        <w:spacing w:before="0" w:after="80" w:lineRule="auto" w:line="276"/>
      </w:pPr>
      <w:r>
        <w:rPr>
          <w:b/>
        </w:rPr>
        <w:t xml:space="preserve">摘要（ZH）: </w:t>
      </w:r>
      <w:r>
        <w:t>无机多磷酸盐 (polyP) 是一种普遍存在于生命各个领域的分子。尽管与多种细胞过程有关，包括磷酸盐储存、应激反应和致病性，但多聚磷合成的丧失通常只会导致轻微的生长缺陷。在这里，我们证明了当细胞从磷酸盐限制条件过渡到磷酸盐充足条件时，聚磷合成在磷酸盐饥饿恢复过程中的重要生理作用。使用全面的转座子测序方法</w:t>
      </w:r>
      <w:r>
        <w:t xml:space="preserve"> </w:t>
      </w:r>
      <w:r>
        <w:t>新月柄杆菌</w:t>
      </w:r>
      <w:r>
        <w:t xml:space="preserve"> </w:t>
      </w:r>
      <w:r>
        <w:t>，我们确定了在碳、氮或磷酸盐饥饿期间以及随后的恢复期间赋予适应性优势的基因。我们发现</w:t>
      </w:r>
      <w:r>
        <w:t xml:space="preserve"> </w:t>
      </w:r>
      <w:r>
        <w:t>PPK1</w:t>
      </w:r>
      <w:r>
        <w:t xml:space="preserve"> </w:t>
      </w:r>
      <w:r>
        <w:t>编码负责多磷酸合成的多磷酸激酶，是从磷酸盐饥饿中恢复所特别需要的，但对于进入饥饿来说是可有可无的，这一结果通过</w:t>
      </w:r>
      <w:r>
        <w:t xml:space="preserve"> </w:t>
      </w:r>
      <w:r>
        <w:t>PPK1</w:t>
      </w:r>
      <w:r>
        <w:t xml:space="preserve"> </w:t>
      </w:r>
      <w:r>
        <w:t>缺失突变体。通过磷酸盐特异性运输系统减少磷酸盐吸收的突变抑制了对</w:t>
      </w:r>
      <w:r>
        <w:t xml:space="preserve"> </w:t>
      </w:r>
      <w:r>
        <w:t>PPK1</w:t>
      </w:r>
      <w:r>
        <w:t xml:space="preserve"> </w:t>
      </w:r>
      <w:r>
        <w:t>，表明聚磷合成可防止细胞内无机磷酸盐（P</w:t>
      </w:r>
      <w:r>
        <w:t xml:space="preserve"> </w:t>
      </w:r>
      <w:r>
        <w:t>我</w:t>
      </w:r>
      <w:r>
        <w:t xml:space="preserve"> </w:t>
      </w:r>
      <w:r>
        <w:t>）重新喂食时。我们的研究结果进一步表明，缓冲细胞内 P</w:t>
      </w:r>
      <w:r>
        <w:t xml:space="preserve"> </w:t>
      </w:r>
      <w:r>
        <w:t>我</w:t>
      </w:r>
      <w:r>
        <w:t xml:space="preserve"> </w:t>
      </w:r>
      <w:r>
        <w:t>通过polyP合成对于维持ATP稳态至关重要。总之，这些结果定义了聚磷合成的核心作用</w:t>
      </w:r>
    </w:p>
    <w:p>
      <w:pPr>
        <w:spacing w:before="0" w:after="200" w:lineRule="auto" w:line="276"/>
      </w:pPr>
      <w:r>
        <w:rPr>
          <w:b/>
        </w:rPr>
        <w:t xml:space="preserve">Abstract (EN): </w:t>
      </w:r>
      <w:r>
        <w:t>Inorganic polyphosphate (polyP) is a ubiquitous molecule found across all domains of life. Although implicated in diverse cellular processes, including phosphate storage, stress responses, and pathogenicity, loss of polyP synthesis typically causes only mild growth defects. Here, we demonstrate an essential physiological role for polyP synthesis during recovery from phosphate starvation, when cells transition from phosphate-limited to phosphate-replete conditions. Using a comprehensive transposon sequencing approach in</w:t>
      </w:r>
      <w:r>
        <w:t xml:space="preserve"> </w:t>
      </w:r>
      <w:r>
        <w:t>Caulobacter crescentus</w:t>
      </w:r>
      <w:r>
        <w:t xml:space="preserve"> </w:t>
      </w:r>
      <w:r>
        <w:t>, we identify genes conferring a fitness advantage during starvation for carbon, nitrogen, or phosphate and during subsequent recovery. We find that</w:t>
      </w:r>
      <w:r>
        <w:t xml:space="preserve"> </w:t>
      </w:r>
      <w:r>
        <w:t>ppk1</w:t>
      </w:r>
      <w:r>
        <w:t xml:space="preserve"> </w:t>
      </w:r>
      <w:r>
        <w:t>, encoding the polyphosphate kinase responsible for polyP synthesis, is specifically required for recovery from phosphate starvation but dispensable for entry into starvation, a result confirmed with a</w:t>
      </w:r>
      <w:r>
        <w:t xml:space="preserve"> </w:t>
      </w:r>
      <w:r>
        <w:t>ppk1</w:t>
      </w:r>
      <w:r>
        <w:t xml:space="preserve"> </w:t>
      </w:r>
      <w:r>
        <w:t>deletion mutant. Mutations that reduce phosphate uptake via the phosphate-specific transport system suppress the requirement for</w:t>
      </w:r>
      <w:r>
        <w:t xml:space="preserve"> </w:t>
      </w:r>
      <w:r>
        <w:t>ppk1</w:t>
      </w:r>
      <w:r>
        <w:t xml:space="preserve"> </w:t>
      </w:r>
      <w:r>
        <w:t>, indicating that polyP synthesis prevents toxic accumulation of intracellular inorganic phosphate (P</w:t>
      </w:r>
      <w:r>
        <w:t xml:space="preserve"> </w:t>
      </w:r>
      <w:r>
        <w:t>i</w:t>
      </w:r>
      <w:r>
        <w:t xml:space="preserve"> </w:t>
      </w:r>
      <w:r>
        <w:t>) upon refeeding. Our findings further show that buffering intracellular P</w:t>
      </w:r>
      <w:r>
        <w:t xml:space="preserve"> </w:t>
      </w:r>
      <w:r>
        <w:t>i</w:t>
      </w:r>
      <w:r>
        <w:t xml:space="preserve"> </w:t>
      </w:r>
      <w:r>
        <w:t>through polyP synthesis is critical for maintaining ATP homeostasis. Together, these results define a central role for polyP synthesis in regulating intracellular phosphate balance and ATP homeostasis, thereby facilitating adaptation to fluctuating nutrient conditions.</w:t>
      </w:r>
    </w:p>
    <w:p>
      <w:pPr>
        <w:spacing w:before="120" w:after="120"/>
      </w:pPr>
      <w:r>
        <w:rPr>
          <w:sz w:val="18"/>
        </w:rPr>
        <w:t>——————————————————————————————————————————————————————————————————————</w:t>
      </w:r>
    </w:p>
    <w:p>
      <w:pPr>
        <w:spacing w:before="160" w:after="40" w:line="240" w:lineRule="auto"/>
      </w:pPr>
      <w:r>
        <w:rPr>
          <w:b/>
        </w:rPr>
        <w:t xml:space="preserve">[373] </w:t>
      </w:r>
      <w:hyperlink r:id="rId929">
        <w:r>
          <w:rPr>
            <w:color w:val="1155CC"/>
            <w:u w:val="single"/>
          </w:rPr>
          <w:t>宿主甲基乙二醛激活李斯特菌毒力程序，使细菌通过细胞间传播逃避炎症吞噬细胞</w:t>
        </w:r>
      </w:hyperlink>
    </w:p>
    <w:p>
      <w:pPr>
        <w:spacing w:before="0" w:after="80"/>
      </w:pPr>
      <w:r>
        <w:rPr>
          <w:i/>
          <w:sz w:val="20"/>
        </w:rPr>
        <w:t>EN: Host methylglyoxal activates the Listeria virulence program, allowing bacteria to evade inflammatory phagocytes by cell-to-cell spread</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30">
        <w:r>
          <w:rPr>
            <w:color w:val="1155CC"/>
            <w:u w:val="single"/>
          </w:rPr>
          <w:t>10.1073/pnas.2534912123</w:t>
        </w:r>
      </w:hyperlink>
    </w:p>
    <w:p>
      <w:pPr>
        <w:spacing w:before="0" w:after="120"/>
      </w:pPr>
      <w:r>
        <w:rPr>
          <w:b/>
        </w:rPr>
        <w:t xml:space="preserve">Notes: </w:t>
      </w:r>
      <w:r>
        <w:t>abstract_source=crossref</w:t>
      </w:r>
    </w:p>
    <w:p>
      <w:pPr>
        <w:spacing w:before="0" w:after="80" w:lineRule="auto" w:line="276"/>
      </w:pPr>
      <w:r>
        <w:rPr>
          <w:b/>
        </w:rPr>
        <w:t xml:space="preserve">摘要（ZH）: </w:t>
      </w:r>
      <w:r>
        <w:t>甲基乙二醛是巨噬细胞产生的活性醛，是其抗菌先天免疫库的一部分。我们之前的工作表明</w:t>
      </w:r>
      <w:r>
        <w:t xml:space="preserve"> </w:t>
      </w:r>
      <w:r>
        <w:t>李斯特菌</w:t>
      </w:r>
      <w:r>
        <w:t xml:space="preserve"> </w:t>
      </w:r>
      <w:r>
        <w:t>单核细胞增多症</w:t>
      </w:r>
      <w:r>
        <w:t xml:space="preserve"> </w:t>
      </w:r>
      <w:r>
        <w:t>依赖乙二醛酶 A (GloA) 和细菌谷胱甘肽来解毒甲基乙二醛，GloA 的缺失会严重损害小鼠体内的细菌毒力，导致细菌突变频率增加 100 至 1,000 倍。甲基乙二醛解毒和主要毒力调节因子 PrfA 的变构激活都需要谷胱甘肽，这强调了其在发病机制中的核心但复杂的作用。我们之前证明，将 PrfA 锁定在其活性构象 (PrfA*) 的突变可以挽救</w:t>
      </w:r>
      <w:r>
        <w:t xml:space="preserve"> </w:t>
      </w:r>
      <w:r>
        <w:t>格洛阿</w:t>
      </w:r>
      <w:r>
        <w:t xml:space="preserve"> </w:t>
      </w:r>
      <w:r>
        <w:t>突变体。在这里，我们证明 PrfA* 不仅可以恢复毒力，还可以挽救</w:t>
      </w:r>
      <w:r>
        <w:t xml:space="preserve"> </w:t>
      </w:r>
      <w:r>
        <w:t>格洛阿</w:t>
      </w:r>
      <w:r>
        <w:t xml:space="preserve"> </w:t>
      </w:r>
      <w:r>
        <w:t>突变体独立于经典 DNA 修复途径。我们假设 PrfA 调节的基因介导独立于 GloA 的机制以避免甲基乙二醛的毒性作用，并发现 ActA 的缺失消除了 PrfA* 介导的拯救</w:t>
      </w:r>
      <w:r>
        <w:t xml:space="preserve"> </w:t>
      </w:r>
      <w:r>
        <w:t>格洛阿</w:t>
      </w:r>
      <w:r>
        <w:t xml:space="preserve"> </w:t>
      </w:r>
      <w:r>
        <w:t>突变。此外，野生型背景下ActA的缺失也增加了体内突变频率</w:t>
      </w:r>
      <w:r>
        <w:t xml:space="preserve"> </w:t>
      </w:r>
      <w:r>
        <w:t>单核细胞增生利斯特氏菌</w:t>
      </w:r>
      <w:r>
        <w:t xml:space="preserve"> </w:t>
      </w:r>
      <w:r>
        <w:t>。</w:t>
      </w:r>
      <w:r>
        <w:t xml:space="preserve"> </w:t>
      </w:r>
      <w:r>
        <w:t>由于 ActA 的主要作用是介导细菌</w:t>
      </w:r>
    </w:p>
    <w:p>
      <w:pPr>
        <w:spacing w:before="0" w:after="200" w:lineRule="auto" w:line="276"/>
      </w:pPr>
      <w:r>
        <w:rPr>
          <w:b/>
        </w:rPr>
        <w:t xml:space="preserve">Abstract (EN): </w:t>
      </w:r>
      <w:r>
        <w:t>Methylglyoxal is a reactive aldehyde produced by macrophages as part of their antimicrobial innate immune arsenal. Our prior work showed that</w:t>
      </w:r>
      <w:r>
        <w:t xml:space="preserve"> </w:t>
      </w:r>
      <w:r>
        <w:t>Listeria</w:t>
      </w:r>
      <w:r>
        <w:t xml:space="preserve"> </w:t>
      </w:r>
      <w:r>
        <w:t>monocytogenes</w:t>
      </w:r>
      <w:r>
        <w:t xml:space="preserve"> </w:t>
      </w:r>
      <w:r>
        <w:t>relies on glyoxalase A (GloA) and bacterial glutathione to detoxify methylglyoxal and that loss of GloA severely impairs bacterial virulence in mice and results in a 100 to 1,000 increase in bacterial mutation frequency. Glutathione is required for both methylglyoxal detoxification and for allosteric activation of the master virulence regulator PrfA, underscoring its central, yet complicated role in pathogenesis. We previously demonstrated that mutations that lock PrfA in its active conformation (PrfA*) rescue the virulence of</w:t>
      </w:r>
      <w:r>
        <w:t xml:space="preserve"> </w:t>
      </w:r>
      <w:r>
        <w:t>gloA</w:t>
      </w:r>
      <w:r>
        <w:t xml:space="preserve"> </w:t>
      </w:r>
      <w:r>
        <w:t>mutants. Here, we show that PrfA* not only restores virulence but also rescues the elevated mutation frequency of</w:t>
      </w:r>
      <w:r>
        <w:t xml:space="preserve"> </w:t>
      </w:r>
      <w:r>
        <w:t>gloA</w:t>
      </w:r>
      <w:r>
        <w:t xml:space="preserve"> </w:t>
      </w:r>
      <w:r>
        <w:t>mutants independently of canonical DNA repair pathways. We hypothesized that a PrfA-regulated gene mediates a GloA-independent mechanism to avoid the toxic effects of methylglyoxal and found that the absence of ActA abolished the PrfA*-mediated rescue of</w:t>
      </w:r>
      <w:r>
        <w:t xml:space="preserve"> </w:t>
      </w:r>
      <w:r>
        <w:t>gloA</w:t>
      </w:r>
      <w:r>
        <w:t xml:space="preserve"> </w:t>
      </w:r>
      <w:r>
        <w:t>mutations. In addition, loss of ActA in a wild-type background also increased the in vivo mutation frequency of</w:t>
      </w:r>
      <w:r>
        <w:t xml:space="preserve"> </w:t>
      </w:r>
      <w:r>
        <w:t>L. monocytogenes</w:t>
      </w:r>
      <w:r>
        <w:t xml:space="preserve"> </w:t>
      </w:r>
      <w:r>
        <w:t>.</w:t>
      </w:r>
      <w:r>
        <w:t xml:space="preserve"> </w:t>
      </w:r>
      <w:r>
        <w:t>Since the primary role of ActA is to mediate bacterial cell-to-cell spread, we hypothesized that ActA allows</w:t>
      </w:r>
      <w:r>
        <w:t xml:space="preserve"> </w:t>
      </w:r>
      <w:r>
        <w:t>L. monocytogenes</w:t>
      </w:r>
      <w:r>
        <w:t xml:space="preserve"> </w:t>
      </w:r>
      <w:r>
        <w:t>to migrate away from MG-rich inflammatory foci populated by activated macrophages. Indeed, antibody depletion of elicited macrophages and neutrophils rescued the virulence defect and reduced mutation frequency of</w:t>
      </w:r>
      <w:r>
        <w:t xml:space="preserve"> </w:t>
      </w:r>
      <w:r>
        <w:t>gloA</w:t>
      </w:r>
      <w:r>
        <w:t xml:space="preserve"> </w:t>
      </w:r>
      <w:r>
        <w:t>mutants. We propose a model in which ActA-mediated actin-based motility allows</w:t>
      </w:r>
      <w:r>
        <w:t xml:space="preserve"> </w:t>
      </w:r>
      <w:r>
        <w:t>L. monocytogenes</w:t>
      </w:r>
      <w:r>
        <w:t xml:space="preserve"> </w:t>
      </w:r>
      <w:r>
        <w:t>to spatially evade localized methylglyoxal production and hence outrun host defenses.</w:t>
      </w:r>
    </w:p>
    <w:p>
      <w:pPr>
        <w:spacing w:before="120" w:after="120"/>
      </w:pPr>
      <w:r>
        <w:rPr>
          <w:sz w:val="18"/>
        </w:rPr>
        <w:t>——————————————————————————————————————————————————————————————————————</w:t>
      </w:r>
    </w:p>
    <w:p>
      <w:pPr>
        <w:spacing w:before="160" w:after="40" w:line="240" w:lineRule="auto"/>
      </w:pPr>
      <w:r>
        <w:rPr>
          <w:b/>
        </w:rPr>
        <w:t xml:space="preserve">[374] </w:t>
      </w:r>
      <w:hyperlink r:id="rId931">
        <w:r>
          <w:rPr>
            <w:color w:val="1155CC"/>
            <w:u w:val="single"/>
          </w:rPr>
          <w:t>通过与 Elongin BC 相互作用稳定病毒先天免疫拮抗剂的保守机制</w:t>
        </w:r>
      </w:hyperlink>
    </w:p>
    <w:p>
      <w:pPr>
        <w:spacing w:before="0" w:after="80"/>
      </w:pPr>
      <w:r>
        <w:rPr>
          <w:i/>
          <w:sz w:val="20"/>
        </w:rPr>
        <w:t>EN: A conserved mechanism for stabilization of viral innate immune antagonists via interaction with Elongin BC</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32">
        <w:r>
          <w:rPr>
            <w:color w:val="1155CC"/>
            <w:u w:val="single"/>
          </w:rPr>
          <w:t>10.1073/pnas.2537151123</w:t>
        </w:r>
      </w:hyperlink>
    </w:p>
    <w:p>
      <w:pPr>
        <w:spacing w:before="0" w:after="120"/>
      </w:pPr>
      <w:r>
        <w:rPr>
          <w:b/>
        </w:rPr>
        <w:t xml:space="preserve">Notes: </w:t>
      </w:r>
      <w:r>
        <w:t>abstract_source=crossref</w:t>
      </w:r>
    </w:p>
    <w:p>
      <w:pPr>
        <w:spacing w:before="0" w:after="80" w:lineRule="auto" w:line="276"/>
      </w:pPr>
      <w:r>
        <w:rPr>
          <w:b/>
        </w:rPr>
        <w:t xml:space="preserve">摘要（ZH）: </w:t>
      </w:r>
      <w:r>
        <w:t>干扰素调节因子 3 (IRF3) 抑制是许多病毒编码蛋白的共同策略，可有效阻断干扰素信号传导的诱导。尽管已知轮状病毒非结构蛋白 1 (NSP1) 可靶向 IRF3 进行蛋白酶体降解，但确切的分子机制仍不清楚。在这里，我们发现轮状病毒 NSP1 含有介导与 Elongin BC 复合物相互作用的 BC 盒基序。 siRNA 敲除或 CRISPR 敲除</w:t>
      </w:r>
      <w:r>
        <w:t xml:space="preserve"> </w:t>
      </w:r>
      <w:r>
        <w:t>TCEB2</w:t>
      </w:r>
      <w:r>
        <w:t xml:space="preserve"> </w:t>
      </w:r>
      <w:r>
        <w:t>编码 Elongin B 的 Elongin B 能够显着阻止 NSP1 降解 IRF3。编码具有 BC 盒突变的 NSP1 的重组轮状病毒无法降解 IRF3，诱导干扰素反应升高，并且在体外和体内的干扰素感受态细胞中减弱。在没有 Elongin B 的情况下，NSP1 蛋白在感染细胞中的稳定性显着降低。重要的是，Elongin BC 是其他含有 BC 盒的病毒拮抗剂（包括瘟病毒 N 蛋白酶和人腺病毒 E4orf6）的稳定性所必需的，这表明 Elongin BC 不仅可以作为宿主蛋白降解的接头，而且可以作为病毒先天免疫拮抗剂广泛使用的稳定因子。关于病毒选择宿主泛素连接酶机制的知识可能会指导广谱抗病毒疗法的开发。</w:t>
      </w:r>
    </w:p>
    <w:p>
      <w:pPr>
        <w:spacing w:before="0" w:after="200" w:lineRule="auto" w:line="276"/>
      </w:pPr>
      <w:r>
        <w:rPr>
          <w:b/>
        </w:rPr>
        <w:t xml:space="preserve">Abstract (EN): </w:t>
      </w:r>
      <w:r>
        <w:t>Interferon regulator factor 3 (IRF3) inhibition is a shared strategy of many virally encoded proteins to effectively block the induction of interferon signaling. Although rotavirus nonstructural protein 1 (NSP1) is known to target IRF3 for proteasomal degradation, the exact molecular mechanism remains unclear. Here, we found that rotavirus NSP1 contains a BC box motif that mediates interaction with the Elongin BC complex. Either siRNA knockdown or CRISPR knockout of</w:t>
      </w:r>
      <w:r>
        <w:t xml:space="preserve"> </w:t>
      </w:r>
      <w:r>
        <w:t>TCEB2</w:t>
      </w:r>
      <w:r>
        <w:t xml:space="preserve"> </w:t>
      </w:r>
      <w:r>
        <w:t>, which encodes Elongin B, substantially prevented IRF3 degradation by NSP1. Recombinant rotaviruses that encode NSP1 with BC box mutations failed to degrade IRF3, induced elevated interferon responses, and were attenuated in interferon-competent cells in vitro and in vivo. NSP1 protein was significantly less stable in infected cells in the absence of Elongin B. Importantly, Elongin BC was required for the stability of additional BC box-containing viral antagonists, including pestiviral N proteases and human adenovirus E4orf6, indicating that Elongin BC functions not only as an adaptor for host protein degradation but also as a broadly exploited stabilizing factor for viral innate immune antagonists. This knowledge of virus co-opting of the host ubiquitin ligase machinery may instruct the development of broad-spectrum antiviral therapeutics.</w:t>
      </w:r>
    </w:p>
    <w:p>
      <w:pPr>
        <w:spacing w:before="120" w:after="120"/>
      </w:pPr>
      <w:r>
        <w:rPr>
          <w:sz w:val="18"/>
        </w:rPr>
        <w:t>——————————————————————————————————————————————————————————————————————</w:t>
      </w:r>
    </w:p>
    <w:p>
      <w:pPr>
        <w:spacing w:before="160" w:after="40" w:line="240" w:lineRule="auto"/>
      </w:pPr>
      <w:r>
        <w:rPr>
          <w:b/>
        </w:rPr>
        <w:t xml:space="preserve">[375] </w:t>
      </w:r>
      <w:hyperlink r:id="rId933">
        <w:r>
          <w:rPr>
            <w:color w:val="1155CC"/>
            <w:u w:val="single"/>
          </w:rPr>
          <w:t>不稳定结构域的突变分析揭示了其在拟南芥中 B 类 ARF 水平调节中的保守作用</w:t>
        </w:r>
      </w:hyperlink>
    </w:p>
    <w:p>
      <w:pPr>
        <w:spacing w:before="0" w:after="80"/>
      </w:pPr>
      <w:r>
        <w:rPr>
          <w:i/>
          <w:sz w:val="20"/>
        </w:rPr>
        <w:t>EN: Mutational analyses of an instability domain reveal its conserved role in the regulation of class-B ARF levels in Arabidopsis</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34">
        <w:r>
          <w:rPr>
            <w:color w:val="1155CC"/>
            <w:u w:val="single"/>
          </w:rPr>
          <w:t>10.1073/pnas.2537963123</w:t>
        </w:r>
      </w:hyperlink>
    </w:p>
    <w:p>
      <w:pPr>
        <w:spacing w:before="0" w:after="120"/>
      </w:pPr>
      <w:r>
        <w:rPr>
          <w:b/>
        </w:rPr>
        <w:t xml:space="preserve">Notes: </w:t>
      </w:r>
      <w:r>
        <w:t>abstract_source=crossref</w:t>
      </w:r>
    </w:p>
    <w:p>
      <w:pPr>
        <w:spacing w:before="0" w:after="80" w:lineRule="auto" w:line="276"/>
      </w:pPr>
      <w:r>
        <w:rPr>
          <w:b/>
        </w:rPr>
        <w:t xml:space="preserve">摘要（ZH）: </w:t>
      </w:r>
      <w:r>
        <w:t>植物激素生长素是植物生长和发育的中心调节剂。典型的核生长素信号通路通过调节基因转录发挥作用，核心成分生长素反应因子（ARF）的蛋白质水平是这种调节的关键。在这里，我们研究了两个 B 类 ARF（ARF2 和 ARF3）中保守不稳定 (INS) 结构域的生理作用。</w:t>
      </w:r>
      <w:r>
        <w:t xml:space="preserve"> </w:t>
      </w:r>
      <w:r>
        <w:t>拟南芥</w:t>
      </w:r>
      <w:r>
        <w:t xml:space="preserve"> </w:t>
      </w:r>
      <w:r>
        <w:t>。使用表达不同 ARF2 变体的天然启动子转基因系，我们发现 INS 结构域的 T298N、T298D 和 T298E 突变版本会导致明显的生长素相关表型，包括雄性不育和根毛发育缺陷。值得注意的是，T298D和T298E ARF2变体表现出增加的蛋白质稳定性，持续存在于根分化区域内的表皮核中，并与较短的分枝根毛相关，而野生型ARF2水平在该区域下降与根毛伸长一致。这些品系还表现出抗生长素的主根伸长和侧根促进，以及减少的 DR5:荧光素酶反应，与受损的泛素化和增强的 ARF2 稳定性相关。同样，稳定的 ARF3 变体（S293E 和 S293N）表现出生长素抗性和严重的发育缺陷，表明 B 类 ARF 之间存在共享的调节机制。我们的研究结果强调了 B 类 ARF 的关键生理作用，并验证了不稳定结构域在控制蛋白质稳定性方面的保守功能</w:t>
      </w:r>
      <w:r>
        <w:t xml:space="preserve"> </w:t>
      </w:r>
      <w:r>
        <w:t>拟南芥</w:t>
      </w:r>
    </w:p>
    <w:p>
      <w:pPr>
        <w:spacing w:before="0" w:after="200" w:lineRule="auto" w:line="276"/>
      </w:pPr>
      <w:r>
        <w:rPr>
          <w:b/>
        </w:rPr>
        <w:t xml:space="preserve">Abstract (EN): </w:t>
      </w:r>
      <w:r>
        <w:t>The plant hormone auxin is a central regulator of plant growth and development. The canonical nuclear auxin signaling pathway acts through the regulation of gene transcription, and the protein levels of core component AUXIN RESPONSE FACTORS (ARFs) are key to this regulation. Here, we investigate the physiological role of a conserved instability (INS) domain in two class-B ARFs, ARF2 and ARF3, in</w:t>
      </w:r>
      <w:r>
        <w:t xml:space="preserve"> </w:t>
      </w:r>
      <w:r>
        <w:t>Arabidopsis thaliana</w:t>
      </w:r>
      <w:r>
        <w:t xml:space="preserve"> </w:t>
      </w:r>
      <w:r>
        <w:t>. Using native-promoter transgenic lines expressing different ARF2 variants, we show that T298N, T298D, and T298E mutant versions of the INS domain cause pronounced auxin-related phenotypes, including male sterility and defective root hair development. Notably, the T298D and T298E ARF2 variants, which exhibit increased protein stability, persist in epidermal nuclei within the root differentiation zone and are associated with shorter, branched root hairs, whereas wild-type ARF2 levels decline in this region coincident with root hair elongation. These lines also display auxin-resistant primary root elongation and lateral root promotion, along with reduced DR5:Luciferase responses, correlating with impaired ubiquitylation and enhanced ARF2 stability. Similarly, stabilized ARF3 variants (S293E and S293N) exhibit auxin resistance and severe developmental defects, indicating a shared regulatory mechanism among class-B ARFs. Our findings highlight critical physiological roles for class-B ARFs and verified the conserved function of the instability domain in controlling protein stability in</w:t>
      </w:r>
      <w:r>
        <w:t xml:space="preserve"> </w:t>
      </w:r>
      <w:r>
        <w:t>Arabidopsis</w:t>
      </w:r>
      <w:r>
        <w:t xml:space="preserve"> </w:t>
      </w:r>
      <w:r>
        <w:t>. We also reveal that INS domain-mediated turnover of ARF2 restricts their spatial accumulation and is essential for root hair elongation, providing insight into how signaling specificity is achieved through posttranslational control of ARF activity.</w:t>
      </w:r>
    </w:p>
    <w:p>
      <w:pPr>
        <w:spacing w:before="120" w:after="120"/>
      </w:pPr>
      <w:r>
        <w:rPr>
          <w:sz w:val="18"/>
        </w:rPr>
        <w:t>——————————————————————————————————————————————————————————————————————</w:t>
      </w:r>
    </w:p>
    <w:p>
      <w:pPr>
        <w:spacing w:before="160" w:after="40" w:line="240" w:lineRule="auto"/>
      </w:pPr>
      <w:r>
        <w:rPr>
          <w:b/>
        </w:rPr>
        <w:t xml:space="preserve">[376] </w:t>
      </w:r>
      <w:hyperlink r:id="rId935">
        <w:r>
          <w:rPr>
            <w:color w:val="1155CC"/>
            <w:u w:val="single"/>
          </w:rPr>
          <w:t>靶向 XIAP 协调的 PKC 信号使 PD-1 难治性肿瘤重新敏感以进行再攻击</w:t>
        </w:r>
      </w:hyperlink>
    </w:p>
    <w:p>
      <w:pPr>
        <w:spacing w:before="0" w:after="80"/>
      </w:pPr>
      <w:r>
        <w:rPr>
          <w:i/>
          <w:sz w:val="20"/>
        </w:rPr>
        <w:t>EN: Targeting XIAP-coordinated PKC signaling resensitizes PD-1-refractory tumors for rechallenge</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36">
        <w:r>
          <w:rPr>
            <w:color w:val="1155CC"/>
            <w:u w:val="single"/>
          </w:rPr>
          <w:t>10.1073/pnas.2600501123</w:t>
        </w:r>
      </w:hyperlink>
    </w:p>
    <w:p>
      <w:pPr>
        <w:spacing w:before="0" w:after="120"/>
      </w:pPr>
      <w:r>
        <w:rPr>
          <w:b/>
        </w:rPr>
        <w:t xml:space="preserve">Notes: </w:t>
      </w:r>
      <w:r>
        <w:t>abstract_source=crossref</w:t>
      </w:r>
    </w:p>
    <w:p>
      <w:pPr>
        <w:spacing w:before="0" w:after="80" w:lineRule="auto" w:line="276"/>
      </w:pPr>
      <w:r>
        <w:rPr>
          <w:b/>
        </w:rPr>
        <w:t xml:space="preserve">摘要（ZH）: </w:t>
      </w:r>
      <w:r>
        <w:t>尽管彻底改变了肿瘤学，但 PD-1/PD-L1 导向的免疫检查点阻断 (ICB) 仍受到原发性或获得性耐药的限制，而这些耐药通常通过经验性的再挑战来对抗（机制不清楚）。在这里，我们将基于底物的蛋白激酶 C (PKC) 活性确定为非小细胞肺癌的预后生物标志物和抗 PD-1 难治性肿瘤的治疗靶点。 Pan-PKC 抑制通过诱导 Caspase-3/GSDME 依赖性免疫原性焦亡细胞死亡、通过 GSK3β 激活促进肿瘤内在 PD-L1 降解以及增强 CD8 来克服抗 PD-1 耐药性</w:t>
      </w:r>
      <w:r>
        <w:t xml:space="preserve"> </w:t>
      </w:r>
      <w:r>
        <w:t>+</w:t>
      </w:r>
      <w:r>
        <w:t xml:space="preserve"> </w:t>
      </w:r>
      <w:r>
        <w:t>通过肿瘤衍生的 CCL4-CCR5 信号传导 T 细胞招募和效应器功能。从机制上讲，PKC 阻断会破坏 XIAP 的稳定性，缓解 caspase 抑制，稳定 PTEN，并抑制 Wnt/β-Catenin-ATF3 信号传导以驱动 CCL4 表达。在耐药模型中，PKC 抑制与抗 CTLA-4 的协同作用比与抗 PD-1/PD-L1 的协同作用更有效，这与瘤内调节性 T 细胞的减少和 CD8 的增强有关</w:t>
      </w:r>
      <w:r>
        <w:t xml:space="preserve"> </w:t>
      </w:r>
      <w:r>
        <w:t>+</w:t>
      </w:r>
      <w:r>
        <w:t xml:space="preserve"> </w:t>
      </w:r>
      <w:r>
        <w:t>T 细胞效应功能。这些发现将 PKC-XIAP 轴定义为免疫抵​​抗的中心调节因子，并为 PKC 抑制加上抗 CTLA-4 作为 ICB 难治性癌症的挽救策略提供了机制原理。</w:t>
      </w:r>
    </w:p>
    <w:p>
      <w:pPr>
        <w:spacing w:before="0" w:after="200" w:lineRule="auto" w:line="276"/>
      </w:pPr>
      <w:r>
        <w:rPr>
          <w:b/>
        </w:rPr>
        <w:t xml:space="preserve">Abstract (EN): </w:t>
      </w:r>
      <w:r>
        <w:t>Despite revolutionizing oncology, PD-1/PD-L1-directed immune-checkpoint blockade (ICB) is limited by primary or acquired resistance that is routinely countered—without mechanistic clarity—by empiric rechallenge. Here, we identify substrate-based protein kinase C (PKC) activity as a prognostic biomarker in non-small cell lung cancer and a therapeutic target in anti-PD-1-refractory tumors. Pan-PKC inhibition overcomes anti-PD-1 resistance by inducing Caspase-3/GSDME-dependent immunogenic pyroptotic cell death, promoting tumor-intrinsic PD-L1 degradation via GSK3β activation, and enhancing CD8</w:t>
      </w:r>
      <w:r>
        <w:t xml:space="preserve"> </w:t>
      </w:r>
      <w:r>
        <w:t>+</w:t>
      </w:r>
      <w:r>
        <w:t xml:space="preserve"> </w:t>
      </w:r>
      <w:r>
        <w:t>T cell recruitment and effector function through tumor-derived CCL4–CCR5 signaling. Mechanistically, PKC blockade destabilizes XIAP, relieving caspase inhibition, stabilizing PTEN, and suppressing Wnt/β-Catenin-ATF3 signaling to drive CCL4 expression. In resistant models, PKC inhibition synergizes more effectively with anti-CTLA-4 than with anti-PD-1/PD-L1, in association with reduced intratumoral regulatory T cells and reinforcement of CD8</w:t>
      </w:r>
      <w:r>
        <w:t xml:space="preserve"> </w:t>
      </w:r>
      <w:r>
        <w:t>+</w:t>
      </w:r>
      <w:r>
        <w:t xml:space="preserve"> </w:t>
      </w:r>
      <w:r>
        <w:t>T cell effector function. These findings define the PKC–XIAP axis as a central regulator of immune resistance and provide a mechanistic rationale for PKC inhibition plus anti-CTLA-4 as a salvage strategy in ICB-refractory cancers.</w:t>
      </w:r>
    </w:p>
    <w:p>
      <w:pPr>
        <w:spacing w:before="120" w:after="120"/>
      </w:pPr>
      <w:r>
        <w:rPr>
          <w:sz w:val="18"/>
        </w:rPr>
        <w:t>——————————————————————————————————————————————————————————————————————</w:t>
      </w:r>
    </w:p>
    <w:p>
      <w:pPr>
        <w:spacing w:before="160" w:after="40" w:line="240" w:lineRule="auto"/>
      </w:pPr>
      <w:r>
        <w:rPr>
          <w:b/>
        </w:rPr>
        <w:t xml:space="preserve">[377] </w:t>
      </w:r>
      <w:hyperlink r:id="rId937">
        <w:r>
          <w:rPr>
            <w:color w:val="1155CC"/>
            <w:u w:val="single"/>
          </w:rPr>
          <w:t>猕猴大脑中参考系的视图和位置编码的同步转换</w:t>
        </w:r>
      </w:hyperlink>
    </w:p>
    <w:p>
      <w:pPr>
        <w:spacing w:before="0" w:after="80"/>
      </w:pPr>
      <w:r>
        <w:rPr>
          <w:i/>
          <w:sz w:val="20"/>
        </w:rPr>
        <w:t>EN: Simultaneous transformations of view and place coding across reference frames in the macaque brain</w:t>
      </w:r>
    </w:p>
    <w:p>
      <w:pPr>
        <w:spacing w:before="0" w:after="120"/>
      </w:pPr>
      <w:r>
        <w:rPr>
          <w:b/>
        </w:rPr>
        <w:t xml:space="preserve">Source: </w:t>
      </w:r>
      <w:r>
        <w:t>Proceedings of the National Academy of Sciences: Keyword search for query</w:t>
      </w:r>
      <w:r>
        <w:t xml:space="preserve">    </w:t>
      </w:r>
      <w:r>
        <w:rPr>
          <w:b/>
        </w:rPr>
        <w:t xml:space="preserve">Pub date: </w:t>
      </w:r>
      <w:r>
        <w:t>2026-06-03 07:00:00+00:00</w:t>
      </w:r>
      <w:r>
        <w:t xml:space="preserve">    </w:t>
      </w:r>
      <w:r>
        <w:rPr>
          <w:b/>
        </w:rPr>
        <w:t xml:space="preserve">DOI: </w:t>
      </w:r>
      <w:hyperlink r:id="rId938">
        <w:r>
          <w:rPr>
            <w:color w:val="1155CC"/>
            <w:u w:val="single"/>
          </w:rPr>
          <w:t>10.1073/pnas.2530923123</w:t>
        </w:r>
      </w:hyperlink>
    </w:p>
    <w:p>
      <w:pPr>
        <w:spacing w:before="0" w:after="120"/>
      </w:pPr>
      <w:r>
        <w:rPr>
          <w:b/>
        </w:rPr>
        <w:t xml:space="preserve">Notes: </w:t>
      </w:r>
      <w:r>
        <w:t>abstract_source=crossref</w:t>
      </w:r>
    </w:p>
    <w:p>
      <w:pPr>
        <w:spacing w:before="0" w:after="80" w:lineRule="auto" w:line="276"/>
      </w:pPr>
      <w:r>
        <w:rPr>
          <w:b/>
        </w:rPr>
        <w:t xml:space="preserve">摘要（ZH）: </w:t>
      </w:r>
      <w:r>
        <w:t>视觉使灵长类动物能够使用眼球运动而不是身体运动来远程绘制其环境。虽然与视图相关的空间编码在灵长类海马体中普遍存在，但其起源以及与标准位置编码的精确关系仍然很大程度上未知。利用不受束缚的神经记录、动作捕捉和无线眼动追踪，我们检查了猕猴自由探索开放场地时沿着顶叶-压后-海马通路的视图和位置编码。我们确定了这条路径中自我中心和异中心空间编码的相反梯度。作为关键的中间枢纽，压后皮层通过增益调制联合编码自我中心位置和异中心凝视方向。再往下游，海马体表现出方向依赖性和方向不变的位置编码。值得注意的是，视线反应比地点选择性更为普遍，并且明显受到注视方向变化的驱动和调节。最终，我们的研究结果表明，视图和地点编码在灵长类海马体内不同程度地积极共存。这些结果进一步表明，这种复杂的视图表示是由压后皮层内不同空间参考系的整合产生的。</w:t>
      </w:r>
    </w:p>
    <w:p>
      <w:pPr>
        <w:spacing w:before="0" w:after="200" w:lineRule="auto" w:line="276"/>
      </w:pPr>
      <w:r>
        <w:rPr>
          <w:b/>
        </w:rPr>
        <w:t xml:space="preserve">Abstract (EN): </w:t>
      </w:r>
      <w:r>
        <w:t>Vision enables primates to remotely map their environment using eye movements rather than physical locomotion. While view-related spatial coding is prevalent in the primate hippocampus, its origin and precise relationship to standard place coding remain largely unknown. Leveraging untethered neural recording, motion capture, and wireless eye tracking, we examined view and place coding along the parietal–retrosplenial–hippocampal pathway in macaque monkeys freely exploring an open arena. We identified opposing gradients of egocentric and allocentric spatial coding across this pathway. Acting as a critical intermediate hub, the retrosplenial cortex conjunctively encoded egocentric position and allocentric gaze direction through gain modulation. Further downstream, the hippocampus exhibited both direction-dependent and direction-invariant place coding. Notably, view responses were much more prevalent than this place selectivity and were distinctly driven and modulated by shifting gaze directions. Ultimately, our findings establish that view and place coding actively coexist to varying degrees within the primate hippocampus. These results further reveal that such complex view representations emerge from the integration of distinct spatial reference frames within the retrosplenial cortex.</w:t>
      </w:r>
    </w:p>
    <w:p>
      <w:pPr>
        <w:spacing w:before="120" w:after="120"/>
      </w:pPr>
      <w:r>
        <w:rPr>
          <w:sz w:val="18"/>
        </w:rPr>
        <w:t>——————————————————————————————————————————————————————————————————————</w:t>
      </w:r>
    </w:p>
    <w:p>
      <w:pPr>
        <w:spacing w:before="160" w:after="40" w:line="240" w:lineRule="auto"/>
      </w:pPr>
      <w:r>
        <w:rPr>
          <w:b/>
        </w:rPr>
        <w:t xml:space="preserve">[378] </w:t>
      </w:r>
      <w:hyperlink r:id="rId939">
        <w:r>
          <w:rPr>
            <w:color w:val="1155CC"/>
            <w:u w:val="single"/>
          </w:rPr>
          <w:t>通过双铬催化对醛进行对映选择性乙烯基自由基加成</w:t>
        </w:r>
      </w:hyperlink>
    </w:p>
    <w:p>
      <w:pPr>
        <w:spacing w:before="0" w:after="80"/>
      </w:pPr>
      <w:r>
        <w:rPr>
          <w:i/>
          <w:sz w:val="20"/>
        </w:rPr>
        <w:t>EN: Enantioselective Vinyl Radical Addition to Aldehydes via Dual Chromium Catalysis</w:t>
      </w:r>
    </w:p>
    <w:p>
      <w:pPr>
        <w:spacing w:before="0" w:after="120"/>
      </w:pPr>
      <w:r>
        <w:rPr>
          <w:b/>
        </w:rPr>
        <w:t xml:space="preserve">Source: </w:t>
      </w:r>
      <w:r>
        <w:t>Wiley: Angewandte Chemie International Edition: Table of Contents</w:t>
      </w:r>
      <w:r>
        <w:t xml:space="preserve">    </w:t>
      </w:r>
      <w:r>
        <w:rPr>
          <w:b/>
        </w:rPr>
        <w:t xml:space="preserve">Pub date: </w:t>
      </w:r>
      <w:r>
        <w:t>2026-06-03 07:00:41+00:00</w:t>
      </w:r>
      <w:r>
        <w:t xml:space="preserve">    </w:t>
      </w:r>
      <w:r>
        <w:rPr>
          <w:b/>
        </w:rPr>
        <w:t xml:space="preserve">DOI: </w:t>
      </w:r>
      <w:hyperlink r:id="rId940">
        <w:r>
          <w:rPr>
            <w:color w:val="1155CC"/>
            <w:u w:val="single"/>
          </w:rPr>
          <w:t>10.1002/anie.7450561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自由基介导的转化中实现立体控制仍然是一个基本挑战，高反应性乙烯基自由基的对映选择性操纵尤其难以捉摸。在这里，我们报告了一种双催化系统，该系统将手性铬催化与有机光氧化还原催化协同结合以应对这一挑战。该平台能够实现炔烃的三组分对映选择性 1,2-二烷基化，直接将简单的烷基自由基前体、炔烃和醛转化为轴向手性烯丙醇，具有高效率、非对映选择性（高达 &gt;20:1 dr）和对映选择性（高达 99% ee）。初步的机理和计算研究支持涉及光氧化还原产生的自由基级联的机制，其中瞬态乙烯基自由基实现了由手性铬催化剂控制的高度立体选择性的羰基加成。这项工作为轴向和中心手性的同时构建建立了一种独特的基于自由基的断开，为经典的野崎-桧山-岸反应提供了催化和立体控制的替代方案，并为对映选择性自由基化学开辟了新的途径。</w:t>
      </w:r>
    </w:p>
    <w:p>
      <w:pPr>
        <w:spacing w:before="0" w:after="200" w:lineRule="auto" w:line="276"/>
      </w:pPr>
      <w:r>
        <w:rPr>
          <w:b/>
        </w:rPr>
        <w:t xml:space="preserve">Abstract (EN): </w:t>
      </w:r>
      <w:r>
        <w:t>Achieving stereocontrol in radical‐mediated transformations remains a fundamental challenge, with the enantioselective manipulation of highly reactive vinyl radicals being particularly elusive. Here, we report a dual catalytic system that synergistically merges chiral chromium catalysis with organophotoredox catalysis to address this challenge. This platform enables a three‐component, enantioselective 1,2‐dialkylation of alkynes, directly converting simple alkyl radical precursors, alkynes, and aldehydes into axially chiral allylic alcohols with high efficiency, diastereoselectivity (up to &amp;gt;20:1 dr), and enantioselectivity (up to 99% ee). Preliminary mechanistic and computational studies support a mechanism involving a photoredox‐generated radical cascade, wherein a transient vinyl radical achieves a highly stereoselective carbonyl addition controlled by a chiral chromium catalyst. This work establishes a distinct radical‐based disconnection for the concurrent construction of axial and central chirality, providing a catalytic and stereocontrolled alternative to the classical Nozaki–Hiyama–Kishi reaction and opening new avenues for enantioselective radical chemistry.</w:t>
      </w:r>
    </w:p>
    <w:p>
      <w:pPr>
        <w:spacing w:before="120" w:after="120"/>
      </w:pPr>
      <w:r>
        <w:rPr>
          <w:sz w:val="18"/>
        </w:rPr>
        <w:t>——————————————————————————————————————————————————————————————————————</w:t>
      </w:r>
    </w:p>
    <w:p>
      <w:pPr>
        <w:spacing w:before="160" w:after="40" w:line="240" w:lineRule="auto"/>
      </w:pPr>
      <w:r>
        <w:rPr>
          <w:b/>
        </w:rPr>
        <w:t xml:space="preserve">[379] </w:t>
      </w:r>
      <w:hyperlink r:id="rId941">
        <w:r>
          <w:rPr>
            <w:color w:val="1155CC"/>
            <w:u w:val="single"/>
          </w:rPr>
          <w:t>铜催化氨基转移介导的去硼化用于手性酯的合成</w:t>
        </w:r>
      </w:hyperlink>
    </w:p>
    <w:p>
      <w:pPr>
        <w:spacing w:before="0" w:after="80"/>
      </w:pPr>
      <w:r>
        <w:rPr>
          <w:i/>
          <w:sz w:val="20"/>
        </w:rPr>
        <w:t>EN: Copper‐Catalyzed Amino Radical Transfer‐Mediated Deborylation for Chiral Ester Synthesis</w:t>
      </w:r>
    </w:p>
    <w:p>
      <w:pPr>
        <w:spacing w:before="0" w:after="120"/>
      </w:pPr>
      <w:r>
        <w:rPr>
          <w:b/>
        </w:rPr>
        <w:t xml:space="preserve">Source: </w:t>
      </w:r>
      <w:r>
        <w:t>Wiley: Angewandte Chemie International Edition: Table of Contents</w:t>
      </w:r>
      <w:r>
        <w:t xml:space="preserve">    </w:t>
      </w:r>
      <w:r>
        <w:rPr>
          <w:b/>
        </w:rPr>
        <w:t xml:space="preserve">Pub date: </w:t>
      </w:r>
      <w:r>
        <w:t>2026-06-03 07:02:18+00:00</w:t>
      </w:r>
      <w:r>
        <w:t xml:space="preserve">    </w:t>
      </w:r>
      <w:r>
        <w:rPr>
          <w:b/>
        </w:rPr>
        <w:t xml:space="preserve">DOI: </w:t>
      </w:r>
      <w:hyperlink r:id="rId942">
        <w:r>
          <w:rPr>
            <w:color w:val="1155CC"/>
            <w:u w:val="single"/>
          </w:rPr>
          <w:t>10.1002/anie.6992175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活化烷基硼频哪醇酯（APE）的不对称官能化是一个长期的挑战，因为它们对传统双电子转移金属化途径具有内在惰性，并且难以实现对碳中心自由基的精确立体化学控制。在此，我们报道了通过氨基自由基转移（ART）实现的铜催化的不对称脱硼自由基偶联。通过使用氨基苯甲酸酯作为双功能试剂，同时充当氨基自由基前体来触发 ART 介导的均裂 C(sp</w:t>
      </w:r>
      <w:r>
        <w:rPr>
          <w:vertAlign w:val="subscript"/>
        </w:rPr>
        <w:t>3</w:t>
      </w:r>
      <w:r>
        <w:t>)–B 键断裂，并且作为氧亲核试剂，这种三组分转化能够实现 APE 与共轭二烯的对映选择性偶联。该方法可提供结构多样的手性烯丙酯，具有优异的对映选择性（高达 99% ee）。此外，该协议能够实现天然产物的简洁形式合成以及具有精确三维结构的手性电离脂质的模块化结构。这些脂质实现了增强的器官选择性 mRNA 递送，表现出肝外靶向性，并且对脾脏的偏好有所改善。值得注意的是，这项工作建立了一个多功能催化平台，可将实验室稳定的 APE 原料转化为含氧手性分子，促进组织特异性遗传药物的开发。</w:t>
      </w:r>
    </w:p>
    <w:p>
      <w:pPr>
        <w:spacing w:before="0" w:after="200" w:lineRule="auto" w:line="276"/>
      </w:pPr>
      <w:r>
        <w:rPr>
          <w:b/>
        </w:rPr>
        <w:t xml:space="preserve">Abstract (EN): </w:t>
      </w:r>
      <w:r>
        <w:t>The asymmetric functionalization of nonactivated alkylboronic pinacol esters (APEs) represents a longstanding challenge, owing to their intrinsic inertness toward conventional two‐electron transmetalation pathways and the difficulty in achieving precise stereochemical control over carbon‐centered radicals. Herein, we report a copper‐catalyzed asymmetric deborylative radical coupling enabled by amino radical transfer (ART). By employing aminobenzoates as dual‐function reagents, acting both as aminyl radical precursors to trigger ART‐mediated homolytic C(sp</w:t>
      </w:r>
      <w:r>
        <w:rPr>
          <w:vertAlign w:val="subscript"/>
        </w:rPr>
        <w:t>3</w:t>
      </w:r>
      <w:r>
        <w:t>)–B bond cleavage and as oxygen nucleophiles, this three‐component transformation enables enantioselective coupling of APEs with conjugated dienes. The method delivers structurally diverse chiral allylic esters with excellent enantioselectivities (up to 99% ee). Furthermore, this protocol enables the concise formal synthesis of natural products and the modular construction of chiral ionizable lipids with precise three‐dimensional architectures. These lipids achieve enhanced organ‐selective mRNA delivery, exhibiting extrahepatic targeting with an improved preference for the spleen. Notably, this work establishes a versatile catalytic platform for transforming bench‐stable APEs feedstocks into oxygen‐containing chiral molecules, facilitating the development of tissue‐specific genetic medicines.</w:t>
      </w:r>
    </w:p>
    <w:p>
      <w:pPr>
        <w:spacing w:before="120" w:after="120"/>
      </w:pPr>
      <w:r>
        <w:rPr>
          <w:sz w:val="18"/>
        </w:rPr>
        <w:t>——————————————————————————————————————————————————————————————————————</w:t>
      </w:r>
    </w:p>
    <w:p>
      <w:pPr>
        <w:spacing w:before="160" w:after="40" w:line="240" w:lineRule="auto"/>
      </w:pPr>
      <w:r>
        <w:rPr>
          <w:b/>
        </w:rPr>
        <w:t xml:space="preserve">[380] </w:t>
      </w:r>
      <w:hyperlink r:id="rId943">
        <w:r>
          <w:rPr>
            <w:color w:val="1155CC"/>
            <w:u w:val="single"/>
          </w:rPr>
          <w:t>重新设想德梅奥反应：硼启用的环加成方法</w:t>
        </w:r>
      </w:hyperlink>
    </w:p>
    <w:p>
      <w:pPr>
        <w:spacing w:before="0" w:after="80"/>
      </w:pPr>
      <w:r>
        <w:rPr>
          <w:i/>
          <w:sz w:val="20"/>
        </w:rPr>
        <w:t>EN: Reenvisioning the De Mayo Reaction: A Boron‐Enabled Cycloaddition Approach</w:t>
      </w:r>
    </w:p>
    <w:p>
      <w:pPr>
        <w:spacing w:before="0" w:after="120"/>
      </w:pPr>
      <w:r>
        <w:rPr>
          <w:b/>
        </w:rPr>
        <w:t xml:space="preserve">Source: </w:t>
      </w:r>
      <w:r>
        <w:t>Wiley: Angewandte Chemie International Edition: Table of Contents</w:t>
      </w:r>
      <w:r>
        <w:t xml:space="preserve">    </w:t>
      </w:r>
      <w:r>
        <w:rPr>
          <w:b/>
        </w:rPr>
        <w:t xml:space="preserve">Pub date: </w:t>
      </w:r>
      <w:r>
        <w:t>2026-06-03 07:05:33+00:00</w:t>
      </w:r>
      <w:r>
        <w:t xml:space="preserve">    </w:t>
      </w:r>
      <w:r>
        <w:rPr>
          <w:b/>
        </w:rPr>
        <w:t xml:space="preserve">DOI: </w:t>
      </w:r>
      <w:hyperlink r:id="rId944">
        <w:r>
          <w:rPr>
            <w:color w:val="1155CC"/>
            <w:u w:val="single"/>
          </w:rPr>
          <w:t>10.1002/anie.202525317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De Mayo 反应是化学合成中的一种既定工艺，用于在某些情况下合成 1,5-二羰基或环丁醇。在此，我们提出了一种重新修订的方法，利用烯基硼酸酯作为 1,3-二羰基的替代物。该工艺允许延迟控制合成传统的 De Mayo 产品。还演示了产品中 C─B 键的精细化。该研究的一个关键方面是鉴定刚性氧硼环作为允许双分子环加成发生的关键中间体。提供了机理实验来阐明螯合物的重要性。</w:t>
      </w:r>
    </w:p>
    <w:p>
      <w:pPr>
        <w:spacing w:before="0" w:after="200" w:lineRule="auto" w:line="276"/>
      </w:pPr>
      <w:r>
        <w:rPr>
          <w:b/>
        </w:rPr>
        <w:t xml:space="preserve">Abstract (EN): </w:t>
      </w:r>
      <w:r>
        <w:t>The De Mayo reaction is an established process in chemical synthesis for the synthesis of 1,5‐dicarbonyls or cyclobutanols in selected cases. Herein, we present a reevisioned approach that utilizes alkenylboronates as surrogates for 1,3‐dicarbonyls. The process allows for delayed controlled synthesis of the traditional De Mayo products. Elaboration of the C─B bond in the product was also demonstrated. A key aspect of the study is the identification of a rigid oxy‐boracycle as a key intermediate to allow for bimolecular cycloaddition to occur. Mechanistic experiments are provided to clarify the importance of the chelate.</w:t>
      </w:r>
    </w:p>
    <w:p>
      <w:pPr>
        <w:spacing w:before="120" w:after="120"/>
      </w:pPr>
      <w:r>
        <w:rPr>
          <w:sz w:val="18"/>
        </w:rPr>
        <w:t>——————————————————————————————————————————————————————————————————————</w:t>
      </w:r>
    </w:p>
    <w:p>
      <w:pPr>
        <w:spacing w:before="160" w:after="40" w:line="240" w:lineRule="auto"/>
      </w:pPr>
      <w:r>
        <w:rPr>
          <w:b/>
        </w:rPr>
        <w:t xml:space="preserve">[381] </w:t>
      </w:r>
      <w:hyperlink r:id="rId945">
        <w:r>
          <w:rPr>
            <w:color w:val="1155CC"/>
            <w:u w:val="single"/>
          </w:rPr>
          <w:t>具有大量π重叠的双扭曲分子纳米碳：轻松合成、手性拆分和全空间电子耦合</w:t>
        </w:r>
      </w:hyperlink>
    </w:p>
    <w:p>
      <w:pPr>
        <w:spacing w:before="0" w:after="80"/>
      </w:pPr>
      <w:r>
        <w:rPr>
          <w:i/>
          <w:sz w:val="20"/>
        </w:rPr>
        <w:t>EN: A Doubly Twisted Molecular Nanocarbon With Substantial π‐Overlap: Facile Synthesis, Chiral Resolution, and Through‐Space Electronic Coupling</w:t>
      </w:r>
    </w:p>
    <w:p>
      <w:pPr>
        <w:spacing w:before="0" w:after="120"/>
      </w:pPr>
      <w:r>
        <w:rPr>
          <w:b/>
        </w:rPr>
        <w:t xml:space="preserve">Source: </w:t>
      </w:r>
      <w:r>
        <w:t>Wiley: Angewandte Chemie International Edition: Table of Contents</w:t>
      </w:r>
      <w:r>
        <w:t xml:space="preserve">    </w:t>
      </w:r>
      <w:r>
        <w:rPr>
          <w:b/>
        </w:rPr>
        <w:t xml:space="preserve">Pub date: </w:t>
      </w:r>
      <w:r>
        <w:t>2026-06-03 07:07:57+00:00</w:t>
      </w:r>
      <w:r>
        <w:t xml:space="preserve">    </w:t>
      </w:r>
      <w:r>
        <w:rPr>
          <w:b/>
        </w:rPr>
        <w:t xml:space="preserve">DOI: </w:t>
      </w:r>
      <w:hyperlink r:id="rId946">
        <w:r>
          <w:rPr>
            <w:color w:val="1155CC"/>
            <w:u w:val="single"/>
          </w:rPr>
          <w:t>10.1002/anie.5579143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扭曲分子纳米碳（TMNC）因其持久的手性和潜在的空间电子相互作用而成为有吸引力的目标，而这些在很大程度上仍未被揭示。在此，我们报告了八字形 TMNC 的有效合成</w:t>
      </w:r>
      <w:r>
        <w:rPr>
          <w:vertAlign w:val="subscript"/>
        </w:rPr>
        <w:t>1</w:t>
      </w:r>
      <w:r>
        <w:t>通过使用定量的四重区域选择性 Scholl 反应，具有大量的 π 重叠。的（</w:t>
      </w:r>
      <w:r>
        <w:t xml:space="preserve"> </w:t>
      </w:r>
      <w:r>
        <w:t>磷,磷</w:t>
      </w:r>
      <w:r>
        <w:t xml:space="preserve"> </w:t>
      </w:r>
      <w:r>
        <w:t>)- 和 (</w:t>
      </w:r>
      <w:r>
        <w:t xml:space="preserve"> </w:t>
      </w:r>
      <w:r>
        <w:t>米,米</w:t>
      </w:r>
      <w:r>
        <w:t xml:space="preserve"> </w:t>
      </w:r>
      <w:r>
        <w:t>)‐ 对映异构体可以通过制备型 TLC 板轻松分离，从而在适度的不对称因素下实现持久的手性光学特性 (|g</w:t>
      </w:r>
      <w:r>
        <w:t xml:space="preserve"> </w:t>
      </w:r>
      <w:r>
        <w:t>腹肌</w:t>
      </w:r>
      <w:r>
        <w:t xml:space="preserve"> </w:t>
      </w:r>
      <w:r>
        <w:t>| = 3.5 × 10</w:t>
      </w:r>
      <w:r>
        <w:t xml:space="preserve"> </w:t>
      </w:r>
      <w:r>
        <w:t>−3</w:t>
      </w:r>
      <w:r>
        <w:t xml:space="preserve"> </w:t>
      </w:r>
      <w:r>
        <w:t>和 |g</w:t>
      </w:r>
      <w:r>
        <w:t xml:space="preserve"> </w:t>
      </w:r>
      <w:r>
        <w:t>卢姆</w:t>
      </w:r>
      <w:r>
        <w:t xml:space="preserve"> </w:t>
      </w:r>
      <w:r>
        <w:t>| = 8.1 × 10</w:t>
      </w:r>
      <w:r>
        <w:t xml:space="preserve"> </w:t>
      </w:r>
      <w:r>
        <w:t>−3</w:t>
      </w:r>
      <w:r>
        <w:t xml:space="preserve"> </w:t>
      </w:r>
      <w:r>
        <w:t>）。晶体学分析揭示了 TMNC 的压缩丘系支架</w:t>
      </w:r>
      <w:r>
        <w:rPr>
          <w:vertAlign w:val="subscript"/>
        </w:rPr>
        <w:t>1</w:t>
      </w:r>
      <w:r>
        <w:t>具有紧密的分子内 π-π 接触 (2.887–3.386 Å)。外消旋晶体通过 C–H·π 相互作用堆积，而对映体纯（</w:t>
      </w:r>
      <w:r>
        <w:t xml:space="preserve"> </w:t>
      </w:r>
      <w:r>
        <w:t>米,米</w:t>
      </w:r>
      <w:r>
        <w:t xml:space="preserve"> </w:t>
      </w:r>
      <w:r>
        <w:t>)‐</w:t>
      </w:r>
      <w:r>
        <w:rPr>
          <w:vertAlign w:val="subscript"/>
        </w:rPr>
        <w:t>1</w:t>
      </w:r>
      <w:r>
        <w:t>形成紧密堆积的π二聚体。值得注意的是，指示</w:t>
      </w:r>
      <w:r>
        <w:t xml:space="preserve"> </w:t>
      </w:r>
      <w:r>
        <w:rPr>
          <w:vertAlign w:val="subscript"/>
        </w:rPr>
        <w:t>1</w:t>
      </w:r>
      <w:r>
        <w:t>2+</w:t>
      </w:r>
      <w:r>
        <w:t xml:space="preserve"> </w:t>
      </w:r>
      <w:r>
        <w:t>重叠芘单元之间表现出明显的自旋极化和空间电子相互作用，表现出特征性的空间芳香性。这项工作建立了一个多功能平台</w:t>
      </w:r>
    </w:p>
    <w:p>
      <w:pPr>
        <w:spacing w:before="0" w:after="200" w:lineRule="auto" w:line="276"/>
      </w:pPr>
      <w:r>
        <w:rPr>
          <w:b/>
        </w:rPr>
        <w:t xml:space="preserve">Abstract (EN): </w:t>
      </w:r>
      <w:r>
        <w:t>Twisted molecular nanocarbons (TMNCs) represent attractive targets due to their persistent chirality and potential through‐space electronic interactions, which remain largely unrevealed. Herein we report an efficient synthesis of a figure‐eight TMNC</w:t>
      </w:r>
      <w:r>
        <w:rPr>
          <w:vertAlign w:val="subscript"/>
        </w:rPr>
        <w:t>1</w:t>
      </w:r>
      <w:r>
        <w:t>with substantial π‐overlap, by using a quantitative, four‐fold regioselective Scholl reaction. The (</w:t>
      </w:r>
      <w:r>
        <w:t xml:space="preserve"> </w:t>
      </w:r>
      <w:r>
        <w:t>P,P</w:t>
      </w:r>
      <w:r>
        <w:t xml:space="preserve"> </w:t>
      </w:r>
      <w:r>
        <w:t>)‐ and (</w:t>
      </w:r>
      <w:r>
        <w:t xml:space="preserve"> </w:t>
      </w:r>
      <w:r>
        <w:t>M,M</w:t>
      </w:r>
      <w:r>
        <w:t xml:space="preserve"> </w:t>
      </w:r>
      <w:r>
        <w:t>)‐ enantiomers can be readily separated by preparative TLC plate, enabling persistent chiroptical properties with moderate dissymmetric factors (|g</w:t>
      </w:r>
      <w:r>
        <w:t xml:space="preserve"> </w:t>
      </w:r>
      <w:r>
        <w:t>abs</w:t>
      </w:r>
      <w:r>
        <w:t xml:space="preserve"> </w:t>
      </w:r>
      <w:r>
        <w:t>| = 3.5 × 10</w:t>
      </w:r>
      <w:r>
        <w:t xml:space="preserve"> </w:t>
      </w:r>
      <w:r>
        <w:t>−3</w:t>
      </w:r>
      <w:r>
        <w:t xml:space="preserve"> </w:t>
      </w:r>
      <w:r>
        <w:t>and |g</w:t>
      </w:r>
      <w:r>
        <w:t xml:space="preserve"> </w:t>
      </w:r>
      <w:r>
        <w:t>lum</w:t>
      </w:r>
      <w:r>
        <w:t xml:space="preserve"> </w:t>
      </w:r>
      <w:r>
        <w:t>| = 8.1 × 10</w:t>
      </w:r>
      <w:r>
        <w:t xml:space="preserve"> </w:t>
      </w:r>
      <w:r>
        <w:t>−3</w:t>
      </w:r>
      <w:r>
        <w:t xml:space="preserve"> </w:t>
      </w:r>
      <w:r>
        <w:t>). Crystallographic analysis reveals a compressed lemniscular scaffold of TMNC</w:t>
      </w:r>
      <w:r>
        <w:rPr>
          <w:vertAlign w:val="subscript"/>
        </w:rPr>
        <w:t>1</w:t>
      </w:r>
      <w:r>
        <w:t>with close intramolecular π–π contacts (2.887–3.386 Å). Racemic crystals pack via C–H···π interactions, whereas enantiopure (</w:t>
      </w:r>
      <w:r>
        <w:t xml:space="preserve"> </w:t>
      </w:r>
      <w:r>
        <w:t>M,M</w:t>
      </w:r>
      <w:r>
        <w:t xml:space="preserve"> </w:t>
      </w:r>
      <w:r>
        <w:t>)‐</w:t>
      </w:r>
      <w:r>
        <w:rPr>
          <w:vertAlign w:val="subscript"/>
        </w:rPr>
        <w:t>1</w:t>
      </w:r>
      <w:r>
        <w:t>form tightly stacked π‐dimers. Notably, the dication</w:t>
      </w:r>
      <w:r>
        <w:t xml:space="preserve"> </w:t>
      </w:r>
      <w:r>
        <w:rPr>
          <w:vertAlign w:val="subscript"/>
        </w:rPr>
        <w:t>1</w:t>
      </w:r>
      <w:r>
        <w:t>2+</w:t>
      </w:r>
      <w:r>
        <w:t xml:space="preserve"> </w:t>
      </w:r>
      <w:r>
        <w:t>exhibits pronounced spin polarization and through‐space electronic interactions between the overlapped pyrene units, manifesting characteristic spatial aromaticity. This work establishes a versatile platform for exploring through‐space electronic communication in topological nanocarbons.</w:t>
      </w:r>
    </w:p>
    <w:p>
      <w:pPr>
        <w:spacing w:before="120" w:after="120"/>
      </w:pPr>
      <w:r>
        <w:rPr>
          <w:sz w:val="18"/>
        </w:rPr>
        <w:t>——————————————————————————————————————————————————————————————————————</w:t>
      </w:r>
    </w:p>
    <w:p>
      <w:pPr>
        <w:spacing w:before="160" w:after="40" w:line="240" w:lineRule="auto"/>
      </w:pPr>
      <w:r>
        <w:rPr>
          <w:b/>
        </w:rPr>
        <w:t xml:space="preserve">[382] </w:t>
      </w:r>
      <w:hyperlink r:id="rId947">
        <w:r>
          <w:rPr>
            <w:color w:val="1155CC"/>
            <w:u w:val="single"/>
          </w:rPr>
          <w:t>结晶且热稳定的硒代半胱氨酸硒酸</w:t>
        </w:r>
      </w:hyperlink>
    </w:p>
    <w:p>
      <w:pPr>
        <w:spacing w:before="0" w:after="80"/>
      </w:pPr>
      <w:r>
        <w:rPr>
          <w:i/>
          <w:sz w:val="20"/>
        </w:rPr>
        <w:t>EN: A Crystalline and Thermally Stable Selenocysteine Selenenic Acid</w:t>
      </w:r>
    </w:p>
    <w:p>
      <w:pPr>
        <w:spacing w:before="0" w:after="120"/>
      </w:pPr>
      <w:r>
        <w:rPr>
          <w:b/>
        </w:rPr>
        <w:t xml:space="preserve">Source: </w:t>
      </w:r>
      <w:r>
        <w:t>Wiley: Angewandte Chemie International Edition: Table of Contents</w:t>
      </w:r>
      <w:r>
        <w:t xml:space="preserve">    </w:t>
      </w:r>
      <w:r>
        <w:rPr>
          <w:b/>
        </w:rPr>
        <w:t xml:space="preserve">Pub date: </w:t>
      </w:r>
      <w:r>
        <w:t>2026-06-03 07:08:40+00:00</w:t>
      </w:r>
      <w:r>
        <w:t xml:space="preserve">    </w:t>
      </w:r>
      <w:r>
        <w:rPr>
          <w:b/>
        </w:rPr>
        <w:t xml:space="preserve">DOI: </w:t>
      </w:r>
      <w:hyperlink r:id="rId948">
        <w:r>
          <w:rPr>
            <w:color w:val="1155CC"/>
            <w:u w:val="single"/>
          </w:rPr>
          <w:t>10.1002/anie.5726030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对硒蛋白的研究已经进行了半个多世纪，但其中心催化中间体硒代半胱氨酸硒酸（Sec-SeOH）在实验上仍然难以捉摸。长期以来，由于其不稳定性和热脱硒倾向，其隔离一直受到阻碍。在这里，我们报告了第一个在环境温度下可分离的 Sec-SeOH。这依赖于封装在保护摇篮内的硒肽序列的生物启发设计，以及来自相应硒基碘 (Sec-SeI) 的无氧化剂途径，从而实现 X 射线结构分析和化学表征。分离的 Sec-SeOH 对脱氢丙氨酸 (DHA) 的 β 消除表现出意想不到的抗性。氧化实验与理论计算相结合表明，DHA 的转化优先通过过度氧化为硒酸 (Sec-SeO</w:t>
      </w:r>
      <w:r>
        <w:rPr>
          <w:vertAlign w:val="subscript"/>
        </w:rPr>
        <w:t>2</w:t>
      </w:r>
      <w:r>
        <w:t>H)，对于这种情况，β-消除更为有利。反应性分析进一步凸显了 Sec-SeOH 对生物学和药理学相关亲核试剂的显着亲电性。这些发现重新定义了 Sec-SeOH 的稳定性-反应性景观，并为旨在防止硒蛋白失活的策略奠定了基础。除了定义可分离的 Sec-SeOH 模型之外，这项工作还为硒蛋白如何将高硒中心反应性与对不可逆氧化自失活的抵抗力结合起来提供了分子水平的基本原理。</w:t>
      </w:r>
    </w:p>
    <w:p>
      <w:pPr>
        <w:spacing w:before="0" w:after="200" w:lineRule="auto" w:line="276"/>
      </w:pPr>
      <w:r>
        <w:rPr>
          <w:b/>
        </w:rPr>
        <w:t xml:space="preserve">Abstract (EN): </w:t>
      </w:r>
      <w:r>
        <w:t>Despite more than half a century of research on selenoproteins, the central catalytic intermediate, selenocysteine selenenic acid (Sec–SeOH), has remained experimentally elusive. Its isolation has long been impeded by its presumed instability and propensity for thermal deselenation. Here, we report the first isolable Sec–SeOH at ambient temperature. This relies on a bioinspired design of a selenopeptide sequence encapsulated within a protective cradle, together with an oxidant‐free route from the corresponding selenenyl iodides (Sec–SeI), enabling x‐ray structural analysis and chemical characterization. The isolated Sec–SeOH shows unexpected resistance to β‐elimination to dehydroalanine (DHA). Oxidation experiments combined with theoretical calculations demonstrate that conversion to DHA proceeds preferentially via overoxidation to the seleninic acid (Sec–SeO</w:t>
      </w:r>
      <w:r>
        <w:rPr>
          <w:vertAlign w:val="subscript"/>
        </w:rPr>
        <w:t>2</w:t>
      </w:r>
      <w:r>
        <w:t>H), for which β‐elimination is substantially more favorable. Reactivity profiling further highlights the pronounced electrophilicity of Sec–SeOH toward biologically and pharmacologically relevant nucleophiles. These findings redefine the stability–reactivity landscape of Sec–SeOH and provide a foundation for strategies aimed at preventing selenoprotein inactivation. Beyond defining an isolable Sec–SeOH model, the work provides a molecular‐level rationale for how selenoproteins can combine high selenium‐centered reactivity with resistance to irreversible oxidative self‐inactivation.</w:t>
      </w:r>
    </w:p>
    <w:p>
      <w:pPr>
        <w:spacing w:before="120" w:after="120"/>
      </w:pPr>
      <w:r>
        <w:rPr>
          <w:sz w:val="18"/>
        </w:rPr>
        <w:t>——————————————————————————————————————————————————————————————————————</w:t>
      </w:r>
    </w:p>
    <w:p>
      <w:pPr>
        <w:spacing w:before="160" w:after="40" w:line="240" w:lineRule="auto"/>
      </w:pPr>
      <w:r>
        <w:rPr>
          <w:b/>
        </w:rPr>
        <w:t xml:space="preserve">[383] </w:t>
      </w:r>
      <w:hyperlink r:id="rId949">
        <w:r>
          <w:rPr>
            <w:color w:val="1155CC"/>
            <w:u w:val="single"/>
          </w:rPr>
          <w:t>通过促进聚合物碳点中的长程空间电荷解耦来破译增强的双ROS驱动的生物膜根除</w:t>
        </w:r>
      </w:hyperlink>
    </w:p>
    <w:p>
      <w:pPr>
        <w:spacing w:before="0" w:after="80"/>
      </w:pPr>
      <w:r>
        <w:rPr>
          <w:i/>
          <w:sz w:val="20"/>
        </w:rPr>
        <w:t>EN: Deciphering Augmented Dual‐ROS‐Driven Biofilm Eradication by Facilitating Long‐Range Spatial Charge Decoupling in Polymer Carbon Dots</w:t>
      </w:r>
    </w:p>
    <w:p>
      <w:pPr>
        <w:spacing w:before="0" w:after="120"/>
      </w:pPr>
      <w:r>
        <w:rPr>
          <w:b/>
        </w:rPr>
        <w:t xml:space="preserve">Source: </w:t>
      </w:r>
      <w:r>
        <w:t>Wiley: Angewandte Chemie International Edition: Table of Contents</w:t>
      </w:r>
      <w:r>
        <w:t xml:space="preserve">    </w:t>
      </w:r>
      <w:r>
        <w:rPr>
          <w:b/>
        </w:rPr>
        <w:t xml:space="preserve">Pub date: </w:t>
      </w:r>
      <w:r>
        <w:t>2026-06-03 07:09:19+00:00</w:t>
      </w:r>
      <w:r>
        <w:t xml:space="preserve">    </w:t>
      </w:r>
      <w:r>
        <w:rPr>
          <w:b/>
        </w:rPr>
        <w:t xml:space="preserve">DOI: </w:t>
      </w:r>
      <w:hyperlink r:id="rId950">
        <w:r>
          <w:rPr>
            <w:color w:val="1155CC"/>
            <w:u w:val="single"/>
          </w:rPr>
          <w:t>10.1002/anie.2382848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开发具有活性氧（ROS）生产能力的碳点（CD）为解决由坚固的细胞外聚合物（EPS）基质引起的生物膜根除困境提供了一种有吸引力的方法。探索高效 CD 的挑战是规避严重的热力学和动力学悖论，将周围的底物转化为超活性 ROS。为了解决这个难题，我们提出了一种长路径电子接受策略，通过碳化核和聚萘二亚胺（PNDI）网络的精心结合来促进绝对空间电荷解耦，从而显着提高超氧阴离子（·O</w:t>
      </w:r>
      <w:r>
        <w:rPr>
          <w:vertAlign w:val="subscript"/>
        </w:rPr>
        <w:t>2</w:t>
      </w:r>
      <w:r>
        <w:t>-</w:t>
      </w:r>
      <w:r>
        <w:t>）和羟基自由基（·OH）双ROS生成构建的聚合物CD。系统机制探索揭示光照射后的超快分子内电荷转移使高能长寿命电子能够沿着PNDI高速公路迁移以获得丰富的·O</w:t>
      </w:r>
      <w:r>
        <w:rPr>
          <w:vertAlign w:val="subscript"/>
        </w:rPr>
        <w:t>2</w:t>
      </w:r>
      <w:r>
        <w:t>-</w:t>
      </w:r>
      <w:r>
        <w:t>生产。有趣的是，这种深刻的分离将未补偿的高氧化空穴牢固地锚定在碳核的极深的最高占据分子轨道水平上，成功地解锁了直接·OH生成的热力学阈值。这种定制的双 ROS 风暴会引起灾难性的 EPS 基质降解并杀死嵌入的病原体，实现近乎完全（~99.9%）的根除</w:t>
      </w:r>
      <w:r>
        <w:t xml:space="preserve"> </w:t>
      </w:r>
      <w:r>
        <w:t>大肠杆菌</w:t>
      </w:r>
    </w:p>
    <w:p>
      <w:pPr>
        <w:spacing w:before="0" w:after="200" w:lineRule="auto" w:line="276"/>
      </w:pPr>
      <w:r>
        <w:rPr>
          <w:b/>
        </w:rPr>
        <w:t xml:space="preserve">Abstract (EN): </w:t>
      </w:r>
      <w:r>
        <w:t>Developing carbon dots (CDs) with reactive oxygen species (ROS) production capability provides an attractive approach to address the dilemma of biofilm eradication caused by the robust extracellular polymeric substance (EPS) matrix. The challenge for the exploration of highly potent CDs is to circumvent the severe thermodynamic and kinetic paradox to transform surrounding substrates into ultra‐reactive ROS. To address this conundrum, we propose a long‐pathway electron‐accepting strategy promoting the absolute spatial charge decoupling by the elaborate marriage of carbonized core and polynaphthalenediimide (PNDI) network, which significantly boosts the superoxide anion (·O</w:t>
      </w:r>
      <w:r>
        <w:rPr>
          <w:vertAlign w:val="subscript"/>
        </w:rPr>
        <w:t>2</w:t>
      </w:r>
      <w:r>
        <w:t>−</w:t>
      </w:r>
      <w:r>
        <w:t>) and hydroxyl radical (·OH) dual‐ROS generation of the constructed polymer CDs. Systematic mechanism exploration reveals that ultrafast intramolecular charge transfer after photoirradiation enables energetic long‐life electrons to migrate along the PNDI highway for abundant ·O</w:t>
      </w:r>
      <w:r>
        <w:rPr>
          <w:vertAlign w:val="subscript"/>
        </w:rPr>
        <w:t>2</w:t>
      </w:r>
      <w:r>
        <w:t>−</w:t>
      </w:r>
      <w:r>
        <w:t>production. Intriguingly, this profound separation firmly anchors uncompensated highly oxidative holes at the extraordinarily deep highest occupied molecular orbital level of the carbon core, successfully unlocking the thermodynamic threshold for direct ·OH generation. This tailored dual‐ROS storm induces catastrophic EPS matrix degradation and massacres the embedded pathogens, achieving near‐complete (∼99.9%) eradication of</w:t>
      </w:r>
      <w:r>
        <w:t xml:space="preserve"> </w:t>
      </w:r>
      <w:r>
        <w:t>Escherichia coli</w:t>
      </w:r>
      <w:r>
        <w:t xml:space="preserve"> </w:t>
      </w:r>
      <w:r>
        <w:t>and</w:t>
      </w:r>
      <w:r>
        <w:t xml:space="preserve"> </w:t>
      </w:r>
      <w:r>
        <w:t>Staphylococcus aureus</w:t>
      </w:r>
      <w:r>
        <w:t xml:space="preserve"> </w:t>
      </w:r>
      <w:r>
        <w:t>biofilms. This work establishes a potent nanoplatform and provides profound mechanistic insights for tackling global biofilm‐associated threats.</w:t>
      </w:r>
    </w:p>
    <w:p>
      <w:pPr>
        <w:spacing w:before="120" w:after="120"/>
      </w:pPr>
      <w:r>
        <w:rPr>
          <w:sz w:val="18"/>
        </w:rPr>
        <w:t>——————————————————————————————————————————————————————————————————————</w:t>
      </w:r>
    </w:p>
    <w:p>
      <w:pPr>
        <w:spacing w:before="160" w:after="40" w:line="240" w:lineRule="auto"/>
      </w:pPr>
      <w:r>
        <w:rPr>
          <w:b/>
        </w:rPr>
        <w:t xml:space="preserve">[384] </w:t>
      </w:r>
      <w:hyperlink r:id="rId951">
        <w:r>
          <w:rPr>
            <w:color w:val="1155CC"/>
            <w:u w:val="single"/>
          </w:rPr>
          <w:t>通过 NHC 催化旋转受限环状酰亚胺的动态动力学拆分获得 C─N 和 N─N 轴向手性吡啶酮</w:t>
        </w:r>
      </w:hyperlink>
    </w:p>
    <w:p>
      <w:pPr>
        <w:spacing w:before="0" w:after="80"/>
      </w:pPr>
      <w:r>
        <w:rPr>
          <w:i/>
          <w:sz w:val="20"/>
        </w:rPr>
        <w:t>EN: Access to C─N and N─N Axially Chiral Pyridinones via NHC‐Catalyzed Dynamic Kinetic Resolution of Rotationally Restricted Cyclic Imides</w:t>
      </w:r>
    </w:p>
    <w:p>
      <w:pPr>
        <w:spacing w:before="0" w:after="120"/>
      </w:pPr>
      <w:r>
        <w:rPr>
          <w:b/>
        </w:rPr>
        <w:t xml:space="preserve">Source: </w:t>
      </w:r>
      <w:r>
        <w:t>Wiley: Angewandte Chemie International Edition: Table of Contents</w:t>
      </w:r>
      <w:r>
        <w:t xml:space="preserve">    </w:t>
      </w:r>
      <w:r>
        <w:rPr>
          <w:b/>
        </w:rPr>
        <w:t xml:space="preserve">Pub date: </w:t>
      </w:r>
      <w:r>
        <w:t>2026-06-03 07:11:34+00:00</w:t>
      </w:r>
      <w:r>
        <w:t xml:space="preserve">    </w:t>
      </w:r>
      <w:r>
        <w:rPr>
          <w:b/>
        </w:rPr>
        <w:t xml:space="preserve">DOI: </w:t>
      </w:r>
      <w:hyperlink r:id="rId952">
        <w:r>
          <w:rPr>
            <w:color w:val="1155CC"/>
            <w:u w:val="single"/>
          </w:rPr>
          <w:t>10.1002/anie.3289722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带有 C─N 或 N─N 轴的阻转异构体是一类重要的手性分子，但使用有机催化技术获取这些化合物的立体会聚策略仍然有限。在此，我们报道了在氧化条件下，通过与烯醛的（3 + 3）环化，N-杂环卡宾（NHC）催化旋转受限环状酰亚胺的动态动力学拆分（DKR），合成了C─N或N─N轴向手性吡啶酮。机理实验揭示了环状酰亚胺中的酮-烯醇互变异构现象，这是对映体相互转化的操作模式。这种转化以高产率提供了带有远程立构中心的 C─N/N─N 轴向手性框架，具有优异的对映选择性（高达 99:1 er）和良好的非对映控制。旋转势垒研究证实了产品的高构型稳定性。使用预形成的卡宾进行的反应提供了有关在当前情况下通过竞争去对称化途径运行的 DKR 的信息。</w:t>
      </w:r>
    </w:p>
    <w:p>
      <w:pPr>
        <w:spacing w:before="0" w:after="200" w:lineRule="auto" w:line="276"/>
      </w:pPr>
      <w:r>
        <w:rPr>
          <w:b/>
        </w:rPr>
        <w:t xml:space="preserve">Abstract (EN): </w:t>
      </w:r>
      <w:r>
        <w:t>Atropisomers bearing C─N or N─N axes are an important class of chiral molecules, yet stereoconvergent strategies for accessing these compounds using organocatalytic techniques remain limited. Herein, we report the N‐heterocyclic carbene (NHC)‐catalyzed dynamic kinetic resolution (DKR) of rotationally restricted cyclic imides via (3 + 3) annulation with enals under oxidative conditions for the synthesis of C─N or N─N axially chiral pyridinones. Mechanistic experiments shed light on keto‐enol tautomerism in cyclic imides, which serves as the operative mode of enantiomer interconversion. This transformation furnishes C─N/N─N axially chiral frameworks bearing a remote stereogenic center in high yields with excellent enantioselectivity (up to 99:1 er) and good diastereocontrol. Rotation barrier studies confirm the high configurational stability of the products. Reactions conducted using pre‐formed carbenes provide information on DKR operating in the present case over the competing desymmetrization pathway.</w:t>
      </w:r>
    </w:p>
    <w:p>
      <w:pPr>
        <w:spacing w:before="120" w:after="120"/>
      </w:pPr>
      <w:r>
        <w:rPr>
          <w:sz w:val="18"/>
        </w:rPr>
        <w:t>——————————————————————————————————————————————————————————————————————</w:t>
      </w:r>
    </w:p>
    <w:p>
      <w:pPr>
        <w:spacing w:before="160" w:after="40" w:line="240" w:lineRule="auto"/>
      </w:pPr>
      <w:r>
        <w:rPr>
          <w:b/>
        </w:rPr>
        <w:t xml:space="preserve">[385] </w:t>
      </w:r>
      <w:hyperlink r:id="rId953">
        <w:r>
          <w:rPr>
            <w:color w:val="1155CC"/>
            <w:u w:val="single"/>
          </w:rPr>
          <w:t>通过铂催化 1,3-烯炔的硅氢加成对映选择性合成阻转异构体 1,3-二烯</w:t>
        </w:r>
      </w:hyperlink>
    </w:p>
    <w:p>
      <w:pPr>
        <w:spacing w:before="0" w:after="80"/>
      </w:pPr>
      <w:r>
        <w:rPr>
          <w:i/>
          <w:sz w:val="20"/>
        </w:rPr>
        <w:t>EN: Enantioselective Synthesis of Atropisomeric 1,3‐Dienes via Platinum‐Catalyzed Hydrosilylation of 1,3‐Enynes</w:t>
      </w:r>
    </w:p>
    <w:p>
      <w:pPr>
        <w:spacing w:before="0" w:after="120"/>
      </w:pPr>
      <w:r>
        <w:rPr>
          <w:b/>
        </w:rPr>
        <w:t xml:space="preserve">Source: </w:t>
      </w:r>
      <w:r>
        <w:t>Wiley: Angewandte Chemie International Edition: Table of Contents</w:t>
      </w:r>
      <w:r>
        <w:t xml:space="preserve">    </w:t>
      </w:r>
      <w:r>
        <w:rPr>
          <w:b/>
        </w:rPr>
        <w:t xml:space="preserve">Pub date: </w:t>
      </w:r>
      <w:r>
        <w:t>2026-06-03 07:16:31+00:00</w:t>
      </w:r>
      <w:r>
        <w:t xml:space="preserve">    </w:t>
      </w:r>
      <w:r>
        <w:rPr>
          <w:b/>
        </w:rPr>
        <w:t xml:space="preserve">DOI: </w:t>
      </w:r>
      <w:hyperlink r:id="rId954">
        <w:r>
          <w:rPr>
            <w:color w:val="1155CC"/>
            <w:u w:val="single"/>
          </w:rPr>
          <w:t>10.1002/anie.6697490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新型阻转异构体结构的对映选择性合成代表了功能材料、药物发现和不对称催化进步的关键驱动力。虽然联芳基阻转异构体的对映选择性合成取得了巨大进展，但由于 C-C 键固有的低旋转势垒，催化对映选择性合成阻转异构无环 1,3-二烯仍然难以实现。在此，我们报道了铂催化的烯炔的对映选择性氢化硅烷化。使用单膦配体</w:t>
      </w:r>
      <w:r>
        <w:t xml:space="preserve"> </w:t>
      </w:r>
      <w:r>
        <w:t>L1</w:t>
      </w:r>
      <w:r>
        <w:t xml:space="preserve"> </w:t>
      </w:r>
      <w:r>
        <w:t>，以良好的收率构建了阻转异构体 1,3-二烯，具有对映选择性和优异的区域性</w:t>
      </w:r>
      <w:r>
        <w:t xml:space="preserve"> </w:t>
      </w:r>
      <w:r>
        <w:t>乙</w:t>
      </w:r>
      <w:r>
        <w:t xml:space="preserve"> </w:t>
      </w:r>
      <w:r>
        <w:t>‐选择性。进行密度泛函理论（DFT）计算来阐明区域选择性和对映选择性的起源。至关重要的是，KOH 和 K 等基本添加剂</w:t>
      </w:r>
      <w:r>
        <w:rPr>
          <w:vertAlign w:val="subscript"/>
        </w:rPr>
        <w:t>3</w:t>
      </w:r>
      <w:r>
        <w:t>采购订单</w:t>
      </w:r>
      <w:r>
        <w:rPr>
          <w:vertAlign w:val="subscript"/>
        </w:rPr>
        <w:t>4</w:t>
      </w:r>
      <w:r>
        <w:t>作为质子穿梭机来促进反应。</w:t>
      </w:r>
    </w:p>
    <w:p>
      <w:pPr>
        <w:spacing w:before="0" w:after="200" w:lineRule="auto" w:line="276"/>
      </w:pPr>
      <w:r>
        <w:rPr>
          <w:b/>
        </w:rPr>
        <w:t xml:space="preserve">Abstract (EN): </w:t>
      </w:r>
      <w:r>
        <w:t>The enantioselective synthesis of novel atropisomeric architectures represents a key driving force in the advancement of functional materials, drug discovery, and asymmetric catalysis. While great progress has been made in the enantioselective synthesis of biaryl atropisomers, the catalytic enantioselective synthesis of atropisomeric acyclic 1,3‐dienes is still elusive due to the inherently low rotational barrier of the C‐C bonds. Herein, we report a platinum‐catalyzed enantioselective hydrosilylation of enynes. Using a monophosphine ligand</w:t>
      </w:r>
      <w:r>
        <w:t xml:space="preserve"> </w:t>
      </w:r>
      <w:r>
        <w:t>L1</w:t>
      </w:r>
      <w:r>
        <w:t xml:space="preserve"> </w:t>
      </w:r>
      <w:r>
        <w:t>, the atropisomeric 1,3‐dienes are constructed in good yield with enantioselectivity and excellent regio‐ and</w:t>
      </w:r>
      <w:r>
        <w:t xml:space="preserve"> </w:t>
      </w:r>
      <w:r>
        <w:t>E</w:t>
      </w:r>
      <w:r>
        <w:t xml:space="preserve"> </w:t>
      </w:r>
      <w:r>
        <w:t>‐selectivity. Density functional theory (DFT) calculations are conducted to elucidate the origin of the regio‐ and enantioselectivity. Crucially, the basic additive such as KOH and K</w:t>
      </w:r>
      <w:r>
        <w:rPr>
          <w:vertAlign w:val="subscript"/>
        </w:rPr>
        <w:t>3</w:t>
      </w:r>
      <w:r>
        <w:t>PO</w:t>
      </w:r>
      <w:r>
        <w:rPr>
          <w:vertAlign w:val="subscript"/>
        </w:rPr>
        <w:t>4</w:t>
      </w:r>
      <w:r>
        <w:t>works as a proton shuttle to promote the reaction.</w:t>
      </w:r>
    </w:p>
    <w:p>
      <w:pPr>
        <w:spacing w:before="120" w:after="120"/>
      </w:pPr>
      <w:r>
        <w:rPr>
          <w:sz w:val="18"/>
        </w:rPr>
        <w:t>——————————————————————————————————————————————————————————————————————</w:t>
      </w:r>
    </w:p>
    <w:p>
      <w:pPr>
        <w:spacing w:before="160" w:after="40" w:line="240" w:lineRule="auto"/>
      </w:pPr>
      <w:r>
        <w:rPr>
          <w:b/>
        </w:rPr>
        <w:t xml:space="preserve">[386] </w:t>
      </w:r>
      <w:hyperlink r:id="rId955">
        <w:r>
          <w:rPr>
            <w:color w:val="1155CC"/>
            <w:u w:val="single"/>
          </w:rPr>
          <w:t>用于模仿人工神经元细胞的可设计范德华晶体</w:t>
        </w:r>
      </w:hyperlink>
    </w:p>
    <w:p>
      <w:pPr>
        <w:spacing w:before="0" w:after="80"/>
      </w:pPr>
      <w:r>
        <w:rPr>
          <w:i/>
          <w:sz w:val="20"/>
        </w:rPr>
        <w:t>EN: Designable van der Waals Crystal for Artificial Neuronal Cell Mimicking</w:t>
      </w:r>
    </w:p>
    <w:p>
      <w:pPr>
        <w:spacing w:before="0" w:after="120"/>
      </w:pPr>
      <w:r>
        <w:rPr>
          <w:b/>
        </w:rPr>
        <w:t xml:space="preserve">Source: </w:t>
      </w:r>
      <w:r>
        <w:t>Wiley: Advanced Materials: Table of Contents</w:t>
      </w:r>
      <w:r>
        <w:t xml:space="preserve">    </w:t>
      </w:r>
      <w:r>
        <w:rPr>
          <w:b/>
        </w:rPr>
        <w:t xml:space="preserve">Pub date: </w:t>
      </w:r>
      <w:r>
        <w:t>2026-06-03 07:16:57+00:00</w:t>
      </w:r>
      <w:r>
        <w:t xml:space="preserve">    </w:t>
      </w:r>
      <w:r>
        <w:rPr>
          <w:b/>
        </w:rPr>
        <w:t xml:space="preserve">DOI: </w:t>
      </w:r>
      <w:hyperlink r:id="rId956">
        <w:r>
          <w:rPr>
            <w:color w:val="1155CC"/>
            <w:u w:val="single"/>
          </w:rPr>
          <w:t>10.1002/adma.73595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遗传学利用光以卓越的时空精度调节神经元活动，从而能够直接调节人脑的学习和记忆过程。这种通过光刺激从外部控制神经元信号传导的能力提供了对大脑功能的深刻见解，并为工程仿生信息处理建立了通用策略。在此，一种可设计的范德华（vdW）晶体已被证明可用于设备规模的神经元细胞模拟。生物膜中的离子通道和层状 vdW 晶格之间的结构相似性是通过纳米结晶实现的。从载流子传输优势到离子传输优势的顺序转变揭示了对突触权重更新的动态控制。最终观察到可设计 vdW 晶体中的光电突触可塑性（长期增强和抑制、配对脉冲促进以及可调节的短期到长期记忆转变），并与光诱导的载流子捕获和离子迁移相关。此外，与批量 ReSe 相比，学习-遗忘-再学习循环的保留效率提高了 34.7%</w:t>
      </w:r>
      <w:r>
        <w:rPr>
          <w:vertAlign w:val="subscript"/>
        </w:rPr>
        <w:t>2</w:t>
      </w:r>
      <w:r>
        <w:t>。边缘检测和 CIFAR-10 图像识别的功能演示证实了系统级神经形态计算的突触可塑性，识别准确率高达 96.24%。总之，我们预计可设计的 vdW 人造晶体将为 3D 堆栈提供多功能的进步</w:t>
      </w:r>
    </w:p>
    <w:p>
      <w:pPr>
        <w:spacing w:before="0" w:after="200" w:lineRule="auto" w:line="276"/>
      </w:pPr>
      <w:r>
        <w:rPr>
          <w:b/>
        </w:rPr>
        <w:t xml:space="preserve">Abstract (EN): </w:t>
      </w:r>
      <w:r>
        <w:t>Optogenetics employs light to regulate neuronal activity with exceptional spatiotemporal precision, thereby enabling the direct modulation of learning and memory processes in the human brain. This capability to externally control neuronal signaling via optical stimuli has provided profound insights into brain function and established a versatile strategy for engineering bio‐inspired information processing. Herein, a designable van der Waals (vdW) crystal has been demonstrated for device‐scale neuronal cell mimicking. The structural similarity between ion‐channel in biological membranes and layered vdW lattices is realized with nano‐crystallization. As the sequential transition from carrier transport dominance to ion transport dominance reveals the dynamic control over synaptic weight updates. Optoelectric synaptic plasticity in designable vdW crystal (long‐term potentiation and depression, paired‐pulse facilitation, and a tunable short‐term to long‐term memory transition) were conclusively observed and correlates with photo‐induced carrier trapping and ionic migration. Furthermore, learning‐forgetting‐relearning cycles achieve 34.7% increased retention efficiency compared to bulk ReSe</w:t>
      </w:r>
      <w:r>
        <w:rPr>
          <w:vertAlign w:val="subscript"/>
        </w:rPr>
        <w:t>2</w:t>
      </w:r>
      <w:r>
        <w:t>. Functional demonstrations in edge detection and CIFAR‐10 image recognition confirm the synaptic plasticity into system‐level neuromorphic computation, with a recognition accuracy of 96.24%. In conclusion, we envision that designable vdW artificial crystal will provide the versatile advances for 3D stackable neuromorphic vision architectures.</w:t>
      </w:r>
    </w:p>
    <w:p>
      <w:pPr>
        <w:spacing w:before="120" w:after="120"/>
      </w:pPr>
      <w:r>
        <w:rPr>
          <w:sz w:val="18"/>
        </w:rPr>
        <w:t>——————————————————————————————————————————————————————————————————————</w:t>
      </w:r>
    </w:p>
    <w:p>
      <w:pPr>
        <w:spacing w:before="160" w:after="40" w:line="240" w:lineRule="auto"/>
      </w:pPr>
      <w:r>
        <w:rPr>
          <w:b/>
        </w:rPr>
        <w:t xml:space="preserve">[387] </w:t>
      </w:r>
      <w:hyperlink r:id="rId957">
        <w:r>
          <w:rPr>
            <w:color w:val="1155CC"/>
            <w:u w:val="single"/>
          </w:rPr>
          <w:t>用于癌症治疗的线粒体损伤自我报告探针</w:t>
        </w:r>
      </w:hyperlink>
    </w:p>
    <w:p>
      <w:pPr>
        <w:spacing w:before="0" w:after="80"/>
      </w:pPr>
      <w:r>
        <w:rPr>
          <w:i/>
          <w:sz w:val="20"/>
        </w:rPr>
        <w:t>EN: Mitochondria‐Damaging Self‐Reporting Probe for Cancer Therapy</w:t>
      </w:r>
    </w:p>
    <w:p>
      <w:pPr>
        <w:spacing w:before="0" w:after="120"/>
      </w:pPr>
      <w:r>
        <w:rPr>
          <w:b/>
        </w:rPr>
        <w:t xml:space="preserve">Source: </w:t>
      </w:r>
      <w:r>
        <w:t>Wiley: Angewandte Chemie International Edition: Table of Contents</w:t>
      </w:r>
      <w:r>
        <w:t xml:space="preserve">    </w:t>
      </w:r>
      <w:r>
        <w:rPr>
          <w:b/>
        </w:rPr>
        <w:t xml:space="preserve">Pub date: </w:t>
      </w:r>
      <w:r>
        <w:t>2026-06-03 07:18:42+00:00</w:t>
      </w:r>
      <w:r>
        <w:t xml:space="preserve">    </w:t>
      </w:r>
      <w:r>
        <w:rPr>
          <w:b/>
        </w:rPr>
        <w:t xml:space="preserve">DOI: </w:t>
      </w:r>
      <w:hyperlink r:id="rId958">
        <w:r>
          <w:rPr>
            <w:color w:val="1155CC"/>
            <w:u w:val="single"/>
          </w:rPr>
          <w:t>10.1002/anie.8302619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化疗药物通过破坏线粒体膜电位诱导线粒体损伤（Δ</w:t>
      </w:r>
      <w:r>
        <w:t xml:space="preserve"> </w:t>
      </w:r>
      <w:r>
        <w:t>Ψ</w:t>
      </w:r>
      <w:r>
        <w:t xml:space="preserve"> </w:t>
      </w:r>
      <w:r>
        <w:t>米</w:t>
      </w:r>
      <w:r>
        <w:t xml:space="preserve"> </w:t>
      </w:r>
      <w:r>
        <w:t>）仍然是药物开发和评价的一个核心挑战。然而，Δ的评估</w:t>
      </w:r>
      <w:r>
        <w:t xml:space="preserve"> </w:t>
      </w:r>
      <w:r>
        <w:t>Ψ</w:t>
      </w:r>
      <w:r>
        <w:t xml:space="preserve"> </w:t>
      </w:r>
      <w:r>
        <w:t>米</w:t>
      </w:r>
      <w:r>
        <w:t xml:space="preserve"> </w:t>
      </w:r>
      <w:r>
        <w:t>‐使用市售荧光探针靶向药物通常不可靠，因为这些染料会干扰、掩盖或人为放大药物引起的线粒体功能障碍，经常导致误导性结论和转化失败。在此，我们报道了一类阳离子化疗小分子（</w:t>
      </w:r>
      <w:r>
        <w:t xml:space="preserve"> </w:t>
      </w:r>
      <w:r>
        <w:t>民进党</w:t>
      </w:r>
      <w:r>
        <w:t xml:space="preserve"> </w:t>
      </w:r>
      <w:r>
        <w:t>）具有基于内在荧光迁移的自我报告能力，无需外部探针即可直接且无创地监测药物作用。其中，</w:t>
      </w:r>
      <w:r>
        <w:t xml:space="preserve"> </w:t>
      </w:r>
      <w:r>
        <w:t>DPP-1</w:t>
      </w:r>
      <w:r>
        <w:t xml:space="preserve"> </w:t>
      </w:r>
      <w:r>
        <w:t>和</w:t>
      </w:r>
      <w:r>
        <w:t xml:space="preserve"> </w:t>
      </w:r>
      <w:r>
        <w:t>DPP-2</w:t>
      </w:r>
      <w:r>
        <w:t xml:space="preserve"> </w:t>
      </w:r>
      <w:r>
        <w:t>破坏线粒体功能，引发过量活性氧的产生，并诱导高选择性细胞凋亡。值得注意的是，这两种化合物都表现出浓度依赖性的线粒体到核的易位，从而能够在亚细胞水平上实时可视化治疗进展。体内研究进一步证实了它们有效的肿瘤生长抑制作用和可忽略不计的全身毒性作用。本次自我报告</w:t>
      </w:r>
    </w:p>
    <w:p>
      <w:pPr>
        <w:spacing w:before="0" w:after="200" w:lineRule="auto" w:line="276"/>
      </w:pPr>
      <w:r>
        <w:rPr>
          <w:b/>
        </w:rPr>
        <w:t xml:space="preserve">Abstract (EN): </w:t>
      </w:r>
      <w:r>
        <w:t>Mitochondrial damage induced by chemotherapeutic agents through disruption of the mitochondrial membrane potential (Δ</w:t>
      </w:r>
      <w:r>
        <w:t xml:space="preserve"> </w:t>
      </w:r>
      <w:r>
        <w:t>Ψ</w:t>
      </w:r>
      <w:r>
        <w:t xml:space="preserve"> </w:t>
      </w:r>
      <w:r>
        <w:t>m</w:t>
      </w:r>
      <w:r>
        <w:t xml:space="preserve"> </w:t>
      </w:r>
      <w:r>
        <w:t>) remains a central challenge in drug development and evaluation. However, the assessment of Δ</w:t>
      </w:r>
      <w:r>
        <w:t xml:space="preserve"> </w:t>
      </w:r>
      <w:r>
        <w:t>Ψ</w:t>
      </w:r>
      <w:r>
        <w:t xml:space="preserve"> </w:t>
      </w:r>
      <w:r>
        <w:t>m</w:t>
      </w:r>
      <w:r>
        <w:t xml:space="preserve"> </w:t>
      </w:r>
      <w:r>
        <w:t>‐targeting drugs using commercially available fluorescent probes is often unreliable, as these dyes can interfere with, mask, or artificially amplify drug‐induced mitochondrial dysfunction, frequently resulting in misleading conclusions and translational failure. Herein, we report a class of cationic chemotherapeutic small molecules (</w:t>
      </w:r>
      <w:r>
        <w:t xml:space="preserve"> </w:t>
      </w:r>
      <w:r>
        <w:t>DPPs</w:t>
      </w:r>
      <w:r>
        <w:t xml:space="preserve"> </w:t>
      </w:r>
      <w:r>
        <w:t>) possessing intrinsic fluorescence migration‐based self‐reporting capability, which enables direct and non‐invasive monitoring of drug action without the need for external probes. Among them,</w:t>
      </w:r>
      <w:r>
        <w:t xml:space="preserve"> </w:t>
      </w:r>
      <w:r>
        <w:t>DPP‐1</w:t>
      </w:r>
      <w:r>
        <w:t xml:space="preserve"> </w:t>
      </w:r>
      <w:r>
        <w:t>and</w:t>
      </w:r>
      <w:r>
        <w:t xml:space="preserve"> </w:t>
      </w:r>
      <w:r>
        <w:t>DPP‐2</w:t>
      </w:r>
      <w:r>
        <w:t xml:space="preserve"> </w:t>
      </w:r>
      <w:r>
        <w:t>disrupt mitochondrial function, trigger excessive reactive oxygen species generation, and induce highly selective apoptosis. Remarkably, both compounds exhibit concentration‐dependent mitochondrial‐to‐nuclear translocation, enabling the real‐time visualization of therapeutic progression at the subcellular level. In vivo studies further confirm their potent tumor growth inhibition and negligible systemic toxicity effects. This self‐reporting mitochondria‐targeted chemotherapeutic platform provides a highly promising strategy for integrated cancer diagnosis and precision therapy.</w:t>
      </w:r>
    </w:p>
    <w:p>
      <w:pPr>
        <w:spacing w:before="120" w:after="120"/>
      </w:pPr>
      <w:r>
        <w:rPr>
          <w:sz w:val="18"/>
        </w:rPr>
        <w:t>——————————————————————————————————————————————————————————————————————</w:t>
      </w:r>
    </w:p>
    <w:p>
      <w:pPr>
        <w:spacing w:before="160" w:after="40" w:line="240" w:lineRule="auto"/>
      </w:pPr>
      <w:r>
        <w:rPr>
          <w:b/>
        </w:rPr>
        <w:t xml:space="preserve">[388] </w:t>
      </w:r>
      <w:hyperlink r:id="rId959">
        <w:r>
          <w:rPr>
            <w:color w:val="1155CC"/>
            <w:u w:val="single"/>
          </w:rPr>
          <w:t>用于组织修复和再生的免疫工程外场响应生物材料</w:t>
        </w:r>
      </w:hyperlink>
    </w:p>
    <w:p>
      <w:pPr>
        <w:spacing w:before="0" w:after="80"/>
      </w:pPr>
      <w:r>
        <w:rPr>
          <w:i/>
          <w:sz w:val="20"/>
        </w:rPr>
        <w:t>EN: Immunoengineering External Field Responsive Biomaterials for Tissue Repair and Regeneration</w:t>
      </w:r>
    </w:p>
    <w:p>
      <w:pPr>
        <w:spacing w:before="0" w:after="120"/>
      </w:pPr>
      <w:r>
        <w:rPr>
          <w:b/>
        </w:rPr>
        <w:t xml:space="preserve">Source: </w:t>
      </w:r>
      <w:r>
        <w:t>Wiley: Advanced Materials: Table of Contents</w:t>
      </w:r>
      <w:r>
        <w:t xml:space="preserve">    </w:t>
      </w:r>
      <w:r>
        <w:rPr>
          <w:b/>
        </w:rPr>
        <w:t xml:space="preserve">Pub date: </w:t>
      </w:r>
      <w:r>
        <w:t>2026-06-03 07:21:51+00:00</w:t>
      </w:r>
      <w:r>
        <w:t xml:space="preserve">    </w:t>
      </w:r>
      <w:r>
        <w:rPr>
          <w:b/>
        </w:rPr>
        <w:t xml:space="preserve">DOI: </w:t>
      </w:r>
      <w:hyperlink r:id="rId960">
        <w:r>
          <w:rPr>
            <w:color w:val="1155CC"/>
            <w:u w:val="single"/>
          </w:rPr>
          <w:t>10.1002/adma.202519723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组织缺损修复是一个动态过程，涉及炎症调节、血管生成、有组织的细胞外基质组装和免疫微环境稳态。其成功关键取决于精确时空控制的修复策略。外部场响应生物材料（EFRB）能够响应光、磁、电、超声波和热刺激，由于其按需激活、独特的（生物）理化特性以及调节免疫相关途径的能力，已成为再生医学的研究热点。本综述首先概述了组织修复的动态生物学要求，包括免疫微环境的作用以及 EFRB 的核心优势。然后详细介绍了各种 EFRB（例如纳米颗粒、支架、水凝胶和微针）的结构特征和外场响应机制，以及它们对免疫相关修复过程的调节作用。最后，系统总结了免疫工程 EFRB 在增强组织修复和再生方面的最新进展。因此，本综述旨在为优化基于 EFRB 的疗法提供有价值的见解，并激发这个不断发展的领域的进一步突破。</w:t>
      </w:r>
    </w:p>
    <w:p>
      <w:pPr>
        <w:spacing w:before="0" w:after="200" w:lineRule="auto" w:line="276"/>
      </w:pPr>
      <w:r>
        <w:rPr>
          <w:b/>
        </w:rPr>
        <w:t xml:space="preserve">Abstract (EN): </w:t>
      </w:r>
      <w:r>
        <w:t>Tissue defect repair is a dynamic process involving inflammation regulation, angiogenesis, organized extracellular matrix assembly, and immune microenvironment homeostasis. Its success critically depends on repair strategies with precise spatiotemporal control. External field‐responsive biomaterials (EFRBs), which respond to optical, magnetic, electrical, ultrasonic, and thermal stimuli, have become a research focus in regenerative medicine due to their on‐demand activation, unique (bio)physicochemical properties, and ability to modulate immune‐related pathways. This review first outlines the dynamic biological requirements of tissue repair, including the immune microenvironment's role, and the core advantages of EFRBs. It then details the structural features and external field response mechanisms of various EFRBs—such as nanoparticles, scaffolds, hydrogels, and microneedles—and their regulatory effects on immune‐related repair processes. Finally, it systematically summarizes recent advances in immunoengineering EFRBs for enhancing tissue repair and regeneration. This review thus aims to provide valuable insights for optimizing EFRB‐based therapies and to inspire further breakthroughs in this evolving field.</w:t>
      </w:r>
    </w:p>
    <w:p>
      <w:pPr>
        <w:spacing w:before="120" w:after="120"/>
      </w:pPr>
      <w:r>
        <w:rPr>
          <w:sz w:val="18"/>
        </w:rPr>
        <w:t>——————————————————————————————————————————————————————————————————————</w:t>
      </w:r>
    </w:p>
    <w:p>
      <w:pPr>
        <w:spacing w:before="160" w:after="40" w:line="240" w:lineRule="auto"/>
      </w:pPr>
      <w:r>
        <w:rPr>
          <w:b/>
        </w:rPr>
        <w:t xml:space="preserve">[389] </w:t>
      </w:r>
      <w:hyperlink r:id="rId961">
        <w:r>
          <w:rPr>
            <w:color w:val="1155CC"/>
            <w:u w:val="single"/>
          </w:rPr>
          <w:t>用于破译圆偏振光的手性记忆驱动螺旋超分子光电探测器</w:t>
        </w:r>
      </w:hyperlink>
    </w:p>
    <w:p>
      <w:pPr>
        <w:spacing w:before="0" w:after="80"/>
      </w:pPr>
      <w:r>
        <w:rPr>
          <w:i/>
          <w:sz w:val="20"/>
        </w:rPr>
        <w:t>EN: Chiral Memory‐Driven Helical Supramolecular Photodetector for Deciphering Circularly Polarized Light</w:t>
      </w:r>
    </w:p>
    <w:p>
      <w:pPr>
        <w:spacing w:before="0" w:after="120"/>
      </w:pPr>
      <w:r>
        <w:rPr>
          <w:b/>
        </w:rPr>
        <w:t xml:space="preserve">Source: </w:t>
      </w:r>
      <w:r>
        <w:t>Wiley: Advanced Materials: Table of Contents</w:t>
      </w:r>
      <w:r>
        <w:t xml:space="preserve">    </w:t>
      </w:r>
      <w:r>
        <w:rPr>
          <w:b/>
        </w:rPr>
        <w:t xml:space="preserve">Pub date: </w:t>
      </w:r>
      <w:r>
        <w:t>2026-06-03 07:25:51+00:00</w:t>
      </w:r>
      <w:r>
        <w:t xml:space="preserve">    </w:t>
      </w:r>
      <w:r>
        <w:rPr>
          <w:b/>
        </w:rPr>
        <w:t xml:space="preserve">DOI: </w:t>
      </w:r>
      <w:hyperlink r:id="rId962">
        <w:r>
          <w:rPr>
            <w:color w:val="1155CC"/>
            <w:u w:val="single"/>
          </w:rPr>
          <w:t>10.1002/adma.73569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手性π共轭有机小分子由于其固有的手性、明确的分子结构和易于修饰，有望用于圆偏振光（CPL）检测。然而，它们的实际应用受到低吸收不对称因子的阻碍（</w:t>
      </w:r>
      <w:r>
        <w:t xml:space="preserve"> </w:t>
      </w:r>
      <w:r>
        <w:t>克</w:t>
      </w:r>
      <w:r>
        <w:t xml:space="preserve"> </w:t>
      </w:r>
      <w:r>
        <w:t>腹肌</w:t>
      </w:r>
      <w:r>
        <w:t xml:space="preserve"> </w:t>
      </w:r>
      <w:r>
        <w:t>），由不平衡的电和磁跃迁偶极矩（</w:t>
      </w:r>
      <w:r>
        <w:t xml:space="preserve"> </w:t>
      </w:r>
      <w:r>
        <w:t>µ</w:t>
      </w:r>
      <w:r>
        <w:t xml:space="preserve"> </w:t>
      </w:r>
      <w:r>
        <w:t>和</w:t>
      </w:r>
      <w:r>
        <w:t xml:space="preserve"> </w:t>
      </w:r>
      <w:r>
        <w:t>米</w:t>
      </w:r>
      <w:r>
        <w:t xml:space="preserve"> </w:t>
      </w:r>
      <w:r>
        <w:t>）。在此，报道了一种利用手性记忆效应的无模板方法来制造具有高分子量的螺旋超分子。</w:t>
      </w:r>
      <w:r>
        <w:t xml:space="preserve"> </w:t>
      </w:r>
      <w:r>
        <w:t>克</w:t>
      </w:r>
      <w:r>
        <w:t xml:space="preserve"> </w:t>
      </w:r>
      <w:r>
        <w:t>腹肌</w:t>
      </w:r>
      <w:r>
        <w:t xml:space="preserve"> </w:t>
      </w:r>
      <w:r>
        <w:t>。合成了两个手性二萘并苯四酰亚胺对映体对：（</w:t>
      </w:r>
      <w:r>
        <w:t xml:space="preserve"> </w:t>
      </w:r>
      <w:r>
        <w:t>右</w:t>
      </w:r>
      <w:r>
        <w:t xml:space="preserve"> </w:t>
      </w:r>
      <w:r>
        <w:t>)-PDI-(</w:t>
      </w:r>
      <w:r>
        <w:t xml:space="preserve"> </w:t>
      </w:r>
      <w:r>
        <w:t>右</w:t>
      </w:r>
      <w:r>
        <w:t xml:space="preserve"> </w:t>
      </w:r>
      <w:r>
        <w:t>)-NI-Ph/(</w:t>
      </w:r>
      <w:r>
        <w:t xml:space="preserve"> </w:t>
      </w:r>
      <w:r>
        <w:t>S</w:t>
      </w:r>
      <w:r>
        <w:t xml:space="preserve"> </w:t>
      </w:r>
      <w:r>
        <w:t>)-PDI-(</w:t>
      </w:r>
      <w:r>
        <w:t xml:space="preserve"> </w:t>
      </w:r>
      <w:r>
        <w:t>S</w:t>
      </w:r>
      <w:r>
        <w:t xml:space="preserve"> </w:t>
      </w:r>
      <w:r>
        <w:t>)-NI-Ph 和 (</w:t>
      </w:r>
      <w:r>
        <w:t xml:space="preserve"> </w:t>
      </w:r>
      <w:r>
        <w:t>S</w:t>
      </w:r>
      <w:r>
        <w:t xml:space="preserve"> </w:t>
      </w:r>
      <w:r>
        <w:t>)-PDI-(</w:t>
      </w:r>
      <w:r>
        <w:t xml:space="preserve"> </w:t>
      </w:r>
      <w:r>
        <w:t>右</w:t>
      </w:r>
      <w:r>
        <w:t xml:space="preserve"> </w:t>
      </w:r>
      <w:r>
        <w:t>)-NI-Ph/(</w:t>
      </w:r>
      <w:r>
        <w:t xml:space="preserve"> </w:t>
      </w:r>
      <w:r>
        <w:t>右</w:t>
      </w:r>
      <w:r>
        <w:t xml:space="preserve"> </w:t>
      </w:r>
      <w:r>
        <w:t>)-PDI-(</w:t>
      </w:r>
      <w:r>
        <w:t xml:space="preserve"> </w:t>
      </w:r>
      <w:r>
        <w:t>S</w:t>
      </w:r>
      <w:r>
        <w:t xml:space="preserve"> </w:t>
      </w:r>
      <w:r>
        <w:t>)-NI-Ph。在 350°C 对薄膜进行退火以去除手性吊坠后，(</w:t>
      </w:r>
      <w:r>
        <w:t xml:space="preserve"> </w:t>
      </w:r>
      <w:r>
        <w:t>右</w:t>
      </w:r>
      <w:r>
        <w:t xml:space="preserve"> </w:t>
      </w:r>
      <w:r>
        <w:t>)-PDI-(</w:t>
      </w:r>
      <w:r>
        <w:t xml:space="preserve"> </w:t>
      </w:r>
      <w:r>
        <w:t>右</w:t>
      </w:r>
      <w:r>
        <w:t xml:space="preserve"> </w:t>
      </w:r>
      <w:r>
        <w:t>)-NI/(</w:t>
      </w:r>
      <w:r>
        <w:t xml:space="preserve"> </w:t>
      </w:r>
      <w:r>
        <w:t>S</w:t>
      </w:r>
      <w:r>
        <w:t xml:space="preserve"> </w:t>
      </w:r>
      <w:r>
        <w:t>)-PDI-(</w:t>
      </w:r>
      <w:r>
        <w:t xml:space="preserve"> </w:t>
      </w:r>
      <w:r>
        <w:t>S</w:t>
      </w:r>
      <w:r>
        <w:t xml:space="preserve"> </w:t>
      </w:r>
      <w:r>
        <w:t>)-NI 电影显示</w:t>
      </w:r>
    </w:p>
    <w:p>
      <w:pPr>
        <w:spacing w:before="0" w:after="200" w:lineRule="auto" w:line="276"/>
      </w:pPr>
      <w:r>
        <w:rPr>
          <w:b/>
        </w:rPr>
        <w:t xml:space="preserve">Abstract (EN): </w:t>
      </w:r>
      <w:r>
        <w:t>Chiral π‐conjugated organic small molecules, due to their intrinsic chirality, well‐defined molecular structures and ease of modification, are promising for circularly polarized light (CPL) detection. However, their practical application is hindered by low absorption dissymmetry factor (</w:t>
      </w:r>
      <w:r>
        <w:t xml:space="preserve"> </w:t>
      </w:r>
      <w:r>
        <w:t>g</w:t>
      </w:r>
      <w:r>
        <w:t xml:space="preserve"> </w:t>
      </w:r>
      <w:r>
        <w:t>abs</w:t>
      </w:r>
      <w:r>
        <w:t xml:space="preserve"> </w:t>
      </w:r>
      <w:r>
        <w:t>), arising from imbalanced electric and magnetic transition dipole moments (</w:t>
      </w:r>
      <w:r>
        <w:t xml:space="preserve"> </w:t>
      </w:r>
      <w:r>
        <w:t>µ</w:t>
      </w:r>
      <w:r>
        <w:t xml:space="preserve"> </w:t>
      </w:r>
      <w:r>
        <w:t>and</w:t>
      </w:r>
      <w:r>
        <w:t xml:space="preserve"> </w:t>
      </w:r>
      <w:r>
        <w:t>m</w:t>
      </w:r>
      <w:r>
        <w:t xml:space="preserve"> </w:t>
      </w:r>
      <w:r>
        <w:t>). Here, a template‐free method using chiral memory effect was reported to fabricate helical supramolecules with high</w:t>
      </w:r>
      <w:r>
        <w:t xml:space="preserve"> </w:t>
      </w:r>
      <w:r>
        <w:t>g</w:t>
      </w:r>
      <w:r>
        <w:t xml:space="preserve"> </w:t>
      </w:r>
      <w:r>
        <w:t>abs</w:t>
      </w:r>
      <w:r>
        <w:t xml:space="preserve"> </w:t>
      </w:r>
      <w:r>
        <w:t>. Two chiral dinaphthocoronene tetraimides enantiomer pairs were synthesized: (</w:t>
      </w:r>
      <w:r>
        <w:t xml:space="preserve"> </w:t>
      </w:r>
      <w:r>
        <w:t>R</w:t>
      </w:r>
      <w:r>
        <w:t xml:space="preserve"> </w:t>
      </w:r>
      <w:r>
        <w:t>)‐PDI‐(</w:t>
      </w:r>
      <w:r>
        <w:t xml:space="preserve"> </w:t>
      </w:r>
      <w:r>
        <w:t>R</w:t>
      </w:r>
      <w:r>
        <w:t xml:space="preserve"> </w:t>
      </w:r>
      <w:r>
        <w:t>)‐NI‐Ph/(</w:t>
      </w:r>
      <w:r>
        <w:t xml:space="preserve"> </w:t>
      </w:r>
      <w:r>
        <w:t>S</w:t>
      </w:r>
      <w:r>
        <w:t xml:space="preserve"> </w:t>
      </w:r>
      <w:r>
        <w:t>)‐PDI‐(</w:t>
      </w:r>
      <w:r>
        <w:t xml:space="preserve"> </w:t>
      </w:r>
      <w:r>
        <w:t>S</w:t>
      </w:r>
      <w:r>
        <w:t xml:space="preserve"> </w:t>
      </w:r>
      <w:r>
        <w:t>)‐NI‐Ph and (</w:t>
      </w:r>
      <w:r>
        <w:t xml:space="preserve"> </w:t>
      </w:r>
      <w:r>
        <w:t>S</w:t>
      </w:r>
      <w:r>
        <w:t xml:space="preserve"> </w:t>
      </w:r>
      <w:r>
        <w:t>)‐PDI‐(</w:t>
      </w:r>
      <w:r>
        <w:t xml:space="preserve"> </w:t>
      </w:r>
      <w:r>
        <w:t>R</w:t>
      </w:r>
      <w:r>
        <w:t xml:space="preserve"> </w:t>
      </w:r>
      <w:r>
        <w:t>)‐NI‐Ph/(</w:t>
      </w:r>
      <w:r>
        <w:t xml:space="preserve"> </w:t>
      </w:r>
      <w:r>
        <w:t>R</w:t>
      </w:r>
      <w:r>
        <w:t xml:space="preserve"> </w:t>
      </w:r>
      <w:r>
        <w:t>)‐PDI‐(</w:t>
      </w:r>
      <w:r>
        <w:t xml:space="preserve"> </w:t>
      </w:r>
      <w:r>
        <w:t>S</w:t>
      </w:r>
      <w:r>
        <w:t xml:space="preserve"> </w:t>
      </w:r>
      <w:r>
        <w:t>)‐NI‐Ph. After annealing films at 350°C to remove chiral pendants, (</w:t>
      </w:r>
      <w:r>
        <w:t xml:space="preserve"> </w:t>
      </w:r>
      <w:r>
        <w:t>R</w:t>
      </w:r>
      <w:r>
        <w:t xml:space="preserve"> </w:t>
      </w:r>
      <w:r>
        <w:t>)‐PDI‐(</w:t>
      </w:r>
      <w:r>
        <w:t xml:space="preserve"> </w:t>
      </w:r>
      <w:r>
        <w:t>R</w:t>
      </w:r>
      <w:r>
        <w:t xml:space="preserve"> </w:t>
      </w:r>
      <w:r>
        <w:t>)‐NI/(</w:t>
      </w:r>
      <w:r>
        <w:t xml:space="preserve"> </w:t>
      </w:r>
      <w:r>
        <w:t>S</w:t>
      </w:r>
      <w:r>
        <w:t xml:space="preserve"> </w:t>
      </w:r>
      <w:r>
        <w:t>)‐PDI‐(</w:t>
      </w:r>
      <w:r>
        <w:t xml:space="preserve"> </w:t>
      </w:r>
      <w:r>
        <w:t>S</w:t>
      </w:r>
      <w:r>
        <w:t xml:space="preserve"> </w:t>
      </w:r>
      <w:r>
        <w:t>)‐NI films showed much higher |</w:t>
      </w:r>
      <w:r>
        <w:t xml:space="preserve"> </w:t>
      </w:r>
      <w:r>
        <w:t>g</w:t>
      </w:r>
      <w:r>
        <w:t xml:space="preserve"> </w:t>
      </w:r>
      <w:r>
        <w:t>abs</w:t>
      </w:r>
      <w:r>
        <w:t xml:space="preserve"> </w:t>
      </w:r>
      <w:r>
        <w:t>| (0.08) than the other set (0.01), with helical assemblies formed via chiral memory effect. Notably, large‐area arrays of (</w:t>
      </w:r>
      <w:r>
        <w:t xml:space="preserve"> </w:t>
      </w:r>
      <w:r>
        <w:t>R</w:t>
      </w:r>
      <w:r>
        <w:t xml:space="preserve"> </w:t>
      </w:r>
      <w:r>
        <w:t>)‐PDI‐(</w:t>
      </w:r>
      <w:r>
        <w:t xml:space="preserve"> </w:t>
      </w:r>
      <w:r>
        <w:t>R</w:t>
      </w:r>
      <w:r>
        <w:t xml:space="preserve"> </w:t>
      </w:r>
      <w:r>
        <w:t>)‐NI films enabled CPL imaging, and a bionic artificial visual system was constructed with this film as “retina” and an artificial neural network as “neural center” for reliable CPL discrimination, offering a scalable strategy for high‐performance chiral optoelectronics.</w:t>
      </w:r>
    </w:p>
    <w:p>
      <w:pPr>
        <w:spacing w:before="120" w:after="120"/>
      </w:pPr>
      <w:r>
        <w:rPr>
          <w:sz w:val="18"/>
        </w:rPr>
        <w:t>——————————————————————————————————————————————————————————————————————</w:t>
      </w:r>
    </w:p>
    <w:p>
      <w:pPr>
        <w:spacing w:before="160" w:after="40" w:line="240" w:lineRule="auto"/>
      </w:pPr>
      <w:r>
        <w:rPr>
          <w:b/>
        </w:rPr>
        <w:t xml:space="preserve">[390] </w:t>
      </w:r>
      <w:hyperlink r:id="rId963">
        <w:r>
          <w:rPr>
            <w:color w:val="1155CC"/>
            <w:u w:val="single"/>
          </w:rPr>
          <w:t>通过多齿膦酸聚合物网络减轻钙钛矿太阳能电池中光热引起的老化</w:t>
        </w:r>
      </w:hyperlink>
    </w:p>
    <w:p>
      <w:pPr>
        <w:spacing w:before="0" w:after="80"/>
      </w:pPr>
      <w:r>
        <w:rPr>
          <w:i/>
          <w:sz w:val="20"/>
        </w:rPr>
        <w:t>EN: Mitigating Photothermal‐Induced Burn‐In in Perovskite Solar Cells via a Multidentate Phosphonic Acid Polymer Network</w:t>
      </w:r>
    </w:p>
    <w:p>
      <w:pPr>
        <w:spacing w:before="0" w:after="120"/>
      </w:pPr>
      <w:r>
        <w:rPr>
          <w:b/>
        </w:rPr>
        <w:t xml:space="preserve">Source: </w:t>
      </w:r>
      <w:r>
        <w:t>Wiley: Advanced Energy Materials: Table of Contents</w:t>
      </w:r>
      <w:r>
        <w:t xml:space="preserve">    </w:t>
      </w:r>
      <w:r>
        <w:rPr>
          <w:b/>
        </w:rPr>
        <w:t xml:space="preserve">Pub date: </w:t>
      </w:r>
      <w:r>
        <w:t>2026-06-03 09:59:01+00:00</w:t>
      </w:r>
      <w:r>
        <w:t xml:space="preserve">    </w:t>
      </w:r>
      <w:r>
        <w:rPr>
          <w:b/>
        </w:rPr>
        <w:t xml:space="preserve">DOI: </w:t>
      </w:r>
      <w:hyperlink r:id="rId964">
        <w:r>
          <w:rPr>
            <w:color w:val="1155CC"/>
            <w:u w:val="single"/>
          </w:rPr>
          <w:t>10.1002/aenm.71159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钙钛矿太阳能电池（PSC）在初始运行阶段的老化损耗会导致大量的异质功率输出，因为子电池之间的不均匀退化会迅速放大串并联失配，从而损害模块级的效率和长期稳定性。大多数单体自组装单层（M-SAM）在恶劣的光热应力下会遭受严重的老化损失，并且早期性能衰减动力学和相关的降解机制仍不清楚。在这里，我们发现光热条件下的老化损失主要源于掩埋SAM/钙钛矿界面处的配位弛豫/解离以及由此产生的最初数十小时内的快速离子迁移。此外，我们开发了具有多齿膦酸聚合物网络的聚合物 SAM（P-SAM），可增强界面化学耦合和机械鲁棒性。值得注意的是，它将界面断裂强度提高了近八倍，达到 9.11 MPa，并改善了大面积薄膜的均匀性。因此，对于小面积 PSC（0.06734 cm），P-SAM 的认证效率为 26.61%</w:t>
      </w:r>
      <w:r>
        <w:rPr>
          <w:vertAlign w:val="subscript"/>
        </w:rPr>
        <w:t>2</w:t>
      </w:r>
      <w:r>
        <w:t>）和大面积模块（62.37 cm</w:t>
      </w:r>
      <w:r>
        <w:rPr>
          <w:vertAlign w:val="subscript"/>
        </w:rPr>
        <w:t>2</w:t>
      </w:r>
      <w:r>
        <w:t>）。在 85 °C 的连续 AM1.5G（单太阳）最大功率点跟踪下，P-SAM 器件将初始效率损失从 35.6% 降低至 4.3%，消除了老化行为，从而增强了 T 的长期稳定性。</w:t>
      </w:r>
      <w:r>
        <w:rPr>
          <w:vertAlign w:val="subscript"/>
        </w:rPr>
        <w:t>90</w:t>
      </w:r>
      <w:r>
        <w:t>使用寿命为 1695 h。</w:t>
      </w:r>
    </w:p>
    <w:p>
      <w:pPr>
        <w:spacing w:before="0" w:after="200" w:lineRule="auto" w:line="276"/>
      </w:pPr>
      <w:r>
        <w:rPr>
          <w:b/>
        </w:rPr>
        <w:t xml:space="preserve">Abstract (EN): </w:t>
      </w:r>
      <w:r>
        <w:t>The burn‐in loss in perovskite solar cells (PSCs) during the initial operational stage induces substantial heterogeneous power output, as non‐uniform degradation among sub‐cells rapidly amplifies series‐parallel mismatch to compromise both efficiency and long‐term stability at module level. Most monomeric self‐assembled monolayers (M‐SAMs) suffer severe burn‐in loss under harsh photothermal stress, and the early‐stage performance decay dynamics and relevant degradation mechanisms remain unclear. Here, we find that the burn‐in loss under light‐heat conditions mainly originates from coordination relaxation/dissociation at the buried SAM/perovskite interface and the resultant rapid ion migration within the initial tens of hours. Further, we developed polymeric SAMs (P‐SAMs) featuring a multidentate phosphonic acid polymer network that enhances interfacial chemical coupling and mechanical robustness. Notably, it boosts interfacial fracture strength by nearly eightfold to 9.11 MPa and improves large‐area film uniformity. Consequently, P‐SAMs exhibit a certified efficiency of 26.61% for small‐area PSCs (0.06734 cm</w:t>
      </w:r>
      <w:r>
        <w:rPr>
          <w:vertAlign w:val="subscript"/>
        </w:rPr>
        <w:t>2</w:t>
      </w:r>
      <w:r>
        <w:t>) and 22.83% for large‐area modules (62.37 cm</w:t>
      </w:r>
      <w:r>
        <w:rPr>
          <w:vertAlign w:val="subscript"/>
        </w:rPr>
        <w:t>2</w:t>
      </w:r>
      <w:r>
        <w:t>). Under continuous AM1.5G (one‐sun) maximum power point tracking at 85 °C, the P‐SAM device reduces the initial efficiency loss from 35.6% to 4.3%, eliminating burn‐in behavior to enhance long‐term stability with a T</w:t>
      </w:r>
      <w:r>
        <w:rPr>
          <w:vertAlign w:val="subscript"/>
        </w:rPr>
        <w:t>90</w:t>
      </w:r>
      <w:r>
        <w:t>lifetime of 1695 h.</w:t>
      </w:r>
    </w:p>
    <w:p>
      <w:pPr>
        <w:spacing w:before="120" w:after="120"/>
      </w:pPr>
      <w:r>
        <w:rPr>
          <w:sz w:val="18"/>
        </w:rPr>
        <w:t>——————————————————————————————————————————————————————————————————————</w:t>
      </w:r>
    </w:p>
    <w:p>
      <w:pPr>
        <w:spacing w:before="160" w:after="40" w:line="240" w:lineRule="auto"/>
      </w:pPr>
      <w:r>
        <w:rPr>
          <w:b/>
        </w:rPr>
        <w:t xml:space="preserve">[391] </w:t>
      </w:r>
      <w:hyperlink r:id="rId965">
        <w:r>
          <w:rPr>
            <w:color w:val="1155CC"/>
            <w:u w:val="single"/>
          </w:rPr>
          <w:t>不同相胶体晶体的可编程逐步异质外延生长</w:t>
        </w:r>
      </w:hyperlink>
    </w:p>
    <w:p>
      <w:pPr>
        <w:spacing w:before="0" w:after="80"/>
      </w:pPr>
      <w:r>
        <w:rPr>
          <w:i/>
          <w:sz w:val="20"/>
        </w:rPr>
        <w:t>EN: Programmable Stepwise Heteroepitaxial Growth of Colloidal Crystals With Different Phases</w:t>
      </w:r>
    </w:p>
    <w:p>
      <w:pPr>
        <w:spacing w:before="0" w:after="120"/>
      </w:pPr>
      <w:r>
        <w:rPr>
          <w:b/>
        </w:rPr>
        <w:t xml:space="preserve">Source: </w:t>
      </w:r>
      <w:r>
        <w:t>Wiley: Advanced Materials: Table of Contents</w:t>
      </w:r>
      <w:r>
        <w:t xml:space="preserve">    </w:t>
      </w:r>
      <w:r>
        <w:rPr>
          <w:b/>
        </w:rPr>
        <w:t xml:space="preserve">Pub date: </w:t>
      </w:r>
      <w:r>
        <w:t>2026-06-03 11:34:22+00:00</w:t>
      </w:r>
      <w:r>
        <w:t xml:space="preserve">    </w:t>
      </w:r>
      <w:r>
        <w:rPr>
          <w:b/>
        </w:rPr>
        <w:t xml:space="preserve">DOI: </w:t>
      </w:r>
      <w:hyperlink r:id="rId966">
        <w:r>
          <w:rPr>
            <w:color w:val="1155CC"/>
            <w:u w:val="single"/>
          </w:rPr>
          <w:t>10.1002/adma.73583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异质外延生长是通过集成埃到纳米长度尺度上不同结构的材料来构建分层系统的强大策略。然而，不同相之间的晶格失配通常会影响最终的晶体稳定性。对于胶体晶体系统尤其如此。在这里，利用 DNA 胶体晶体工程来组装多相胶体晶体，对晶格应变具有极高的耐受性。最值得注意的是，DNA 的结构灵活性可以容纳高达 18% 的晶格失配，从而首次能够在具有 (110) 个面的体心立方 (bcc) 晶体上生长具有 (111) 个面的面心立方 (fcc) 晶格（所研究的粒子有 13% 的 bcc-fcc 相失配；在原子系统中为 2%–4%）。通过调整颗粒大小，可以引起或多或少的应变，从而可以确定 bcc-fcc 相失配的上限 (34%)。时域有限差分（FDTD）光学模拟表明，这些多相异质外延结构可以充当波导，这使得它们成为对光学感兴趣的人的有吸引力的目标。通过DNA键合调节的晶格失配超过了原子异质外延中典型的晶格失配（没有缓冲层的情况下只有百分之几），凸显了该技术在设计和制备具有定制结构功能关系的分层材料方面的多功能性。</w:t>
      </w:r>
    </w:p>
    <w:p>
      <w:pPr>
        <w:spacing w:before="0" w:after="200" w:lineRule="auto" w:line="276"/>
      </w:pPr>
      <w:r>
        <w:rPr>
          <w:b/>
        </w:rPr>
        <w:t xml:space="preserve">Abstract (EN): </w:t>
      </w:r>
      <w:r>
        <w:t>Heteroepitaxial growth is a powerful strategy for constructing hierarchical systems by integrating materials with different structures across the angstrom to nanometer length scale. However, lattice mismatches between different phases often impact the resulting crystal stability. This is especially true for colloidal crystal systems. Here, colloidal crystal engineering with DNA is used to assemble multi‐phase colloidal crystals, with extreme tolerance for lattice strain. Most notably, the structural flexibility of DNA can accommodate lattice mismatch up to 18%, allowing one to grow, for the first time, face‐centered cubic (fcc) lattices with (111) facets on body‐centered cubic (bcc) crystals with (110) facets (a 13% bcc‐fcc phase misfit for the particles studied; 2%–4% in an atomic system). By adjusting particle size, more or less strain can be induced, allowing one to determine the upper limit for bcc‐fcc phase misfit (34%). Finite‐difference time‐domain (FDTD) optical simulations reveal that these multi‐phase heteroepitaxial structures can function as waveguides, making them attractive targets for those interested in optics. The lattice mismatches accommodated through DNA bonding exceed those typical in atomic heteroepitaxy (a few percent without a buffer layer), highlighting the versatility of this technique for designing and preparing hierarchical materials with tailored structure‐function relationships.</w:t>
      </w:r>
    </w:p>
    <w:p>
      <w:pPr>
        <w:spacing w:before="120" w:after="120"/>
      </w:pPr>
      <w:r>
        <w:rPr>
          <w:sz w:val="18"/>
        </w:rPr>
        <w:t>——————————————————————————————————————————————————————————————————————</w:t>
      </w:r>
    </w:p>
    <w:p>
      <w:pPr>
        <w:spacing w:before="160" w:after="40" w:line="240" w:lineRule="auto"/>
      </w:pPr>
      <w:r>
        <w:rPr>
          <w:b/>
        </w:rPr>
        <w:t xml:space="preserve">[392] </w:t>
      </w:r>
      <w:hyperlink r:id="rId967">
        <w:r>
          <w:rPr>
            <w:color w:val="1155CC"/>
            <w:u w:val="single"/>
          </w:rPr>
          <w:t>基于内超声多重散射的改善肾功能的纳米机器</w:t>
        </w:r>
      </w:hyperlink>
    </w:p>
    <w:p>
      <w:pPr>
        <w:spacing w:before="0" w:after="80"/>
      </w:pPr>
      <w:r>
        <w:rPr>
          <w:i/>
          <w:sz w:val="20"/>
        </w:rPr>
        <w:t>EN: Nanomachines Based on Inner Ultrasonic Multiple Scattering for Ameliorating Renal Function</w:t>
      </w:r>
    </w:p>
    <w:p>
      <w:pPr>
        <w:spacing w:before="0" w:after="120"/>
      </w:pPr>
      <w:r>
        <w:rPr>
          <w:b/>
        </w:rPr>
        <w:t xml:space="preserve">Source: </w:t>
      </w:r>
      <w:r>
        <w:t>Wiley: Advanced Materials: Table of Contents</w:t>
      </w:r>
      <w:r>
        <w:t xml:space="preserve">    </w:t>
      </w:r>
      <w:r>
        <w:rPr>
          <w:b/>
        </w:rPr>
        <w:t xml:space="preserve">Pub date: </w:t>
      </w:r>
      <w:r>
        <w:t>2026-06-03 11:36:45+00:00</w:t>
      </w:r>
      <w:r>
        <w:t xml:space="preserve">    </w:t>
      </w:r>
      <w:r>
        <w:rPr>
          <w:b/>
        </w:rPr>
        <w:t xml:space="preserve">DOI: </w:t>
      </w:r>
      <w:hyperlink r:id="rId968">
        <w:r>
          <w:rPr>
            <w:color w:val="1155CC"/>
            <w:u w:val="single"/>
          </w:rPr>
          <w:t>10.1002/adma.73566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在急性肾损伤（AKI）期间保护细胞/组织损伤是一个重要但仍然具有挑战性的目标。在这里，我们提出了一种电流超声转换驱动的无线定位和跟踪纳米机器，其中 Au 覆盖了 PASP-PArg/BaTiO 的一侧</w:t>
      </w:r>
      <w:r>
        <w:rPr>
          <w:vertAlign w:val="subscript"/>
        </w:rPr>
        <w:t>3</w:t>
      </w:r>
      <w:r>
        <w:t>踏板（Au@PASP-PArg/BaTiO</w:t>
      </w:r>
      <w:r>
        <w:rPr>
          <w:vertAlign w:val="subscript"/>
        </w:rPr>
        <w:t>3</w:t>
      </w:r>
      <w:r>
        <w:t>，ASPB）。这些导航纳米结构被用于治疗 AKI，以证实一种主动抑制肾脏损伤形成的新技术和方法，以实现高效的肾脏保护。 ASPB具有高介电常数和压电特性，可在外源电流激励下获得内源超声电流并进行引导导航。在内源超声的触发下，ASPB进一步在其表面产生不平衡电荷，并与周围的水发生氧化还原反应，得到H</w:t>
      </w:r>
      <w:r>
        <w:rPr>
          <w:vertAlign w:val="subscript"/>
        </w:rPr>
        <w:t>2</w:t>
      </w:r>
      <w:r>
        <w:t>氧</w:t>
      </w:r>
      <w:r>
        <w:rPr>
          <w:vertAlign w:val="subscript"/>
        </w:rPr>
        <w:t>2</w:t>
      </w:r>
      <w:r>
        <w:t>和</w:t>
      </w:r>
      <w:r>
        <w:rPr>
          <w:vertAlign w:val="subscript"/>
        </w:rPr>
        <w:t>1</w:t>
      </w:r>
      <w:r>
        <w:t>氧</w:t>
      </w:r>
      <w:r>
        <w:rPr>
          <w:vertAlign w:val="subscript"/>
        </w:rPr>
        <w:t>2</w:t>
      </w:r>
      <w:r>
        <w:t>;同时，ASPB还可以分解水产生O</w:t>
      </w:r>
      <w:r>
        <w:rPr>
          <w:vertAlign w:val="subscript"/>
        </w:rPr>
        <w:t>2</w:t>
      </w:r>
      <w:r>
        <w:t>在内源性超声波的诱导下。此外，获得的 H</w:t>
      </w:r>
      <w:r>
        <w:rPr>
          <w:vertAlign w:val="subscript"/>
        </w:rPr>
        <w:t>2</w:t>
      </w:r>
      <w:r>
        <w:t>氧</w:t>
      </w:r>
      <w:r>
        <w:rPr>
          <w:vertAlign w:val="subscript"/>
        </w:rPr>
        <w:t>2</w:t>
      </w:r>
      <w:r>
        <w:t>和</w:t>
      </w:r>
      <w:r>
        <w:rPr>
          <w:vertAlign w:val="subscript"/>
        </w:rPr>
        <w:t>1</w:t>
      </w:r>
      <w:r>
        <w:t>氧</w:t>
      </w:r>
      <w:r>
        <w:rPr>
          <w:vertAlign w:val="subscript"/>
        </w:rPr>
        <w:t>2</w:t>
      </w:r>
      <w:r>
        <w:t>催化聚精氨酸排出NO。重要的是，在准确的情况下</w:t>
      </w:r>
    </w:p>
    <w:p>
      <w:pPr>
        <w:spacing w:before="0" w:after="200" w:lineRule="auto" w:line="276"/>
      </w:pPr>
      <w:r>
        <w:rPr>
          <w:b/>
        </w:rPr>
        <w:t xml:space="preserve">Abstract (EN): </w:t>
      </w:r>
      <w:r>
        <w:t>Protecting cell/tissue disservice during acute kidney injury (AKI) was an important but still challenging goal. Here, we proposed a current‐ultrasound convertion‐propelled wireless positioning and tracking nanomachine in which Au covered one side of a PASP‐PArg/BaTiO</w:t>
      </w:r>
      <w:r>
        <w:rPr>
          <w:vertAlign w:val="subscript"/>
        </w:rPr>
        <w:t>3</w:t>
      </w:r>
      <w:r>
        <w:t>footplate (Au@PASP‐PArg/BaTiO</w:t>
      </w:r>
      <w:r>
        <w:rPr>
          <w:vertAlign w:val="subscript"/>
        </w:rPr>
        <w:t>3</w:t>
      </w:r>
      <w:r>
        <w:t>, ASPB). These navigational nanomaches were used in the treatment of AKI to confirm a new technology and method for actively inhibiting kidney‐trauma formation to enable highly efficient kidney‐protection. ASPB possessed the high dielectric constant and piezoelectric properties, which acquired endogenous ultrasound‐current and guided navigation under exogenous current excitement. Under the triggering of endogenous ultrasound, ASPB further gave rise to the unbalanced charges on its surface and underwent oxidation‐reduction reactions with surrounding water, obtaining H</w:t>
      </w:r>
      <w:r>
        <w:rPr>
          <w:vertAlign w:val="subscript"/>
        </w:rPr>
        <w:t>2</w:t>
      </w:r>
      <w:r>
        <w:t>O</w:t>
      </w:r>
      <w:r>
        <w:rPr>
          <w:vertAlign w:val="subscript"/>
        </w:rPr>
        <w:t>2</w:t>
      </w:r>
      <w:r>
        <w:t>and</w:t>
      </w:r>
      <w:r>
        <w:rPr>
          <w:vertAlign w:val="subscript"/>
        </w:rPr>
        <w:t>1</w:t>
      </w:r>
      <w:r>
        <w:t>O</w:t>
      </w:r>
      <w:r>
        <w:rPr>
          <w:vertAlign w:val="subscript"/>
        </w:rPr>
        <w:t>2</w:t>
      </w:r>
      <w:r>
        <w:t>; meanwhile, ASPB could also decompose water to produce O</w:t>
      </w:r>
      <w:r>
        <w:rPr>
          <w:vertAlign w:val="subscript"/>
        </w:rPr>
        <w:t>2</w:t>
      </w:r>
      <w:r>
        <w:t>under the inducement of endogenous ultrasound. Additionally, the attained H</w:t>
      </w:r>
      <w:r>
        <w:rPr>
          <w:vertAlign w:val="subscript"/>
        </w:rPr>
        <w:t>2</w:t>
      </w:r>
      <w:r>
        <w:t>O</w:t>
      </w:r>
      <w:r>
        <w:rPr>
          <w:vertAlign w:val="subscript"/>
        </w:rPr>
        <w:t>2</w:t>
      </w:r>
      <w:r>
        <w:t>and</w:t>
      </w:r>
      <w:r>
        <w:rPr>
          <w:vertAlign w:val="subscript"/>
        </w:rPr>
        <w:t>1</w:t>
      </w:r>
      <w:r>
        <w:t>O</w:t>
      </w:r>
      <w:r>
        <w:rPr>
          <w:vertAlign w:val="subscript"/>
        </w:rPr>
        <w:t>2</w:t>
      </w:r>
      <w:r>
        <w:t>catalyzed polyarginine to discharge NO. Importantly, under accurate navigation, endogenous ultrasound‐triggered gas sensor discharged NO/O</w:t>
      </w:r>
      <w:r>
        <w:t xml:space="preserve"> </w:t>
      </w:r>
      <w:r>
        <w:t>2,</w:t>
      </w:r>
      <w:r>
        <w:t xml:space="preserve"> </w:t>
      </w:r>
      <w:r>
        <w:t>and endogenous current could protect renal tissues from damage based on modulating MYDGF expressions, KCNQ1 functions, and TMAO targeted metabolomics. These current‐ultrasound convertion‐pushed navigational nanomaches clearly unveiled illustrious potential for promoting highly efficient kidney‐function protection.</w:t>
      </w:r>
    </w:p>
    <w:p>
      <w:pPr>
        <w:spacing w:before="120" w:after="120"/>
      </w:pPr>
      <w:r>
        <w:rPr>
          <w:sz w:val="18"/>
        </w:rPr>
        <w:t>——————————————————————————————————————————————————————————————————————</w:t>
      </w:r>
    </w:p>
    <w:p>
      <w:pPr>
        <w:spacing w:before="160" w:after="40" w:line="240" w:lineRule="auto"/>
      </w:pPr>
      <w:r>
        <w:rPr>
          <w:b/>
        </w:rPr>
        <w:t xml:space="preserve">[393] </w:t>
      </w:r>
      <w:hyperlink r:id="rId969">
        <w:r>
          <w:rPr>
            <w:color w:val="1155CC"/>
            <w:u w:val="single"/>
          </w:rPr>
          <w:t>钨(IV)环烯配合物向复分解活性环亚烷基配合物的转化由环烯催化并可被环烯抑制</w:t>
        </w:r>
      </w:hyperlink>
    </w:p>
    <w:p>
      <w:pPr>
        <w:spacing w:before="0" w:after="80"/>
      </w:pPr>
      <w:r>
        <w:rPr>
          <w:i/>
          <w:sz w:val="20"/>
        </w:rPr>
        <w:t>EN: Conversions of Tungsten(IV) Cycloalkene Complexes to Metathesis‐Active Cycloalkylidene Complexes Are Catalyzed by Cycloalkene and Can be Inhibited by Cycloalkene</w:t>
      </w:r>
    </w:p>
    <w:p>
      <w:pPr>
        <w:spacing w:before="0" w:after="120"/>
      </w:pPr>
      <w:r>
        <w:rPr>
          <w:b/>
        </w:rPr>
        <w:t xml:space="preserve">Source: </w:t>
      </w:r>
      <w:r>
        <w:t>Wiley: Angewandte Chemie International Edition: Table of Contents</w:t>
      </w:r>
      <w:r>
        <w:t xml:space="preserve">    </w:t>
      </w:r>
      <w:r>
        <w:rPr>
          <w:b/>
        </w:rPr>
        <w:t xml:space="preserve">Pub date: </w:t>
      </w:r>
      <w:r>
        <w:t>2026-06-03 11:50:14+00:00</w:t>
      </w:r>
      <w:r>
        <w:t xml:space="preserve">    </w:t>
      </w:r>
      <w:r>
        <w:rPr>
          <w:b/>
        </w:rPr>
        <w:t xml:space="preserve">DOI: </w:t>
      </w:r>
      <w:hyperlink r:id="rId970">
        <w:r>
          <w:rPr>
            <w:color w:val="1155CC"/>
            <w:u w:val="single"/>
          </w:rPr>
          <w:t>10.1002/anie.6317497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由钼或钨亚烷基（M=CRR’）配合物催化的烯烃复分解反应是形成碳-碳双键的可靠方法，但如何仅由烯烃形成具有催化活性的亚烷基配合物尚未确定。在这里我们展示了 W(NR)(OR') 的两个电子还原</w:t>
      </w:r>
      <w:r>
        <w:rPr>
          <w:vertAlign w:val="subscript"/>
        </w:rPr>
        <w:t>2</w:t>
      </w:r>
      <w:r>
        <w:t>氯</w:t>
      </w:r>
      <w:r>
        <w:rPr>
          <w:vertAlign w:val="subscript"/>
        </w:rPr>
        <w:t>2</w:t>
      </w:r>
      <w:r>
        <w:t>在环戊烯、环己烯、环庚烯或环辛烯存在下形成配合物，生成 W(NR)(OR')</w:t>
      </w:r>
      <w:r>
        <w:rPr>
          <w:vertAlign w:val="subscript"/>
        </w:rPr>
        <w:t>2</w:t>
      </w:r>
      <w:r>
        <w:t>(环烯)和/或W(NR)(OR')</w:t>
      </w:r>
      <w:r>
        <w:rPr>
          <w:vertAlign w:val="subscript"/>
        </w:rPr>
        <w:t>2</w:t>
      </w:r>
      <w:r>
        <w:t>(亚环烷基)络合物 (R = 2,6-二异丙基苯基 (Ar), 2,6-二氯苯基 (Ar</w:t>
      </w:r>
      <w:r>
        <w:t xml:space="preserve"> </w:t>
      </w:r>
      <w:r>
        <w:t>氯</w:t>
      </w:r>
      <w:r>
        <w:t xml:space="preserve"> </w:t>
      </w:r>
      <w:r>
        <w:t>）；或' = OSiPh</w:t>
      </w:r>
      <w:r>
        <w:rPr>
          <w:vertAlign w:val="subscript"/>
        </w:rPr>
        <w:t>3</w:t>
      </w:r>
      <w:r>
        <w:t>, OCMe</w:t>
      </w:r>
      <w:r>
        <w:rPr>
          <w:vertAlign w:val="subscript"/>
        </w:rPr>
        <w:t>2</w:t>
      </w:r>
      <w:r>
        <w:t>（CF</w:t>
      </w:r>
      <w:r>
        <w:rPr>
          <w:vertAlign w:val="subscript"/>
        </w:rPr>
        <w:t>3</w:t>
      </w:r>
      <w:r>
        <w:t>) (或</w:t>
      </w:r>
      <w:r>
        <w:t xml:space="preserve"> </w:t>
      </w:r>
      <w:r>
        <w:t>F3</w:t>
      </w:r>
      <w:r>
        <w:t xml:space="preserve"> </w:t>
      </w:r>
      <w:r>
        <w:t>), OCMe(CF</w:t>
      </w:r>
      <w:r>
        <w:rPr>
          <w:vertAlign w:val="subscript"/>
        </w:rPr>
        <w:t>3</w:t>
      </w:r>
      <w:r>
        <w:t>）</w:t>
      </w:r>
      <w:r>
        <w:rPr>
          <w:vertAlign w:val="subscript"/>
        </w:rPr>
        <w:t>2</w:t>
      </w:r>
      <w:r>
        <w:t>（或</w:t>
      </w:r>
      <w:r>
        <w:t xml:space="preserve"> </w:t>
      </w:r>
      <w:r>
        <w:t>F6</w:t>
      </w:r>
      <w:r>
        <w:t xml:space="preserve"> </w:t>
      </w:r>
      <w:r>
        <w:t>), OC(CF</w:t>
      </w:r>
      <w:r>
        <w:rPr>
          <w:vertAlign w:val="subscript"/>
        </w:rPr>
        <w:t>3</w:t>
      </w:r>
      <w:r>
        <w:t>）</w:t>
      </w:r>
      <w:r>
        <w:rPr>
          <w:vertAlign w:val="subscript"/>
        </w:rPr>
        <w:t>3</w:t>
      </w:r>
      <w:r>
        <w:t>（或</w:t>
      </w:r>
      <w:r>
        <w:t xml:space="preserve"> </w:t>
      </w:r>
      <w:r>
        <w:t>F9</w:t>
      </w:r>
      <w:r>
        <w:t xml:space="preserve"> </w:t>
      </w:r>
      <w:r>
        <w:t>））。机理研究表明亚烷基是由未观察到的形成的</w:t>
      </w:r>
      <w:r>
        <w:t xml:space="preserve"> </w:t>
      </w:r>
      <w:r>
        <w:t>之二</w:t>
      </w:r>
      <w:r>
        <w:t xml:space="preserve"> </w:t>
      </w:r>
      <w:r>
        <w:t>-烯烃络合物，通过将烯丙基质子从一个结合的烯烃转移到第二个结合的烯烃，得到烷基/烯丙基中间体，然后从烷基返回α质子以形成烷基</w:t>
      </w:r>
    </w:p>
    <w:p>
      <w:pPr>
        <w:spacing w:before="0" w:after="200" w:lineRule="auto" w:line="276"/>
      </w:pPr>
      <w:r>
        <w:rPr>
          <w:b/>
        </w:rPr>
        <w:t xml:space="preserve">Abstract (EN): </w:t>
      </w:r>
      <w:r>
        <w:t>Olefin metathesis reactions catalyzed by molybdenum or tungsten alkylidene (M═CRR’) complexes are robust methods of forming carbon‐carbon double bonds, but how catalytically active alkylidene complexes are formed from olefins alone has not been determined. Here we show that two electron reductions of W(NR)(OR')</w:t>
      </w:r>
      <w:r>
        <w:rPr>
          <w:vertAlign w:val="subscript"/>
        </w:rPr>
        <w:t>2</w:t>
      </w:r>
      <w:r>
        <w:t>Cl</w:t>
      </w:r>
      <w:r>
        <w:rPr>
          <w:vertAlign w:val="subscript"/>
        </w:rPr>
        <w:t>2</w:t>
      </w:r>
      <w:r>
        <w:t>complexes in the presence of cyclopentene, cyclohexene, cycloheptene, or cyclooctene yield W(NR)(OR')</w:t>
      </w:r>
      <w:r>
        <w:rPr>
          <w:vertAlign w:val="subscript"/>
        </w:rPr>
        <w:t>2</w:t>
      </w:r>
      <w:r>
        <w:t>(cycloalkene) and/or W(NR)(OR')</w:t>
      </w:r>
      <w:r>
        <w:rPr>
          <w:vertAlign w:val="subscript"/>
        </w:rPr>
        <w:t>2</w:t>
      </w:r>
      <w:r>
        <w:t>(cycloalkylidene) complexes (R = 2,6‐diisopropylphenyl (Ar), 2,6‐dichlorophenyl (Ar</w:t>
      </w:r>
      <w:r>
        <w:t xml:space="preserve"> </w:t>
      </w:r>
      <w:r>
        <w:t>Cl</w:t>
      </w:r>
      <w:r>
        <w:t xml:space="preserve"> </w:t>
      </w:r>
      <w:r>
        <w:t>); OR' = OSiPh</w:t>
      </w:r>
      <w:r>
        <w:rPr>
          <w:vertAlign w:val="subscript"/>
        </w:rPr>
        <w:t>3</w:t>
      </w:r>
      <w:r>
        <w:t>, OCMe</w:t>
      </w:r>
      <w:r>
        <w:rPr>
          <w:vertAlign w:val="subscript"/>
        </w:rPr>
        <w:t>2</w:t>
      </w:r>
      <w:r>
        <w:t>(CF</w:t>
      </w:r>
      <w:r>
        <w:rPr>
          <w:vertAlign w:val="subscript"/>
        </w:rPr>
        <w:t>3</w:t>
      </w:r>
      <w:r>
        <w:t>) (OR</w:t>
      </w:r>
      <w:r>
        <w:t xml:space="preserve"> </w:t>
      </w:r>
      <w:r>
        <w:t>F3</w:t>
      </w:r>
      <w:r>
        <w:t xml:space="preserve"> </w:t>
      </w:r>
      <w:r>
        <w:t>), OCMe(CF</w:t>
      </w:r>
      <w:r>
        <w:rPr>
          <w:vertAlign w:val="subscript"/>
        </w:rPr>
        <w:t>3</w:t>
      </w:r>
      <w:r>
        <w:t>)</w:t>
      </w:r>
      <w:r>
        <w:rPr>
          <w:vertAlign w:val="subscript"/>
        </w:rPr>
        <w:t>2</w:t>
      </w:r>
      <w:r>
        <w:t>(OR</w:t>
      </w:r>
      <w:r>
        <w:t xml:space="preserve"> </w:t>
      </w:r>
      <w:r>
        <w:t>F6</w:t>
      </w:r>
      <w:r>
        <w:t xml:space="preserve"> </w:t>
      </w:r>
      <w:r>
        <w:t>), OC(CF</w:t>
      </w:r>
      <w:r>
        <w:rPr>
          <w:vertAlign w:val="subscript"/>
        </w:rPr>
        <w:t>3</w:t>
      </w:r>
      <w:r>
        <w:t>)</w:t>
      </w:r>
      <w:r>
        <w:rPr>
          <w:vertAlign w:val="subscript"/>
        </w:rPr>
        <w:t>3</w:t>
      </w:r>
      <w:r>
        <w:t>(OR</w:t>
      </w:r>
      <w:r>
        <w:t xml:space="preserve"> </w:t>
      </w:r>
      <w:r>
        <w:t>F9</w:t>
      </w:r>
      <w:r>
        <w:t xml:space="preserve"> </w:t>
      </w:r>
      <w:r>
        <w:t>)). Mechanistic studies suggest that alkylidenes are formed from unobserved</w:t>
      </w:r>
      <w:r>
        <w:t xml:space="preserve"> </w:t>
      </w:r>
      <w:r>
        <w:t>bis</w:t>
      </w:r>
      <w:r>
        <w:t xml:space="preserve"> </w:t>
      </w:r>
      <w:r>
        <w:t>‐alkene complexes through the transfer of an allylic proton from one bound olefin to the second to give an alkyl/allyl intermediate followed by the return of an α proton from the alkyl to form an alkylidene (the AA mechanism). Tungstacyclopentane complexes formed from two equivalents of cyclopentene or cyclohexene can be isolated, but there is no compelling evidence that these complexes can form alkylidenes through a thermal ring‐contraction mechanism. In fact, these metallacyclopentanes appear to inhibit alkylidene formation.</w:t>
      </w:r>
    </w:p>
    <w:p>
      <w:pPr>
        <w:spacing w:before="120" w:after="120"/>
      </w:pPr>
      <w:r>
        <w:rPr>
          <w:sz w:val="18"/>
        </w:rPr>
        <w:t>——————————————————————————————————————————————————————————————————————</w:t>
      </w:r>
    </w:p>
    <w:p>
      <w:pPr>
        <w:spacing w:before="160" w:after="40" w:line="240" w:lineRule="auto"/>
      </w:pPr>
      <w:r>
        <w:rPr>
          <w:b/>
        </w:rPr>
        <w:t xml:space="preserve">[394] </w:t>
      </w:r>
      <w:hyperlink r:id="rId971">
        <w:r>
          <w:rPr>
            <w:color w:val="1155CC"/>
            <w:u w:val="single"/>
          </w:rPr>
          <w:t>通过动态动力学拆分铜催化炔烃不对称硼氢化反应生成 C-N 轴向手性氮硼烷</w:t>
        </w:r>
      </w:hyperlink>
    </w:p>
    <w:p>
      <w:pPr>
        <w:spacing w:before="0" w:after="80"/>
      </w:pPr>
      <w:r>
        <w:rPr>
          <w:i/>
          <w:sz w:val="20"/>
        </w:rPr>
        <w:t>EN: Copper‐Catalyzed Asymmetric Hydroboration of Alkynes to C‐N Axially Chiral Azaborines via Dynamic Kinetic Resolution</w:t>
      </w:r>
    </w:p>
    <w:p>
      <w:pPr>
        <w:spacing w:before="0" w:after="120"/>
      </w:pPr>
      <w:r>
        <w:rPr>
          <w:b/>
        </w:rPr>
        <w:t xml:space="preserve">Source: </w:t>
      </w:r>
      <w:r>
        <w:t>Wiley: Angewandte Chemie International Edition: Table of Contents</w:t>
      </w:r>
      <w:r>
        <w:t xml:space="preserve">    </w:t>
      </w:r>
      <w:r>
        <w:rPr>
          <w:b/>
        </w:rPr>
        <w:t xml:space="preserve">Pub date: </w:t>
      </w:r>
      <w:r>
        <w:t>2026-06-03 11:53:01+00:00</w:t>
      </w:r>
      <w:r>
        <w:t xml:space="preserve">    </w:t>
      </w:r>
      <w:r>
        <w:rPr>
          <w:b/>
        </w:rPr>
        <w:t xml:space="preserve">DOI: </w:t>
      </w:r>
      <w:hyperlink r:id="rId972">
        <w:r>
          <w:rPr>
            <w:color w:val="1155CC"/>
            <w:u w:val="single"/>
          </w:rPr>
          <w:t>10.1002/anie.8039085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C-N轴向手性基序在不同领域具有巨大的应用潜力，并且由于其独特的理化性质，人们对氮杂硼烷框架的兴趣日益浓厚，但C-N轴向手性氮杂硼烷的直接催化合成仍然难以捉摸，这极大地阻碍了这些有前途的分子支架的实际部署。在此，我们公开了在温和反应条件下铜催化炔烃与N-芳基氮杂硼烷的不对称硼氢化反应，该反应能够以高产率有效获得C-N轴向手性氮杂硼烷产物，并具有优异的区域选择性。</w:t>
      </w:r>
      <w:r>
        <w:t xml:space="preserve"> </w:t>
      </w:r>
      <w:r>
        <w:t>Z</w:t>
      </w:r>
      <w:r>
        <w:t xml:space="preserve"> </w:t>
      </w:r>
      <w:r>
        <w:t>‐立体选择性和对映选择性。机理实验和密度泛函理论计算表明该反应涉及动态动力学拆分过程。具体来说，外消旋N-芳基氮杂硼烷的两种对映体可以在Na2O的作用下通过脱芳香四配位硼中间体发生外消旋化</w:t>
      </w:r>
      <w:r>
        <w:t xml:space="preserve"> </w:t>
      </w:r>
      <w:r>
        <w:t>t</w:t>
      </w:r>
      <w:r>
        <w:t xml:space="preserve"> </w:t>
      </w:r>
      <w:r>
        <w:t>布。</w:t>
      </w:r>
    </w:p>
    <w:p>
      <w:pPr>
        <w:spacing w:before="0" w:after="200" w:lineRule="auto" w:line="276"/>
      </w:pPr>
      <w:r>
        <w:rPr>
          <w:b/>
        </w:rPr>
        <w:t xml:space="preserve">Abstract (EN): </w:t>
      </w:r>
      <w:r>
        <w:t>Despite the substantial application potential of C–N axially chiral motifs across diverse fields, and the growing interest in azaborine frameworks owing to their distinctive physicochemical properties, the direct catalytic synthesis of C–N axially chiral azaborines has remained elusive, significantly impeding the practical deployment of these promising molecular scaffolds. Herein, we disclose a copper‐catalyzed asymmetric hydroboration reaction of alkynes with N‐arylazaborines under mild reaction conditions, which enables the efficient access to C–N axially chiral azaborine products in high yields, accompanied by excellent regioselectivity,</w:t>
      </w:r>
      <w:r>
        <w:t xml:space="preserve"> </w:t>
      </w:r>
      <w:r>
        <w:t>Z</w:t>
      </w:r>
      <w:r>
        <w:t xml:space="preserve"> </w:t>
      </w:r>
      <w:r>
        <w:t>‐stereoselectivity, and enantioselectivity. Mechanistic experiments and density functional theory calculations reveal that a dynamic kinetic resolution process is involved in this reaction. Specifically, the two enantiomers of racemic N‐arylazaborines can undergo racemization via a dearomative tetracoordinate boron intermediate under the action of NaO</w:t>
      </w:r>
      <w:r>
        <w:t xml:space="preserve"> </w:t>
      </w:r>
      <w:r>
        <w:t>t</w:t>
      </w:r>
      <w:r>
        <w:t xml:space="preserve"> </w:t>
      </w:r>
      <w:r>
        <w:t>Bu.</w:t>
      </w:r>
    </w:p>
    <w:p>
      <w:pPr>
        <w:spacing w:before="120" w:after="120"/>
      </w:pPr>
      <w:r>
        <w:rPr>
          <w:sz w:val="18"/>
        </w:rPr>
        <w:t>——————————————————————————————————————————————————————————————————————</w:t>
      </w:r>
    </w:p>
    <w:p>
      <w:pPr>
        <w:spacing w:before="160" w:after="40" w:line="240" w:lineRule="auto"/>
      </w:pPr>
      <w:r>
        <w:rPr>
          <w:b/>
        </w:rPr>
        <w:t xml:space="preserve">[395] </w:t>
      </w:r>
      <w:hyperlink r:id="rId973">
        <w:r>
          <w:rPr>
            <w:color w:val="1155CC"/>
            <w:u w:val="single"/>
          </w:rPr>
          <w:t>非苯并π电子扰动使超窄带有机发光体中的前沿轨道对称性重建成为可能</w:t>
        </w:r>
      </w:hyperlink>
    </w:p>
    <w:p>
      <w:pPr>
        <w:spacing w:before="0" w:after="80"/>
      </w:pPr>
      <w:r>
        <w:rPr>
          <w:i/>
          <w:sz w:val="20"/>
        </w:rPr>
        <w:t>EN: Non‐Benzenoid π‐Electronic Perturbation Enables Frontier‐Orbital Symmetry Reconstruction in Ultra‐Narrowband Organic Luminophores</w:t>
      </w:r>
    </w:p>
    <w:p>
      <w:pPr>
        <w:spacing w:before="0" w:after="120"/>
      </w:pPr>
      <w:r>
        <w:rPr>
          <w:b/>
        </w:rPr>
        <w:t xml:space="preserve">Source: </w:t>
      </w:r>
      <w:r>
        <w:t>Wiley: Angewandte Chemie International Edition: Table of Contents</w:t>
      </w:r>
      <w:r>
        <w:t xml:space="preserve">    </w:t>
      </w:r>
      <w:r>
        <w:rPr>
          <w:b/>
        </w:rPr>
        <w:t xml:space="preserve">Pub date: </w:t>
      </w:r>
      <w:r>
        <w:t>2026-06-03 11:55:17+00:00</w:t>
      </w:r>
      <w:r>
        <w:t xml:space="preserve">    </w:t>
      </w:r>
      <w:r>
        <w:rPr>
          <w:b/>
        </w:rPr>
        <w:t xml:space="preserve">DOI: </w:t>
      </w:r>
      <w:hyperlink r:id="rId974">
        <w:r>
          <w:rPr>
            <w:color w:val="1155CC"/>
            <w:u w:val="single"/>
          </w:rPr>
          <w:t>10.1002/anie.2407619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超窄半峰全宽（FWHM）的有机发光体对于高清显示器的要求很高；然而，当前的策略，包括键长均质化和多重共振效应，通常受到分子设计灵活性的限制。在此，我们通过将反芳香族环丁二烯基序纳入含氮多环芳烃中，提出了一系列新的超窄有机发光体。理论模拟表明，稠合四元环引入了非苯环π电子扰动，从而重建了前沿轨道对称性。这种重构抑制了固有的键合-反键合转变特征，提供了 10.3 nm 的极窄 FWHM（在稀甲苯中）和接近一致的光致发光量子产率（PLQY ≈ 100%）。此外，弱芳香性介导的二维（2D）π共轭延伸不仅提高了发光效率，而且还提供了与真空蒸发过程兼容的足够的化学稳定性。包含这些 CBD 嵌入式发射器的有机电致发光 (EL) 器件表现出高性能，最大电流效率超过 30.0 cd A</w:t>
      </w:r>
      <w:r>
        <w:t xml:space="preserve"> </w:t>
      </w:r>
      <w:r>
        <w:t>-</w:t>
      </w:r>
      <w:r>
        <w:rPr>
          <w:vertAlign w:val="subscript"/>
        </w:rPr>
        <w:t>1</w:t>
      </w:r>
      <w:r>
        <w:t>，外部量子效率超过20.1%，并且效率滚降最小，从而强调了反芳香调制在开发尖端窄带发射器方面的巨大潜力。</w:t>
      </w:r>
    </w:p>
    <w:p>
      <w:pPr>
        <w:spacing w:before="0" w:after="200" w:lineRule="auto" w:line="276"/>
      </w:pPr>
      <w:r>
        <w:rPr>
          <w:b/>
        </w:rPr>
        <w:t xml:space="preserve">Abstract (EN): </w:t>
      </w:r>
      <w:r>
        <w:t>Organic luminophores with ultra‐narrow full widths at half‐maximum (FWHMs) are highly demanding for high‐definition displays; however, the current strategies, including bond‐length homogenization and multiple‐resonance effects, often suffer from limited molecular design flexibility. Herein, we present a new series of ultra‐narrow organic luminophores by incorporating an antiaromatic cyclobutadiene motif into nitrogen‐containing polycyclic aromatic hydrocarbons. Theoretical simulations show that the fused four‐membered rings introduce a non‐benzenoid π‐electronic perturbation, which reconstructs the frontier‐orbital symmetry. This reconstruction suppresses intrinsic bonding‐antibonding transition character, affording an exceptionally narrow FWHM of 10.3 nm (in dilute toluene) and a near‐unity photoluminescence quantum yield (PLQY ≈ 100%). In addition, weak‐aromaticity‐mediated two‐dimensional (2D) π‐conjugation extension not only enhances luminescence efficiency but also affords sufficient chemical robustness compatible with vacuum evaporation process. Organic electroluminescent (EL) devices incorporating these CBD‐embedded emitters exhibit high performance, with a maximum current efficiency surpassing 30.0 cd A</w:t>
      </w:r>
      <w:r>
        <w:t xml:space="preserve"> </w:t>
      </w:r>
      <w:r>
        <w:t>−</w:t>
      </w:r>
      <w:r>
        <w:rPr>
          <w:vertAlign w:val="subscript"/>
        </w:rPr>
        <w:t>1</w:t>
      </w:r>
      <w:r>
        <w:t>, an external quantum efficiency exceeding 20.1%, and minimal efficiency roll‐off, thereby underscoring the substantial potential of antiaromaticity modulation for the development of cutting‐edge narrowband emitters.</w:t>
      </w:r>
    </w:p>
    <w:p>
      <w:pPr>
        <w:spacing w:before="120" w:after="120"/>
      </w:pPr>
      <w:r>
        <w:rPr>
          <w:sz w:val="18"/>
        </w:rPr>
        <w:t>——————————————————————————————————————————————————————————————————————</w:t>
      </w:r>
    </w:p>
    <w:p>
      <w:pPr>
        <w:spacing w:before="160" w:after="40" w:line="240" w:lineRule="auto"/>
      </w:pPr>
      <w:r>
        <w:rPr>
          <w:b/>
        </w:rPr>
        <w:t xml:space="preserve">[396] </w:t>
      </w:r>
      <w:hyperlink r:id="rId975">
        <w:r>
          <w:rPr>
            <w:color w:val="1155CC"/>
            <w:u w:val="single"/>
          </w:rPr>
          <w:t>阴离子 T 形铂 (0) 钳络合物和铂 (I) 中间体与烷基卤化物的自由基反应</w:t>
        </w:r>
      </w:hyperlink>
    </w:p>
    <w:p>
      <w:pPr>
        <w:spacing w:before="0" w:after="80"/>
      </w:pPr>
      <w:r>
        <w:rPr>
          <w:i/>
          <w:sz w:val="20"/>
        </w:rPr>
        <w:t>EN: Anionic T‐Shaped Platinum(0) Pincer Complexes and Platinum(I) Intermediates in Radical Reactions With Alkyl Halides</w:t>
      </w:r>
    </w:p>
    <w:p>
      <w:pPr>
        <w:spacing w:before="0" w:after="120"/>
      </w:pPr>
      <w:r>
        <w:rPr>
          <w:b/>
        </w:rPr>
        <w:t xml:space="preserve">Source: </w:t>
      </w:r>
      <w:r>
        <w:t>Wiley: Angewandte Chemie International Edition: Table of Contents</w:t>
      </w:r>
      <w:r>
        <w:t xml:space="preserve">    </w:t>
      </w:r>
      <w:r>
        <w:rPr>
          <w:b/>
        </w:rPr>
        <w:t xml:space="preserve">Pub date: </w:t>
      </w:r>
      <w:r>
        <w:t>2026-06-03 11:56:20+00:00</w:t>
      </w:r>
      <w:r>
        <w:t xml:space="preserve">    </w:t>
      </w:r>
      <w:r>
        <w:rPr>
          <w:b/>
        </w:rPr>
        <w:t xml:space="preserve">DOI: </w:t>
      </w:r>
      <w:hyperlink r:id="rId976">
        <w:r>
          <w:rPr>
            <w:color w:val="1155CC"/>
            <w:u w:val="single"/>
          </w:rPr>
          <w:t>10.1002/anie.3980943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两个阴离子T型d</w:t>
      </w:r>
      <w:r>
        <w:rPr>
          <w:vertAlign w:val="subscript"/>
        </w:rPr>
        <w:t>10</w:t>
      </w:r>
      <w:r>
        <w:t>由空间要求较高的咔唑基 PNP 配体支持的铂（0）配合物是通过还原氯化铂（II）前体获得的，并被表征为接触离子聚集体</w:t>
      </w:r>
      <w:r>
        <w:t xml:space="preserve"> </w:t>
      </w:r>
      <w:r>
        <w:t>2-Na</w:t>
      </w:r>
      <w:r>
        <w:t xml:space="preserve"> </w:t>
      </w:r>
      <w:r>
        <w:t>和</w:t>
      </w:r>
      <w:r>
        <w:t xml:space="preserve"> </w:t>
      </w:r>
      <w:r>
        <w:t>2-镁</w:t>
      </w:r>
      <w:r>
        <w:t xml:space="preserve"> </w:t>
      </w:r>
      <w:r>
        <w:t>与钠</w:t>
      </w:r>
      <w:r>
        <w:t xml:space="preserve"> </w:t>
      </w:r>
      <w:r>
        <w:t>+</w:t>
      </w:r>
      <w:r>
        <w:t xml:space="preserve"> </w:t>
      </w:r>
      <w:r>
        <w:t>和 [MgCl(thf)</w:t>
      </w:r>
      <w:r>
        <w:rPr>
          <w:vertAlign w:val="subscript"/>
        </w:rPr>
        <w:t>2</w:t>
      </w:r>
      <w:r>
        <w:t>]</w:t>
      </w:r>
      <w:r>
        <w:t xml:space="preserve"> </w:t>
      </w:r>
      <w:r>
        <w:t>+</w:t>
      </w:r>
      <w:r>
        <w:t xml:space="preserve"> </w:t>
      </w:r>
      <w:r>
        <w:t>分别为反离子。与有机基溴的反应产生均偶烃以及溴化铂(II)和烷基物质，具体取决于所产生自由基的稳定性。原位 EPR 光谱研究允许检测瞬态 T 形 15 电子铂 (I) 金属自由基 (g</w:t>
      </w:r>
      <w:r>
        <w:t xml:space="preserve"> </w:t>
      </w:r>
      <w:r>
        <w:t>异</w:t>
      </w:r>
      <w:r>
        <w:t xml:space="preserve"> </w:t>
      </w:r>
      <w:r>
        <w:t>= 2.219 和超精细耦合 (HFC) 与</w:t>
      </w:r>
      <w:r>
        <w:rPr>
          <w:vertAlign w:val="subscript"/>
        </w:rPr>
        <w:t>195</w:t>
      </w:r>
      <w:r>
        <w:t>铂原子A</w:t>
      </w:r>
      <w:r>
        <w:t xml:space="preserve"> </w:t>
      </w:r>
      <w:r>
        <w:t>异</w:t>
      </w:r>
      <w:r>
        <w:t xml:space="preserve"> </w:t>
      </w:r>
      <w:r>
        <w:t>2124 MHz）参与顺序单电子转移步骤。</w:t>
      </w:r>
    </w:p>
    <w:p>
      <w:pPr>
        <w:spacing w:before="0" w:after="200" w:lineRule="auto" w:line="276"/>
      </w:pPr>
      <w:r>
        <w:rPr>
          <w:b/>
        </w:rPr>
        <w:t xml:space="preserve">Abstract (EN): </w:t>
      </w:r>
      <w:r>
        <w:t>Two anionic T‐shaped d</w:t>
      </w:r>
      <w:r>
        <w:rPr>
          <w:vertAlign w:val="subscript"/>
        </w:rPr>
        <w:t>10</w:t>
      </w:r>
      <w:r>
        <w:t>platinum(0) complexes supported by a sterically demanding carbazole‐based PNP ligand were obtained by reduction of a platinum(II) chloride precursor and characterized as contact ion aggregates</w:t>
      </w:r>
      <w:r>
        <w:t xml:space="preserve"> </w:t>
      </w:r>
      <w:r>
        <w:t>2‐Na</w:t>
      </w:r>
      <w:r>
        <w:t xml:space="preserve"> </w:t>
      </w:r>
      <w:r>
        <w:t>and</w:t>
      </w:r>
      <w:r>
        <w:t xml:space="preserve"> </w:t>
      </w:r>
      <w:r>
        <w:t>2‐Mg</w:t>
      </w:r>
      <w:r>
        <w:t xml:space="preserve"> </w:t>
      </w:r>
      <w:r>
        <w:t>with the Na</w:t>
      </w:r>
      <w:r>
        <w:t xml:space="preserve"> </w:t>
      </w:r>
      <w:r>
        <w:t>+</w:t>
      </w:r>
      <w:r>
        <w:t xml:space="preserve"> </w:t>
      </w:r>
      <w:r>
        <w:t>and [MgCl(thf)</w:t>
      </w:r>
      <w:r>
        <w:rPr>
          <w:vertAlign w:val="subscript"/>
        </w:rPr>
        <w:t>2</w:t>
      </w:r>
      <w:r>
        <w:t>]</w:t>
      </w:r>
      <w:r>
        <w:t xml:space="preserve"> </w:t>
      </w:r>
      <w:r>
        <w:t>+</w:t>
      </w:r>
      <w:r>
        <w:t xml:space="preserve"> </w:t>
      </w:r>
      <w:r>
        <w:t>counterions, respectively. Reactions with organyl bromides produced the homocoupled hydrocarbons and the platinum(II) bromide and alkyl species, depending on the stability of the generated radicals. In situ EPR spectroscopic studies allowed the detection of the transient T‐shaped 15‐electron platinum(I) metalloradical (g</w:t>
      </w:r>
      <w:r>
        <w:t xml:space="preserve"> </w:t>
      </w:r>
      <w:r>
        <w:t>iso</w:t>
      </w:r>
      <w:r>
        <w:t xml:space="preserve"> </w:t>
      </w:r>
      <w:r>
        <w:t>= 2.219 and a hyperfine coupling (HFC) interaction with a</w:t>
      </w:r>
      <w:r>
        <w:rPr>
          <w:vertAlign w:val="subscript"/>
        </w:rPr>
        <w:t>195</w:t>
      </w:r>
      <w:r>
        <w:t>Pt atom A</w:t>
      </w:r>
      <w:r>
        <w:t xml:space="preserve"> </w:t>
      </w:r>
      <w:r>
        <w:t>iso</w:t>
      </w:r>
      <w:r>
        <w:t xml:space="preserve"> </w:t>
      </w:r>
      <w:r>
        <w:t>of 2124 MHz) involved in the sequential single‐electron transfer steps.</w:t>
      </w:r>
    </w:p>
    <w:p>
      <w:pPr>
        <w:spacing w:before="120" w:after="120"/>
      </w:pPr>
      <w:r>
        <w:rPr>
          <w:sz w:val="18"/>
        </w:rPr>
        <w:t>——————————————————————————————————————————————————————————————————————</w:t>
      </w:r>
    </w:p>
    <w:p>
      <w:pPr>
        <w:spacing w:before="160" w:after="40" w:line="240" w:lineRule="auto"/>
      </w:pPr>
      <w:r>
        <w:rPr>
          <w:b/>
        </w:rPr>
        <w:t xml:space="preserve">[397] </w:t>
      </w:r>
      <w:hyperlink r:id="rId977">
        <w:r>
          <w:rPr>
            <w:color w:val="1155CC"/>
            <w:u w:val="single"/>
          </w:rPr>
          <w:t>吡啶 C─N 通过环加成-环回复转位</w:t>
        </w:r>
      </w:hyperlink>
    </w:p>
    <w:p>
      <w:pPr>
        <w:spacing w:before="0" w:after="80"/>
      </w:pPr>
      <w:r>
        <w:rPr>
          <w:i/>
          <w:sz w:val="20"/>
        </w:rPr>
        <w:t>EN: Pyridine C─N Transposition via Cycloaddition–Cycloreversion</w:t>
      </w:r>
    </w:p>
    <w:p>
      <w:pPr>
        <w:spacing w:before="0" w:after="120"/>
      </w:pPr>
      <w:r>
        <w:rPr>
          <w:b/>
        </w:rPr>
        <w:t xml:space="preserve">Source: </w:t>
      </w:r>
      <w:r>
        <w:t>Wiley: Angewandte Chemie International Edition: Table of Contents</w:t>
      </w:r>
      <w:r>
        <w:t xml:space="preserve">    </w:t>
      </w:r>
      <w:r>
        <w:rPr>
          <w:b/>
        </w:rPr>
        <w:t xml:space="preserve">Pub date: </w:t>
      </w:r>
      <w:r>
        <w:t>2026-06-03 11:59:59+00:00</w:t>
      </w:r>
      <w:r>
        <w:t xml:space="preserve">    </w:t>
      </w:r>
      <w:r>
        <w:rPr>
          <w:b/>
        </w:rPr>
        <w:t xml:space="preserve">DOI: </w:t>
      </w:r>
      <w:hyperlink r:id="rId978">
        <w:r>
          <w:rPr>
            <w:color w:val="1155CC"/>
            <w:u w:val="single"/>
          </w:rPr>
          <w:t>10.1002/anie.5249878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氮原子的选择性掺入是药物和其他功能分子的设计和合成的基础。在这里，我们描述了一种吡啶氮原子转位的骨架编辑方法，创建了一条使用现有方法难以获得的 3-烷基化吡啶的途径。该反应采用环加成/环化还原策略（CACR）将容易制备的 4-芳基和烷基吡啶转变成更具挑战性的化合物。</w:t>
      </w:r>
      <w:r>
        <w:t xml:space="preserve"> </w:t>
      </w:r>
      <w:r>
        <w:t>元</w:t>
      </w:r>
      <w:r>
        <w:t xml:space="preserve"> </w:t>
      </w:r>
      <w:r>
        <w:t>‐功能化异构体。环加成反应引入了多功能的砜官能团，可用于进一步形成 C─X 和 C─C 键以进行吡啶合成。</w:t>
      </w:r>
    </w:p>
    <w:p>
      <w:pPr>
        <w:spacing w:before="0" w:after="200" w:lineRule="auto" w:line="276"/>
      </w:pPr>
      <w:r>
        <w:rPr>
          <w:b/>
        </w:rPr>
        <w:t xml:space="preserve">Abstract (EN): </w:t>
      </w:r>
      <w:r>
        <w:t>The selective incorporation of nitrogen atoms is fundamental to the design and synthesis of drugs and other functional molecules. Here, we describe a skeletal‐editing approach to the transposition of pyridine nitrogen atoms, creating a route to 3‐alkylated pyridines that are difficult to access using current methods. The reaction uses a cycloaddition/cycloreversion strategy (CACR) to transpose easily made 4‐aryl and alkyl pyridines into the more challenging</w:t>
      </w:r>
      <w:r>
        <w:t xml:space="preserve"> </w:t>
      </w:r>
      <w:r>
        <w:t>meta</w:t>
      </w:r>
      <w:r>
        <w:t xml:space="preserve"> </w:t>
      </w:r>
      <w:r>
        <w:t>‐functionalized isomers. The cycloaddition reaction introduces versatile sulfone functionality, that can be harnessed for further C─X and C─C bond formations for pyridine synthesis.</w:t>
      </w:r>
    </w:p>
    <w:p>
      <w:pPr>
        <w:spacing w:before="120" w:after="120"/>
      </w:pPr>
      <w:r>
        <w:rPr>
          <w:sz w:val="18"/>
        </w:rPr>
        <w:t>——————————————————————————————————————————————————————————————————————</w:t>
      </w:r>
    </w:p>
    <w:p>
      <w:pPr>
        <w:spacing w:before="160" w:after="40" w:line="240" w:lineRule="auto"/>
      </w:pPr>
      <w:r>
        <w:rPr>
          <w:b/>
        </w:rPr>
        <w:t xml:space="preserve">[398] </w:t>
      </w:r>
      <w:hyperlink r:id="rId979">
        <w:r>
          <w:rPr>
            <w:color w:val="1155CC"/>
            <w:u w:val="single"/>
          </w:rPr>
          <w:t>镁介导的炔丙基和烯丙基二氯化物与氯硅烷的双交叉电偶合：获得二甲硅烷基取代的丙二烯和双（甲硅烷基）丙烯</w:t>
        </w:r>
      </w:hyperlink>
    </w:p>
    <w:p>
      <w:pPr>
        <w:spacing w:before="0" w:after="80"/>
      </w:pPr>
      <w:r>
        <w:rPr>
          <w:i/>
          <w:sz w:val="20"/>
        </w:rPr>
        <w:t>EN: Mg‐Mediated Dual Cross‐Electrophile Coupling of Propargyl and Allyl Dichlorides with Chlorosilanes: Access to Disilyl‐substituted Allene and Bis(Silyl)Propenes</w:t>
      </w:r>
    </w:p>
    <w:p>
      <w:pPr>
        <w:spacing w:before="0" w:after="120"/>
      </w:pPr>
      <w:r>
        <w:rPr>
          <w:b/>
        </w:rPr>
        <w:t xml:space="preserve">Source: </w:t>
      </w:r>
      <w:r>
        <w:t>Wiley: Angewandte Chemie International Edition: Table of Contents</w:t>
      </w:r>
      <w:r>
        <w:t xml:space="preserve">    </w:t>
      </w:r>
      <w:r>
        <w:rPr>
          <w:b/>
        </w:rPr>
        <w:t xml:space="preserve">Pub date: </w:t>
      </w:r>
      <w:r>
        <w:t>2026-06-03 12:00:51+00:00</w:t>
      </w:r>
      <w:r>
        <w:t xml:space="preserve">    </w:t>
      </w:r>
      <w:r>
        <w:rPr>
          <w:b/>
        </w:rPr>
        <w:t xml:space="preserve">DOI: </w:t>
      </w:r>
      <w:hyperlink r:id="rId980">
        <w:r>
          <w:rPr>
            <w:color w:val="1155CC"/>
            <w:u w:val="single"/>
          </w:rPr>
          <w:t>10.1002/anie.4465835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我们开发了一种使用炔丙基和烯丙基合成二甲硅烷基取代的丙二烯和双（甲硅烷基）丙烯的新策略</w:t>
      </w:r>
      <w:r>
        <w:t xml:space="preserve"> </w:t>
      </w:r>
      <w:r>
        <w:t>宝石</w:t>
      </w:r>
      <w:r>
        <w:t xml:space="preserve"> </w:t>
      </w:r>
      <w:r>
        <w:t>‐在镁存在下与氯硅烷生成二氯化物。这种方法无需过渡金属催化剂或配体即可实现良好至优异的产率，凸显了其效率和创新。初步机理研究表明，二氯化物与镁反应生成碳亲核体，该亲核体经历 S</w:t>
      </w:r>
      <w:r>
        <w:t xml:space="preserve"> </w:t>
      </w:r>
      <w:r>
        <w:t>氮</w:t>
      </w:r>
      <w:r>
        <w:t xml:space="preserve"> </w:t>
      </w:r>
      <w:r>
        <w:t>2用氯硅烷取代形成最终产品。该方法提供了一种简单的合成路线，在有机合成中具有潜在的应用前景。</w:t>
      </w:r>
    </w:p>
    <w:p>
      <w:pPr>
        <w:spacing w:before="0" w:after="200" w:lineRule="auto" w:line="276"/>
      </w:pPr>
      <w:r>
        <w:rPr>
          <w:b/>
        </w:rPr>
        <w:t xml:space="preserve">Abstract (EN): </w:t>
      </w:r>
      <w:r>
        <w:t>We have developed a novel strategy for synthesizing disilyl‐substituted allenes and bis(silyl)propenes using propargyl and allyl</w:t>
      </w:r>
      <w:r>
        <w:t xml:space="preserve"> </w:t>
      </w:r>
      <w:r>
        <w:t>gem</w:t>
      </w:r>
      <w:r>
        <w:t xml:space="preserve"> </w:t>
      </w:r>
      <w:r>
        <w:t>‐dichlorides with chlorosilanes in the presence of magnesium. This approach achieves good to excellent yields without requiring transition metal catalysts or ligands, highlighting its efficiency and innovation. Preliminary mechanistic studies show that dichlorides react with magnesium to generate carbon nucleophiles, which undergo S</w:t>
      </w:r>
      <w:r>
        <w:t xml:space="preserve"> </w:t>
      </w:r>
      <w:r>
        <w:t>N</w:t>
      </w:r>
      <w:r>
        <w:t xml:space="preserve"> </w:t>
      </w:r>
      <w:r>
        <w:t>2 substitution with chlorosilanes to form the final products. This method offers a straightforward synthetic route with potential applications in organic synthesis.</w:t>
      </w:r>
    </w:p>
    <w:p>
      <w:pPr>
        <w:spacing w:before="120" w:after="120"/>
      </w:pPr>
      <w:r>
        <w:rPr>
          <w:sz w:val="18"/>
        </w:rPr>
        <w:t>——————————————————————————————————————————————————————————————————————</w:t>
      </w:r>
    </w:p>
    <w:p>
      <w:pPr>
        <w:spacing w:before="160" w:after="40" w:line="240" w:lineRule="auto"/>
      </w:pPr>
      <w:r>
        <w:rPr>
          <w:b/>
        </w:rPr>
        <w:t xml:space="preserve">[399] </w:t>
      </w:r>
      <w:hyperlink r:id="rId981">
        <w:r>
          <w:rPr>
            <w:color w:val="1155CC"/>
            <w:u w:val="single"/>
          </w:rPr>
          <w:t>铑催化[2 + 2 + 2]环加成对映选择性合成轴向手性二芳基醚</w:t>
        </w:r>
      </w:hyperlink>
    </w:p>
    <w:p>
      <w:pPr>
        <w:spacing w:before="0" w:after="80"/>
      </w:pPr>
      <w:r>
        <w:rPr>
          <w:i/>
          <w:sz w:val="20"/>
        </w:rPr>
        <w:t>EN: Enantioselective Synthesis of Axially Chiral Diaryl Ethers via Rhodium‐Catalyzed [2 + 2 + 2] Cycloaddition</w:t>
      </w:r>
    </w:p>
    <w:p>
      <w:pPr>
        <w:spacing w:before="0" w:after="120"/>
      </w:pPr>
      <w:r>
        <w:rPr>
          <w:b/>
        </w:rPr>
        <w:t xml:space="preserve">Source: </w:t>
      </w:r>
      <w:r>
        <w:t>Wiley: Angewandte Chemie International Edition: Table of Contents</w:t>
      </w:r>
      <w:r>
        <w:t xml:space="preserve">    </w:t>
      </w:r>
      <w:r>
        <w:rPr>
          <w:b/>
        </w:rPr>
        <w:t xml:space="preserve">Pub date: </w:t>
      </w:r>
      <w:r>
        <w:t>2026-06-03 12:06:16+00:00</w:t>
      </w:r>
      <w:r>
        <w:t xml:space="preserve">    </w:t>
      </w:r>
      <w:r>
        <w:rPr>
          <w:b/>
        </w:rPr>
        <w:t xml:space="preserve">DOI: </w:t>
      </w:r>
      <w:hyperlink r:id="rId982">
        <w:r>
          <w:rPr>
            <w:color w:val="1155CC"/>
            <w:u w:val="single"/>
          </w:rPr>
          <w:t>10.1002/anie.3486845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轴向手性二芳基醚是生物活性分子、功能材料和手性催化剂中的重要结构基序。然而，它们的对映选择性合成仍然具有挑战性，因为围绕 Ar-O 键的旋转通常发生在相对较低的旋转势垒下，并且大多数现有方法依赖于去对称化策略，这本质上限制了可接近的取代模式。在这里，我们报道了带有炔基醚单元的三炔的铑催化对映选择性[2 + 2 + 2]环加成，提供了具有高对映选择性的轴向手性二芳基醚。在此转化中，苯并环化同时构建芳香环并限制Ar-O键的旋转，同时引入不同的取代基，从而实现高效的阻转选择性合成。该反应表现出广泛的底物范围，并以良好的收率和对映选择性提供所需的产物。在适当设计的底物中，苯并环化过程在一个步骤中产生多个阻转异构轴，提供具有多达四个立体轴的复杂立体化学结构。 DFT 计算表明，氧化环化过程中的空间和分散相互作用控制着立体化学结果，并且逐步插入炔烃，以过渡态下的 Rh-C 键缩短为特征，可能能够在手性环境中实现有效的立体诱导，从而解释了观察到的高对映选择性。</w:t>
      </w:r>
    </w:p>
    <w:p>
      <w:pPr>
        <w:spacing w:before="0" w:after="200" w:lineRule="auto" w:line="276"/>
      </w:pPr>
      <w:r>
        <w:rPr>
          <w:b/>
        </w:rPr>
        <w:t xml:space="preserve">Abstract (EN): </w:t>
      </w:r>
      <w:r>
        <w:t>Axially chiral diaryl ethers are important structural motifs in biologically active molecules, functional materials, and chiral catalysts. However, their enantioselective synthesis remains challenging because rotation around the Ar–O bond often occurs with relatively low rotational barriers, and most existing methods rely on desymmetrization strategies that inherently limit the accessible substitution patterns. Here we report a rhodium‐catalyzed enantioselective [2 + 2 + 2] cycloaddition of triynes bearing alkynyl ether units that provides axially chiral diaryl ethers with high enantioselectivity. In this transformation, benzannulation simultaneously constructs the aromatic ring and restricts rotation about the Ar–O bond while introducing diverse substituents, thereby enabling efficient atroposelective synthesis. The reaction exhibits a broad substrate scope and affords the desired products in good yields and enantioselectivities. In suitably designed substrates, the benzannulation process generates multiple atropisomeric axes in a single step, providing complex stereochemical architectures with up to four stereogenic axes. DFT calculations indicate that steric and dispersion interactions during oxidative cyclization govern the stereochemical outcome, and a stepwise alkyne insertion, featuring shortened Rh–C bonds in the transition state, likely enables efficient stereoinduction within the chiral environment, accounting for the observed high enantioselectivity.</w:t>
      </w:r>
    </w:p>
    <w:p>
      <w:pPr>
        <w:spacing w:before="120" w:after="120"/>
      </w:pPr>
      <w:r>
        <w:rPr>
          <w:sz w:val="18"/>
        </w:rPr>
        <w:t>——————————————————————————————————————————————————————————————————————</w:t>
      </w:r>
    </w:p>
    <w:p>
      <w:pPr>
        <w:spacing w:before="160" w:after="40" w:line="240" w:lineRule="auto"/>
      </w:pPr>
      <w:r>
        <w:rPr>
          <w:b/>
        </w:rPr>
        <w:t xml:space="preserve">[400] </w:t>
      </w:r>
      <w:hyperlink r:id="rId983">
        <w:r>
          <w:rPr>
            <w:color w:val="1155CC"/>
            <w:u w:val="single"/>
          </w:rPr>
          <w:t>使用空间受限 CRISPR 纳米平台进行原位扩增突变 mRNA 成像</w:t>
        </w:r>
      </w:hyperlink>
    </w:p>
    <w:p>
      <w:pPr>
        <w:spacing w:before="0" w:after="80"/>
      </w:pPr>
      <w:r>
        <w:rPr>
          <w:i/>
          <w:sz w:val="20"/>
        </w:rPr>
        <w:t>EN: In Situ Amplified Mutational mRNA Imaging Using a Spatially Confined CRISPR Nanoplatform</w:t>
      </w:r>
    </w:p>
    <w:p>
      <w:pPr>
        <w:spacing w:before="0" w:after="120"/>
      </w:pPr>
      <w:r>
        <w:rPr>
          <w:b/>
        </w:rPr>
        <w:t xml:space="preserve">Source: </w:t>
      </w:r>
      <w:r>
        <w:t>Wiley: Angewandte Chemie International Edition: Table of Contents</w:t>
      </w:r>
      <w:r>
        <w:t xml:space="preserve">    </w:t>
      </w:r>
      <w:r>
        <w:rPr>
          <w:b/>
        </w:rPr>
        <w:t xml:space="preserve">Pub date: </w:t>
      </w:r>
      <w:r>
        <w:t>2026-06-03 12:15:57+00:00</w:t>
      </w:r>
      <w:r>
        <w:t xml:space="preserve">    </w:t>
      </w:r>
      <w:r>
        <w:rPr>
          <w:b/>
        </w:rPr>
        <w:t xml:space="preserve">DOI: </w:t>
      </w:r>
      <w:hyperlink r:id="rId984">
        <w:r>
          <w:rPr>
            <w:color w:val="1155CC"/>
            <w:u w:val="single"/>
          </w:rPr>
          <w:t>10.1002/anie.7088080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RNA 突变的高灵敏度空间分析对于了解细胞异质性和疾病机制至关重要。在此，我们开发了一种基于 CRISPR/Cas13a 的集成纳米探针系统，用于快速检测组织切片中的 RNA（</w:t>
      </w:r>
      <w:r>
        <w:t xml:space="preserve"> </w:t>
      </w:r>
      <w:r>
        <w:t>在</w:t>
      </w:r>
      <w:r>
        <w:t xml:space="preserve"> </w:t>
      </w:r>
      <w:r>
        <w:t>整合CRISPR/</w:t>
      </w:r>
      <w:r>
        <w:t>卡斯</w:t>
      </w:r>
      <w:r>
        <w:t xml:space="preserve"> </w:t>
      </w:r>
      <w:r>
        <w:t>基于13a的RNA</w:t>
      </w:r>
      <w:r>
        <w:t xml:space="preserve"> </w:t>
      </w:r>
      <w:r>
        <w:t>右</w:t>
      </w:r>
      <w:r>
        <w:t xml:space="preserve"> </w:t>
      </w:r>
      <w:r>
        <w:t>阿皮德</w:t>
      </w:r>
      <w:r>
        <w:t xml:space="preserve"> </w:t>
      </w:r>
      <w:r>
        <w:t>D</w:t>
      </w:r>
      <w:r>
        <w:t xml:space="preserve"> </w:t>
      </w:r>
      <w:r>
        <w:t>检测，InCasRD）。与依赖累积探针杂交的传统“始终在线”探针不同，InCasRD 利用 Cas13a 的反式切割活性来实现空间限制的信号放大和高信号背景比 (SBR)。使用 InCasRD，我们在孵育 0.5 小时内实现了肿瘤细胞中多个靶标 RNA 的成像，包括 mRNA（</w:t>
      </w:r>
      <w:r>
        <w:t xml:space="preserve"> </w:t>
      </w:r>
      <w:r>
        <w:t>生存素</w:t>
      </w:r>
      <w:r>
        <w:t xml:space="preserve"> </w:t>
      </w:r>
      <w:r>
        <w:t>）、微小RNA（miR-21）和环状RNA（circ1785）。此外，工程化的 InCasRD 系统能够绘制 RNA 突变图谱，例如</w:t>
      </w:r>
      <w:r>
        <w:t xml:space="preserve"> </w:t>
      </w:r>
      <w:r>
        <w:t>表皮生长因子受体</w:t>
      </w:r>
      <w:r>
        <w:t xml:space="preserve"> </w:t>
      </w:r>
      <w:r>
        <w:t>L858R 和卵巢肿瘤结构域 (</w:t>
      </w:r>
      <w:r>
        <w:t xml:space="preserve"> </w:t>
      </w:r>
      <w:r>
        <w:t>OTUD</w:t>
      </w:r>
      <w:r>
        <w:t xml:space="preserve"> </w:t>
      </w:r>
      <w:r>
        <w:t>）单核苷酸变异（SNV，23439980 G&gt;T），在肿瘤组织切片中，从而促进清晰的肿瘤边界描绘。总的来说，InCasRD 是一种强大的一步式原位 RNA 分析工具，具有诊断和精准医学的潜力。</w:t>
      </w:r>
    </w:p>
    <w:p>
      <w:pPr>
        <w:spacing w:before="0" w:after="200" w:lineRule="auto" w:line="276"/>
      </w:pPr>
      <w:r>
        <w:rPr>
          <w:b/>
        </w:rPr>
        <w:t xml:space="preserve">Abstract (EN): </w:t>
      </w:r>
      <w:r>
        <w:t>Highly sensitive spatial analysis of RNA mutations is essential for understanding cellular heterogeneity and disease mechanisms. Herein, we developed an integrated CRISPR/Cas13a‐based nanoprobe system for rapid detection of RNA in tissue sections (</w:t>
      </w:r>
      <w:r>
        <w:t xml:space="preserve"> </w:t>
      </w:r>
      <w:r>
        <w:t>In</w:t>
      </w:r>
      <w:r>
        <w:t xml:space="preserve"> </w:t>
      </w:r>
      <w:r>
        <w:t>tegrated CRISPR/</w:t>
      </w:r>
      <w:r>
        <w:t>Cas</w:t>
      </w:r>
      <w:r>
        <w:t xml:space="preserve"> </w:t>
      </w:r>
      <w:r>
        <w:t>13a‐based RNA</w:t>
      </w:r>
      <w:r>
        <w:t xml:space="preserve"> </w:t>
      </w:r>
      <w:r>
        <w:t>R</w:t>
      </w:r>
      <w:r>
        <w:t xml:space="preserve"> </w:t>
      </w:r>
      <w:r>
        <w:t>apid</w:t>
      </w:r>
      <w:r>
        <w:t xml:space="preserve"> </w:t>
      </w:r>
      <w:r>
        <w:t>D</w:t>
      </w:r>
      <w:r>
        <w:t xml:space="preserve"> </w:t>
      </w:r>
      <w:r>
        <w:t>etection, InCasRD). Unlike conventional “always‐on” probes that rely on accumulated probe hybridization, InCasRD leverages the trans‐cleavage activity of Cas13a to achieve spatially confined signal amplification and a high signal‐to‐background ratio (SBR). Using InCasRD, we achieved imaging of multiple target RNAs in tumor cells within 0.5 h of incubation, including mRNA (</w:t>
      </w:r>
      <w:r>
        <w:t xml:space="preserve"> </w:t>
      </w:r>
      <w:r>
        <w:t>survivin</w:t>
      </w:r>
      <w:r>
        <w:t xml:space="preserve"> </w:t>
      </w:r>
      <w:r>
        <w:t>), microRNA (miR‐21), and circular RNA (circ1785). Furthermore, the engineered InCasRD system enabled mapping of RNA mutations, such as the</w:t>
      </w:r>
      <w:r>
        <w:t xml:space="preserve"> </w:t>
      </w:r>
      <w:r>
        <w:t>EGFR</w:t>
      </w:r>
      <w:r>
        <w:t xml:space="preserve"> </w:t>
      </w:r>
      <w:r>
        <w:t>L858R and ovarian tumor domain (</w:t>
      </w:r>
      <w:r>
        <w:t xml:space="preserve"> </w:t>
      </w:r>
      <w:r>
        <w:t>OTUD</w:t>
      </w:r>
      <w:r>
        <w:t xml:space="preserve"> </w:t>
      </w:r>
      <w:r>
        <w:t>) single‐nucleotide variant (SNV, 23439980 G&amp;gt;T), in tumor tissue sections, thereby facilitating clear tumor boundary delineation. Collectively, InCasRD is a powerful, one‐step tool for in situ RNA analysis with potential for diagnosis and precision medicine.</w:t>
      </w:r>
    </w:p>
    <w:p>
      <w:pPr>
        <w:spacing w:before="120" w:after="120"/>
      </w:pPr>
      <w:r>
        <w:rPr>
          <w:sz w:val="18"/>
        </w:rPr>
        <w:t>——————————————————————————————————————————————————————————————————————</w:t>
      </w:r>
    </w:p>
    <w:p>
      <w:pPr>
        <w:spacing w:before="160" w:after="40" w:line="240" w:lineRule="auto"/>
      </w:pPr>
      <w:r>
        <w:rPr>
          <w:b/>
        </w:rPr>
        <w:t xml:space="preserve">[401] </w:t>
      </w:r>
      <w:hyperlink r:id="rId985">
        <w:r>
          <w:rPr>
            <w:color w:val="1155CC"/>
            <w:u w:val="single"/>
          </w:rPr>
          <w:t>胡晓然</w:t>
        </w:r>
      </w:hyperlink>
    </w:p>
    <w:p>
      <w:pPr>
        <w:spacing w:before="0" w:after="80"/>
      </w:pPr>
      <w:r>
        <w:rPr>
          <w:i/>
          <w:sz w:val="20"/>
        </w:rPr>
        <w:t>EN: Xiaoran Hu</w:t>
      </w:r>
    </w:p>
    <w:p>
      <w:pPr>
        <w:spacing w:before="0" w:after="120"/>
      </w:pPr>
      <w:r>
        <w:rPr>
          <w:b/>
        </w:rPr>
        <w:t xml:space="preserve">Source: </w:t>
      </w:r>
      <w:r>
        <w:t>Wiley: Angewandte Chemie International Edition: Table of Contents</w:t>
      </w:r>
      <w:r>
        <w:t xml:space="preserve">    </w:t>
      </w:r>
      <w:r>
        <w:rPr>
          <w:b/>
        </w:rPr>
        <w:t xml:space="preserve">Pub date: </w:t>
      </w:r>
      <w:r>
        <w:t>2026-06-03 14:30:39+00:00</w:t>
      </w:r>
      <w:r>
        <w:t xml:space="preserve">    </w:t>
      </w:r>
      <w:r>
        <w:rPr>
          <w:b/>
        </w:rPr>
        <w:t xml:space="preserve">DOI: </w:t>
      </w:r>
      <w:hyperlink r:id="rId986">
        <w:r>
          <w:rPr>
            <w:color w:val="1155CC"/>
            <w:u w:val="single"/>
          </w:rPr>
          <w:t>10.1002/anie.6953384</w:t>
        </w:r>
      </w:hyperlink>
    </w:p>
    <w:p>
      <w:pPr>
        <w:spacing w:before="0" w:after="120"/>
      </w:pPr>
      <w:r>
        <w:rPr>
          <w:b/>
        </w:rPr>
        <w:t xml:space="preserve">Notes: </w:t>
      </w:r>
      <w:r>
        <w:t>abstract_source=openalex</w:t>
      </w:r>
    </w:p>
    <w:p>
      <w:pPr>
        <w:spacing w:before="0" w:after="80" w:lineRule="auto" w:line="276"/>
      </w:pPr>
      <w:r>
        <w:rPr>
          <w:b/>
        </w:rPr>
        <w:t xml:space="preserve">摘要（ZH）: </w:t>
      </w:r>
      <w:r>
        <w:t>“化学很有趣，因为它使我们有能力合理设计和创造自然界中不存在的分子和材料……我建议我的学生分析和理解失败的实验，以塑造他们的化学直觉，而不是简单地放弃意外/不需要的结果。”在胡晓然的介绍中了解更多关于他的个人资料。</w:t>
      </w:r>
    </w:p>
    <w:p>
      <w:pPr>
        <w:spacing w:before="0" w:after="200" w:lineRule="auto" w:line="276"/>
      </w:pPr>
      <w:r>
        <w:rPr>
          <w:b/>
        </w:rPr>
        <w:t xml:space="preserve">Abstract (EN): </w:t>
      </w:r>
      <w:r>
        <w:t>"Chemistry is fun because it gives us the power to rationally design and create molecules and materials that would otherwise not exist in nature… I advise my students to analyze and understand failed experiments to shape their chemical intuition, rather than simply abandon unexpected/unwanted results." Find out more about Xiaoran Hu in his Introducing… Profile.</w:t>
      </w:r>
    </w:p>
    <w:p>
      <w:pPr>
        <w:spacing w:before="120" w:after="120"/>
      </w:pPr>
      <w:r>
        <w:rPr>
          <w:sz w:val="18"/>
        </w:rPr>
        <w:t>——————————————————————————————————————————————————————————————————————</w:t>
      </w:r>
    </w:p>
    <w:p>
      <w:pPr>
        <w:spacing w:before="160" w:after="40" w:line="240" w:lineRule="auto"/>
      </w:pPr>
      <w:r>
        <w:rPr>
          <w:b/>
        </w:rPr>
        <w:t xml:space="preserve">[402] </w:t>
      </w:r>
      <w:hyperlink r:id="rId987">
        <w:r>
          <w:rPr>
            <w:color w:val="1155CC"/>
            <w:u w:val="single"/>
          </w:rPr>
          <w:t>杰里·阿尔弗雷德·费雷罗</w:t>
        </w:r>
      </w:hyperlink>
    </w:p>
    <w:p>
      <w:pPr>
        <w:spacing w:before="0" w:after="80"/>
      </w:pPr>
      <w:r>
        <w:rPr>
          <w:i/>
          <w:sz w:val="20"/>
        </w:rPr>
        <w:t>EN: Jerry Alfred Fereiro</w:t>
      </w:r>
    </w:p>
    <w:p>
      <w:pPr>
        <w:spacing w:before="0" w:after="120"/>
      </w:pPr>
      <w:r>
        <w:rPr>
          <w:b/>
        </w:rPr>
        <w:t xml:space="preserve">Source: </w:t>
      </w:r>
      <w:r>
        <w:t>Wiley: Angewandte Chemie International Edition: Table of Contents</w:t>
      </w:r>
      <w:r>
        <w:t xml:space="preserve">    </w:t>
      </w:r>
      <w:r>
        <w:rPr>
          <w:b/>
        </w:rPr>
        <w:t xml:space="preserve">Pub date: </w:t>
      </w:r>
      <w:r>
        <w:t>2026-06-03 14:37:00+00:00</w:t>
      </w:r>
      <w:r>
        <w:t xml:space="preserve">    </w:t>
      </w:r>
      <w:r>
        <w:rPr>
          <w:b/>
        </w:rPr>
        <w:t xml:space="preserve">DOI: </w:t>
      </w:r>
      <w:hyperlink r:id="rId988">
        <w:r>
          <w:rPr>
            <w:color w:val="1155CC"/>
            <w:u w:val="single"/>
          </w:rPr>
          <w:t>10.1002/anie.2805282</w:t>
        </w:r>
      </w:hyperlink>
    </w:p>
    <w:p>
      <w:pPr>
        <w:spacing w:before="0" w:after="120"/>
      </w:pPr>
      <w:r>
        <w:rPr>
          <w:b/>
        </w:rPr>
        <w:t xml:space="preserve">Notes: </w:t>
      </w:r>
      <w:r>
        <w:t>abstract_source=openalex</w:t>
      </w:r>
    </w:p>
    <w:p>
      <w:pPr>
        <w:spacing w:before="0" w:after="80" w:lineRule="auto" w:line="276"/>
      </w:pPr>
      <w:r>
        <w:rPr>
          <w:b/>
        </w:rPr>
        <w:t xml:space="preserve">摘要（ZH）: </w:t>
      </w:r>
      <w:r>
        <w:t>“我的科学“英雄”是尼古拉·特斯拉、迈克尔·法拉第和理查德·费曼，因为他们代表了创新、实验才华和基本理解的完美融合，我努力将这些融合到我的工作中……我的座右铭是：享受你的生活，享受你所做的事情，并将你的工作变成你喜欢的东西……”在杰里·阿尔弗雷德·费雷罗的简介中了解更多关于杰里·阿尔弗雷德·费雷罗的信息。</w:t>
      </w:r>
    </w:p>
    <w:p>
      <w:pPr>
        <w:spacing w:before="0" w:after="200" w:lineRule="auto" w:line="276"/>
      </w:pPr>
      <w:r>
        <w:rPr>
          <w:b/>
        </w:rPr>
        <w:t xml:space="preserve">Abstract (EN): </w:t>
      </w:r>
      <w:r>
        <w:t>"My science "heroes" are Nikola Tesla, Michael Faraday, and Richard Feynman because they represent the perfect blend of innovation, experimental brilliance, and fundamental understanding that I strive to bring into my work… My motto is: enjoy your life, enjoy what you do, and turn your work into something you love…" Find out more about Jerry Alfred Fereiro in his Introducing… Profile.</w:t>
      </w:r>
    </w:p>
    <w:p>
      <w:pPr>
        <w:spacing w:before="120" w:after="120"/>
      </w:pPr>
      <w:r>
        <w:rPr>
          <w:sz w:val="18"/>
        </w:rPr>
        <w:t>——————————————————————————————————————————————————————————————————————</w:t>
      </w:r>
    </w:p>
    <w:p>
      <w:pPr>
        <w:spacing w:before="160" w:after="40" w:line="240" w:lineRule="auto"/>
      </w:pPr>
      <w:r>
        <w:rPr>
          <w:b/>
        </w:rPr>
        <w:t xml:space="preserve">[403] </w:t>
      </w:r>
      <w:hyperlink r:id="rId989">
        <w:r>
          <w:rPr>
            <w:color w:val="1155CC"/>
            <w:u w:val="single"/>
          </w:rPr>
          <w:t>细胞表面聚糖工程及其生物应用的最新进展</w:t>
        </w:r>
      </w:hyperlink>
    </w:p>
    <w:p>
      <w:pPr>
        <w:spacing w:before="0" w:after="80"/>
      </w:pPr>
      <w:r>
        <w:rPr>
          <w:i/>
          <w:sz w:val="20"/>
        </w:rPr>
        <w:t>EN: Recent advances in cell-surface glycan engineering and its biological applications</w:t>
      </w:r>
    </w:p>
    <w:p>
      <w:pPr>
        <w:spacing w:before="0" w:after="120"/>
      </w:pPr>
      <w:r>
        <w:rPr>
          <w:b/>
        </w:rPr>
        <w:t xml:space="preserve">Source: </w:t>
      </w:r>
      <w:r>
        <w:t>RSC - Chem. Soc. Rev. latest articles</w:t>
      </w:r>
      <w:r>
        <w:t xml:space="preserve">    </w:t>
      </w:r>
      <w:r>
        <w:rPr>
          <w:b/>
        </w:rPr>
        <w:t xml:space="preserve">Pub date: </w:t>
      </w:r>
      <w:r>
        <w:t>2026-06-03 23:00:00+00:00</w:t>
      </w:r>
    </w:p>
    <w:p>
      <w:pPr>
        <w:spacing w:before="0" w:after="120"/>
      </w:pPr>
      <w:r>
        <w:rPr>
          <w:b/>
        </w:rPr>
        <w:t xml:space="preserve">Notes: </w:t>
      </w:r>
      <w:r>
        <w:t>abstract_source=rsc_html</w:t>
      </w:r>
    </w:p>
    <w:p>
      <w:pPr>
        <w:spacing w:before="0" w:after="80" w:lineRule="auto" w:line="276"/>
      </w:pPr>
      <w:r>
        <w:rPr>
          <w:b/>
        </w:rPr>
        <w:t xml:space="preserve">摘要（ZH）: </w:t>
      </w:r>
      <w:r>
        <w:t>细胞表面聚糖主要以复合糖的形式存在，在许多生理过程和病理事件中发挥着核心作用。这些聚糖在细胞表面形成一层致密层，称为糖萼，其组成和组织因细胞类型和物种而异。聚糖的结构和功能多样性推动了为基础研究和治疗应用而操纵糖萼的广泛努力。在过去的二十年中，已经开发了各种方法来修饰细胞表面聚糖，包括代谢聚糖工程、遗传聚糖修饰、酶介导的重塑以及合成糖脂的掺入。这篇综述强调了自 2019 年以来哺乳动物和细菌系统的细胞表面聚糖工程的重大进展。我们还讨论了聚糖工程在细胞标记和检测、生物过程调节和生物医学研究中的应用，强调其在基础研究和转化研究中日益增长的重要性。</w:t>
      </w:r>
    </w:p>
    <w:p>
      <w:pPr>
        <w:spacing w:before="0" w:after="200" w:lineRule="auto" w:line="276"/>
      </w:pPr>
      <w:r>
        <w:rPr>
          <w:b/>
        </w:rPr>
        <w:t xml:space="preserve">Abstract (EN): </w:t>
      </w:r>
      <w:r>
        <w:t>Cell-surface glycans, primarily present as glycoconjugates, play central roles in numerous physiological processes and pathological events. These glycans form a dense layer on the cell surface known as the glycocalyx, whose composition and organization vary across cell types and species. The structural and functional diversity of glycans has driven extensive efforts to manipulate the glycocalyx for both fundamental research and therapeutic applications. Over the past two decades, various approaches have been developed to modify cell-surface glycans, including metabolic glycan engineering, genetic glycan modifications, enzyme-mediated remodeling, and the incorporation of synthetic glycolipids. This review highlights significant advances since 2019 in cell-surface glycan engineering across mammalian and bacterial systems. We also discuss applications of glycan engineering in cell labeling and detection, modulation of biological processes, and biomedical research, emphasizing its growing importance in both basic and translational studies.</w:t>
      </w:r>
    </w:p>
    <w:p>
      <w:pPr>
        <w:spacing w:before="120" w:after="120"/>
      </w:pPr>
      <w:r>
        <w:rPr>
          <w:sz w:val="18"/>
        </w:rPr>
        <w:t>——————————————————————————————————————————————————————————————————————</w:t>
      </w:r>
    </w:p>
    <w:p>
      <w:pPr>
        <w:spacing w:before="160" w:after="40" w:line="240" w:lineRule="auto"/>
      </w:pPr>
      <w:r>
        <w:rPr>
          <w:b/>
        </w:rPr>
        <w:t xml:space="preserve">[404] </w:t>
      </w:r>
      <w:hyperlink r:id="rId990">
        <w:r>
          <w:rPr>
            <w:color w:val="1155CC"/>
            <w:u w:val="single"/>
          </w:rPr>
          <w:t>原子级蚀刻使黑磷基电催化剂具有可调的高负载单原子/纳米簇微域</w:t>
        </w:r>
      </w:hyperlink>
    </w:p>
    <w:p>
      <w:pPr>
        <w:spacing w:before="0" w:after="80"/>
      </w:pPr>
      <w:r>
        <w:rPr>
          <w:i/>
          <w:sz w:val="20"/>
        </w:rPr>
        <w:t>EN: Atomic-level etching enables black phosphorus-based electrocatalysts with tuned high-loading single-atom/nanocluster microdomains</w:t>
      </w:r>
    </w:p>
    <w:p>
      <w:pPr>
        <w:spacing w:before="0" w:after="120"/>
      </w:pPr>
      <w:r>
        <w:rPr>
          <w:b/>
        </w:rPr>
        <w:t xml:space="preserve">Source: </w:t>
      </w:r>
      <w:r>
        <w:t>Matter</w:t>
      </w:r>
      <w:r>
        <w:t xml:space="preserve">    </w:t>
      </w:r>
      <w:r>
        <w:rPr>
          <w:b/>
        </w:rPr>
        <w:t xml:space="preserve">Pub date: </w:t>
      </w:r>
      <w:r>
        <w:t>2026-06-04 00:00:00+00:00</w:t>
      </w:r>
      <w:r>
        <w:t xml:space="preserve">    </w:t>
      </w:r>
      <w:r>
        <w:rPr>
          <w:b/>
        </w:rPr>
        <w:t xml:space="preserve">DOI: </w:t>
      </w:r>
      <w:hyperlink r:id="rId991">
        <w:r>
          <w:rPr>
            <w:color w:val="1155CC"/>
            <w:u w:val="single"/>
          </w:rPr>
          <w:t>10.1016/j.matt.2026.102857</w:t>
        </w:r>
      </w:hyperlink>
    </w:p>
    <w:p>
      <w:pPr>
        <w:spacing w:before="0" w:after="120"/>
      </w:pPr>
      <w:r>
        <w:rPr>
          <w:b/>
        </w:rPr>
        <w:t xml:space="preserve">Notes: </w:t>
      </w:r>
      <w:r>
        <w:t>abstract_source=rss_cell</w:t>
      </w:r>
    </w:p>
    <w:p>
      <w:pPr>
        <w:spacing w:before="0" w:after="80" w:lineRule="auto" w:line="276"/>
      </w:pPr>
      <w:r>
        <w:rPr>
          <w:b/>
        </w:rPr>
        <w:t xml:space="preserve">摘要（ZH）: </w:t>
      </w:r>
      <w:r>
        <w:t>提出了一种双相界面原子蚀刻策略（BIAES），将原子级缺陷引入黑磷纳米片中，从而为金属单原子（SA）/纳米晶体（NC）微域的可控负载提供高密度锚定位点和空间限制。强金属-载体相互作用和 NC 诱导的相邻 SA 位点的调节可提高催化性能。</w:t>
      </w:r>
    </w:p>
    <w:p>
      <w:pPr>
        <w:spacing w:before="0" w:after="200" w:lineRule="auto" w:line="276"/>
      </w:pPr>
      <w:r>
        <w:rPr>
          <w:b/>
        </w:rPr>
        <w:t xml:space="preserve">Abstract (EN): </w:t>
      </w:r>
      <w:r>
        <w:t>A biphasic interfacial atomic etching strategy (BIAES) is proposed to introduce atomic-scale defects into black phosphorus nanosheets, thereby providing high-density anchoring sites and spatial confinement for controllable loading of metal single atom (SA) /nanocrystal (NC) microdomains. Strong metal-support interactions and NC-induced modulation of adjacent SA sites boost catalytic performance.</w:t>
      </w:r>
    </w:p>
    <w:p>
      <w:pPr>
        <w:spacing w:before="120" w:after="120"/>
      </w:pPr>
      <w:r>
        <w:rPr>
          <w:sz w:val="18"/>
        </w:rPr>
        <w:t>——————————————————————————————————————————————————————————————————————</w:t>
      </w:r>
    </w:p>
    <w:p>
      <w:pPr>
        <w:spacing w:before="160" w:after="40" w:line="240" w:lineRule="auto"/>
      </w:pPr>
      <w:r>
        <w:rPr>
          <w:b/>
        </w:rPr>
        <w:t xml:space="preserve">[405] </w:t>
      </w:r>
      <w:hyperlink r:id="rId992">
        <w:r>
          <w:rPr>
            <w:color w:val="1155CC"/>
            <w:u w:val="single"/>
          </w:rPr>
          <w:t>协同负荷调节的灵活性共享：机制与解决方案</w:t>
        </w:r>
      </w:hyperlink>
    </w:p>
    <w:p>
      <w:pPr>
        <w:spacing w:before="0" w:after="80"/>
      </w:pPr>
      <w:r>
        <w:rPr>
          <w:i/>
          <w:sz w:val="20"/>
        </w:rPr>
        <w:t>EN: Flexibility sharing for collaborative load regulation: Mechanism and solution</w:t>
      </w:r>
    </w:p>
    <w:p>
      <w:pPr>
        <w:spacing w:before="0" w:after="120"/>
      </w:pPr>
      <w:r>
        <w:rPr>
          <w:b/>
        </w:rPr>
        <w:t xml:space="preserve">Source: </w:t>
      </w:r>
      <w:r>
        <w:t>ScienceDirect Publication: Applied Energy</w:t>
      </w:r>
      <w:r>
        <w:t xml:space="preserve">    </w:t>
      </w:r>
      <w:r>
        <w:rPr>
          <w:b/>
        </w:rPr>
        <w:t xml:space="preserve">Pub date: </w:t>
      </w:r>
      <w:r>
        <w:t>2026-06-04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[406] </w:t>
      </w:r>
      <w:hyperlink r:id="rId993">
        <w:r>
          <w:rPr>
            <w:color w:val="1155CC"/>
            <w:u w:val="single"/>
          </w:rPr>
          <w:t>盆地隆起和相关气候动力学驱动远场海底滑坡</w:t>
        </w:r>
      </w:hyperlink>
    </w:p>
    <w:p>
      <w:pPr>
        <w:spacing w:before="0" w:after="80"/>
      </w:pPr>
      <w:r>
        <w:rPr>
          <w:i/>
          <w:sz w:val="20"/>
        </w:rPr>
        <w:t>EN: Basin uplift and related climate dynamics drive far-field submarine landslides</w:t>
      </w:r>
    </w:p>
    <w:p>
      <w:pPr>
        <w:spacing w:before="0" w:after="120"/>
      </w:pPr>
      <w:r>
        <w:rPr>
          <w:b/>
        </w:rPr>
        <w:t xml:space="preserve">Source: </w:t>
      </w:r>
      <w:r>
        <w:t>National Science Review Advance Access</w:t>
      </w:r>
      <w:r>
        <w:t xml:space="preserve">    </w:t>
      </w:r>
      <w:r>
        <w:rPr>
          <w:b/>
        </w:rPr>
        <w:t xml:space="preserve">Pub date: </w:t>
      </w:r>
      <w:r>
        <w:t>2026-06-04 00:00:00+00:00</w:t>
      </w:r>
      <w:r>
        <w:t xml:space="preserve">    </w:t>
      </w:r>
      <w:r>
        <w:rPr>
          <w:b/>
        </w:rPr>
        <w:t xml:space="preserve">DOI: </w:t>
      </w:r>
      <w:hyperlink r:id="rId994">
        <w:r>
          <w:rPr>
            <w:color w:val="1155CC"/>
            <w:u w:val="single"/>
          </w:rPr>
          <w:t>10.1093/nsr/nwag342</w:t>
        </w:r>
      </w:hyperlink>
    </w:p>
    <w:p>
      <w:pPr>
        <w:spacing w:before="0" w:after="120"/>
      </w:pPr>
      <w:r>
        <w:rPr>
          <w:b/>
        </w:rPr>
        <w:t xml:space="preserve">Notes: </w:t>
      </w:r>
      <w:r>
        <w:t>abstract_source=rss_oup</w:t>
      </w:r>
    </w:p>
    <w:p>
      <w:pPr>
        <w:spacing w:before="0" w:after="80" w:lineRule="auto" w:line="276"/>
      </w:pPr>
      <w:r>
        <w:rPr>
          <w:b/>
        </w:rPr>
        <w:t xml:space="preserve">摘要（ZH）: </w:t>
      </w:r>
      <w:r>
        <w:t>海底山体滑坡可能会引发灾难性的连锁灾害，包括海啸。长期以来，人们一直假设构造和气候会影响边坡的不稳定，但它们如何在地质时间尺度上控制反复的边坡破坏仍不清楚。在这项对南海的研究中，我们发现厚度约 1,900 米的 Plio-第四纪序列中 90% 以上由重复的海底滑坡沉积物组成，并且它们在大约 5.5 Ma 时突然发生。我们证明，红河流域的隆起和相关的印度夏季季风的加强驱动了沉积物供应的格局转变，其特点是持续到现在的持续增加，使边缘坡度变陡并促进沉积物超压，从而引发广泛的大规模浪费。这项研究证明了大陆构造气候变化与海底滑坡活动之间的遥相关，从而增进了我们对源-汇地层框架内重复的斜坡不稳定现象的理解，并有助于重建地球历史。</w:t>
      </w:r>
    </w:p>
    <w:p>
      <w:pPr>
        <w:spacing w:before="0" w:after="200" w:lineRule="auto" w:line="276"/>
      </w:pPr>
      <w:r>
        <w:rPr>
          <w:b/>
        </w:rPr>
        <w:t xml:space="preserve">Abstract (EN): </w:t>
      </w:r>
      <w:r>
        <w:t>Submarine landslides can generate catastrophic cascading hazards, including tsunamis. Tectonics and climate have long been hypothesized to influence slope instability, but how they control repeated slope failures over geological time scales is still unclear. In this study from the South China Sea, we find that &gt; 90% of the ∼1,900 m-thick Plio-Quaternary succession consists of repeated submarine landslide deposits, and they onset suddenly at about 5.5 Ma. We demonstrate that uplift of the Red River basin and associated strengthening of the Indian Summer Monsoon drive a regime shift in sediment supply, characterized by a sustained increase that persists to the present, steepening the margin slope and promoting sediment overpressure, thereby triggering widespread mass wasting. This study demonstrates a teleconnection between continental tectonic–climatic changes and submarine landslide activity, thereby advancing our understanding of repeated slope-instability phenomena within a source-to-sink stratigraphic framework and contributing to the reconstruction of Earth’s history.</w:t>
      </w:r>
    </w:p>
    <w:p>
      <w:pPr>
        <w:spacing w:before="120" w:after="120"/>
      </w:pPr>
      <w:r>
        <w:rPr>
          <w:sz w:val="18"/>
        </w:rPr>
        <w:t>——————————————————————————————————————————————————————————————————————</w:t>
      </w:r>
    </w:p>
    <w:p>
      <w:pPr>
        <w:spacing w:before="160" w:after="40" w:line="240" w:lineRule="auto"/>
      </w:pPr>
      <w:r>
        <w:rPr>
          <w:b/>
        </w:rPr>
        <w:t xml:space="preserve">[407] </w:t>
      </w:r>
      <w:hyperlink r:id="rId995">
        <w:r>
          <w:rPr>
            <w:color w:val="1155CC"/>
            <w:u w:val="single"/>
          </w:rPr>
          <w:t>类脑光学计算：从边缘智能到实体智能的途径</w:t>
        </w:r>
      </w:hyperlink>
    </w:p>
    <w:p>
      <w:pPr>
        <w:spacing w:before="0" w:after="80"/>
      </w:pPr>
      <w:r>
        <w:rPr>
          <w:i/>
          <w:sz w:val="20"/>
        </w:rPr>
        <w:t>EN: Brain-like optical computing: a pathway from edge intelligence to embodied intelligence</w:t>
      </w:r>
    </w:p>
    <w:p>
      <w:pPr>
        <w:spacing w:before="0" w:after="120"/>
      </w:pPr>
      <w:r>
        <w:rPr>
          <w:b/>
        </w:rPr>
        <w:t xml:space="preserve">Source: </w:t>
      </w:r>
      <w:r>
        <w:t>National Science Review Advance Access</w:t>
      </w:r>
      <w:r>
        <w:t xml:space="preserve">    </w:t>
      </w:r>
      <w:r>
        <w:rPr>
          <w:b/>
        </w:rPr>
        <w:t xml:space="preserve">Pub date: </w:t>
      </w:r>
      <w:r>
        <w:t>2026-06-04 00:00:00+00:00</w:t>
      </w:r>
      <w:r>
        <w:t xml:space="preserve">    </w:t>
      </w:r>
      <w:r>
        <w:rPr>
          <w:b/>
        </w:rPr>
        <w:t xml:space="preserve">DOI: </w:t>
      </w:r>
      <w:hyperlink r:id="rId996">
        <w:r>
          <w:rPr>
            <w:color w:val="1155CC"/>
            <w:u w:val="single"/>
          </w:rPr>
          <w:t>10.1093/nsr/nwag336</w:t>
        </w:r>
      </w:hyperlink>
    </w:p>
    <w:p>
      <w:pPr>
        <w:spacing w:before="0" w:after="120"/>
      </w:pPr>
      <w:r>
        <w:rPr>
          <w:b/>
        </w:rPr>
        <w:t xml:space="preserve">Notes: </w:t>
      </w:r>
      <w:r>
        <w:t>abstract_source=crossref</w:t>
      </w:r>
    </w:p>
    <w:p>
      <w:pPr>
        <w:spacing w:before="0" w:after="80" w:lineRule="auto" w:line="276"/>
      </w:pPr>
      <w:r>
        <w:rPr>
          <w:b/>
        </w:rPr>
        <w:t xml:space="preserve">摘要（ZH）: </w:t>
      </w:r>
      <w:r>
        <w:t>超越基于矩阵的光学，类脑光学计算结合了光子记忆、学习和事件驱动处理，以实现跨边缘和实体系统的超低延迟感知、高带宽交互和节能自主控制。</w:t>
      </w:r>
    </w:p>
    <w:p>
      <w:pPr>
        <w:spacing w:before="0" w:after="200" w:lineRule="auto" w:line="276"/>
      </w:pPr>
      <w:r>
        <w:rPr>
          <w:b/>
        </w:rPr>
        <w:t xml:space="preserve">Abstract (EN): </w:t>
      </w:r>
      <w:r>
        <w:t>Moving beyond matrix-based optics, brain-like optical computing combines photonic memory, learning and event-driven processing for ultralow-latency perception, high-bandwidth interaction and energy-efficient autonomous control across edge and embodied systems.</w:t>
      </w:r>
    </w:p>
    <w:p>
      <w:pPr>
        <w:spacing w:before="120" w:after="120"/>
      </w:pPr>
      <w:r>
        <w:rPr>
          <w:sz w:val="18"/>
        </w:rPr>
        <w:t>——————————————————————————————————————————————————————————————————————</w:t>
      </w:r>
    </w:p>
    <w:p>
      <w:pPr>
        <w:spacing w:before="160" w:after="40" w:line="240" w:lineRule="auto"/>
      </w:pPr>
      <w:r>
        <w:rPr>
          <w:b/>
        </w:rPr>
        <w:t xml:space="preserve">[408] </w:t>
      </w:r>
      <w:hyperlink r:id="rId997">
        <w:r>
          <w:rPr>
            <w:color w:val="1155CC"/>
            <w:u w:val="single"/>
          </w:rPr>
          <w:t>新兴的南极放大</w:t>
        </w:r>
      </w:hyperlink>
    </w:p>
    <w:p>
      <w:pPr>
        <w:spacing w:before="0" w:after="80"/>
      </w:pPr>
      <w:r>
        <w:rPr>
          <w:i/>
          <w:sz w:val="20"/>
        </w:rPr>
        <w:t>EN: The emerging antarctic amplification</w:t>
      </w:r>
    </w:p>
    <w:p>
      <w:pPr>
        <w:spacing w:before="0" w:after="120"/>
      </w:pPr>
      <w:r>
        <w:rPr>
          <w:b/>
        </w:rPr>
        <w:t xml:space="preserve">Source: </w:t>
      </w:r>
      <w:r>
        <w:t>National Science Review Advance Access</w:t>
      </w:r>
      <w:r>
        <w:t xml:space="preserve">    </w:t>
      </w:r>
      <w:r>
        <w:rPr>
          <w:b/>
        </w:rPr>
        <w:t xml:space="preserve">Pub date: </w:t>
      </w:r>
      <w:r>
        <w:t>2026-06-04 00:00:00+00:00</w:t>
      </w:r>
      <w:r>
        <w:t xml:space="preserve">    </w:t>
      </w:r>
      <w:r>
        <w:rPr>
          <w:b/>
        </w:rPr>
        <w:t xml:space="preserve">DOI: </w:t>
      </w:r>
      <w:hyperlink r:id="rId998">
        <w:r>
          <w:rPr>
            <w:color w:val="1155CC"/>
            <w:u w:val="single"/>
          </w:rPr>
          <w:t>10.1093/nsr/nwag343</w:t>
        </w:r>
      </w:hyperlink>
    </w:p>
    <w:p>
      <w:pPr>
        <w:spacing w:before="0" w:after="120"/>
      </w:pPr>
      <w:r>
        <w:rPr>
          <w:b/>
        </w:rPr>
        <w:t xml:space="preserve">Notes: </w:t>
      </w:r>
      <w:r>
        <w:t>abstract_source=openalex</w:t>
      </w:r>
    </w:p>
    <w:p>
      <w:pPr>
        <w:spacing w:before="0" w:after="80" w:lineRule="auto" w:line="276"/>
      </w:pPr>
      <w:r>
        <w:rPr>
          <w:b/>
        </w:rPr>
        <w:t xml:space="preserve">摘要（ZH）: </w:t>
      </w:r>
      <w:r>
        <w:t>Qigang Wu, JiKai Tian, Qianyi Yu, Shizuo Li, Chang Yang, Aixue Hu, Lei Zhang; The emerging antarctic amplification, National Science Review, , nwag343, htt</w:t>
      </w:r>
    </w:p>
    <w:p>
      <w:pPr>
        <w:spacing w:before="0" w:after="200" w:lineRule="auto" w:line="276"/>
      </w:pPr>
      <w:r>
        <w:rPr>
          <w:b/>
        </w:rPr>
        <w:t xml:space="preserve">Abstract (EN): </w:t>
      </w:r>
      <w:r>
        <w:t>Qigang Wu, JiKai Tian, Qianyi Yu, Shizuo Li, Chang Yang, Aixue Hu, Lei Zhang; The emerging antarctic amplification, National Science Review, , nwag343, htt</w:t>
      </w:r>
    </w:p>
    <w:p>
      <w:pPr>
        <w:spacing w:before="120" w:after="120"/>
      </w:pPr>
      <w:r>
        <w:rPr>
          <w:sz w:val="18"/>
        </w:rPr>
        <w:t>——————————————————————————————————————————————————————————————————————</w:t>
      </w:r>
    </w:p>
    <w:p>
      <w:pPr>
        <w:spacing w:before="160" w:after="40" w:line="240" w:lineRule="auto"/>
      </w:pPr>
      <w:r>
        <w:rPr>
          <w:b/>
        </w:rPr>
        <w:t xml:space="preserve">[409] </w:t>
      </w:r>
      <w:hyperlink r:id="rId999">
        <w:r>
          <w:rPr>
            <w:color w:val="1155CC"/>
            <w:u w:val="single"/>
          </w:rPr>
          <w:t>Dexime：一种用于蛋白质治疗性释放的选择性酶降解水凝胶</w:t>
        </w:r>
      </w:hyperlink>
    </w:p>
    <w:p>
      <w:pPr>
        <w:spacing w:before="0" w:after="80"/>
      </w:pPr>
      <w:r>
        <w:rPr>
          <w:i/>
          <w:sz w:val="20"/>
        </w:rPr>
        <w:t>EN: Dexime: A Selectively Enzyme‐Degradable Hydrogel for Protein Therapeutic Release</w:t>
      </w:r>
    </w:p>
    <w:p>
      <w:pPr>
        <w:spacing w:before="0" w:after="120"/>
      </w:pPr>
      <w:r>
        <w:rPr>
          <w:b/>
        </w:rPr>
        <w:t xml:space="preserve">Source: </w:t>
      </w:r>
      <w:r>
        <w:t>Wiley: Advanced Materials: Table of Contents</w:t>
      </w:r>
      <w:r>
        <w:t xml:space="preserve">    </w:t>
      </w:r>
      <w:r>
        <w:rPr>
          <w:b/>
        </w:rPr>
        <w:t xml:space="preserve">Pub date: </w:t>
      </w:r>
      <w:r>
        <w:t>2026-06-04 04:20:19+00:00</w:t>
      </w:r>
      <w:r>
        <w:t xml:space="preserve">    </w:t>
      </w:r>
      <w:r>
        <w:rPr>
          <w:b/>
        </w:rPr>
        <w:t xml:space="preserve">DOI: </w:t>
      </w:r>
      <w:hyperlink r:id="rId1000">
        <w:r>
          <w:rPr>
            <w:color w:val="1155CC"/>
            <w:u w:val="single"/>
          </w:rPr>
          <w:t>10.1002/adma.202523099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凝胶对于蛋白质治疗剂的递送非常感兴趣，因为它们消除了其他递送系统常见的变性剪切力和/或有机溶剂。糊精是一种源自淀粉的多糖，在水凝胶的设计中很大程度上被忽略了，但它是可生物降解的，并且可以通过点击交联进行修饰以允许注射后原位凝胶化。在此，糊精用酮或醛部分进行修饰，然后与聚乙二醇四氧胺点击交联形成糊精肟（dexime）水凝胶。流变学和机械性能可通过改变配方参数（如总糊精重量百分比 (wt.%) 和 pH 值）来调节。水凝胶可通过 30G 针头注射，可通过 α-淀粉酶选择性降解，但在其他酶（包括透明质酸酶和软骨素酶 ABC (ChASE)）存在的情况下仍稳定且膨胀最小。身体的许多液体和组织中存在少量的α-淀粉酶，使得右肟缓慢降解，肿胀程度最小。 Dexime 对于 ChASE 的局部递送特别有用：ChASE 是一种降解中枢神经系统损伤后形成的聚集疤痕的酶。 Dexime 具有细胞相容性，并在体外和体内释放活性 ChASE，这一点可通过脊髓中硫酸软骨素蛋白多糖的降解来证明。</w:t>
      </w:r>
    </w:p>
    <w:p>
      <w:pPr>
        <w:spacing w:before="0" w:after="200" w:lineRule="auto" w:line="276"/>
      </w:pPr>
      <w:r>
        <w:rPr>
          <w:b/>
        </w:rPr>
        <w:t xml:space="preserve">Abstract (EN): </w:t>
      </w:r>
      <w:r>
        <w:t>Hydrogels are of great interest for the delivery of protein therapeutics as they obviate the denaturing shear forces and/or organic solvents common to other delivery systems. Dextrin, a polysaccharide derived from starch, has been largely ignored in the design of hydrogels, yet is biodegradable and can be modified to allow in situ gelation after injection by click‐crosslinking. Herein, dextrin is modified with either ketone or aldehyde moieties and then click‐crosslinked with poly(ethylene glycol)‐tetraoxyamine to form dextrin‐oxime (dexime) hydrogels. The rheological and mechanical properties are tunable by changing formulation parameters such as total dextrin weight percentage (wt.%) and pH. The hydrogels are injectable through a 30G needle, selectively degradable via α‐amylase, yet stable and minimally swelling in the presence of other enzymes, including hyaluronidase and chondroitinase ABC (ChASE). The presence of low amounts of α‐amylase in many fluids and tissues of the body allow for the slow degradation of dexime with minimal swelling. Dexime is particularly useful for local delivery of ChASE: an enzyme that degrades the aggregate scar formed after injury in the central nervous system. Dexime is cytocompatible and releases active ChASE both in vitro and in vivo as evidenced by chondroitin sulphate proteoglycan degradation in the spinal cord.</w:t>
      </w:r>
    </w:p>
    <w:p>
      <w:pPr>
        <w:spacing w:before="120" w:after="120"/>
      </w:pPr>
      <w:r>
        <w:rPr>
          <w:sz w:val="18"/>
        </w:rPr>
        <w:t>——————————————————————————————————————————————————————————————————————</w:t>
      </w:r>
    </w:p>
    <w:p>
      <w:pPr>
        <w:spacing w:before="160" w:after="40" w:line="240" w:lineRule="auto"/>
      </w:pPr>
      <w:r>
        <w:rPr>
          <w:b/>
        </w:rPr>
        <w:t xml:space="preserve">[410] </w:t>
      </w:r>
      <w:hyperlink r:id="rId1001">
        <w:r>
          <w:rPr>
            <w:color w:val="1155CC"/>
            <w:u w:val="single"/>
          </w:rPr>
          <w:t>明显不完美</w:t>
        </w:r>
      </w:hyperlink>
    </w:p>
    <w:p>
      <w:pPr>
        <w:spacing w:before="0" w:after="80"/>
      </w:pPr>
      <w:r>
        <w:rPr>
          <w:i/>
          <w:sz w:val="20"/>
        </w:rPr>
        <w:t>EN: Patently imperfect</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02">
        <w:r>
          <w:rPr>
            <w:color w:val="1155CC"/>
            <w:u w:val="single"/>
          </w:rPr>
          <w:t>10.1126/science.aef3173</w:t>
        </w:r>
      </w:hyperlink>
    </w:p>
    <w:p>
      <w:pPr>
        <w:spacing w:before="0" w:after="120"/>
      </w:pPr>
      <w:r>
        <w:rPr>
          <w:b/>
        </w:rPr>
        <w:t xml:space="preserve">Notes: </w:t>
      </w:r>
      <w:r>
        <w:t>abstract_source=crossref</w:t>
      </w:r>
    </w:p>
    <w:p>
      <w:pPr>
        <w:spacing w:before="0" w:after="80" w:lineRule="auto" w:line="276"/>
      </w:pPr>
      <w:r>
        <w:rPr>
          <w:b/>
        </w:rPr>
        <w:t xml:space="preserve">摘要（ZH）: </w:t>
      </w:r>
      <w:r>
        <w:t>为了扩大药品获取范围，两位倡导者呼吁重新思考知识产权在全球健康中的作用</w:t>
      </w:r>
    </w:p>
    <w:p>
      <w:pPr>
        <w:spacing w:before="0" w:after="200" w:lineRule="auto" w:line="276"/>
      </w:pPr>
      <w:r>
        <w:rPr>
          <w:b/>
        </w:rPr>
        <w:t xml:space="preserve">Abstract (EN): </w:t>
      </w:r>
      <w:r>
        <w:t>To expand access to medicines, two advocates call for rethinking intellectual property’s role in global health</w:t>
      </w:r>
    </w:p>
    <w:p>
      <w:pPr>
        <w:spacing w:before="120" w:after="120"/>
      </w:pPr>
      <w:r>
        <w:rPr>
          <w:sz w:val="18"/>
        </w:rPr>
        <w:t>——————————————————————————————————————————————————————————————————————</w:t>
      </w:r>
    </w:p>
    <w:p>
      <w:pPr>
        <w:spacing w:before="160" w:after="40" w:line="240" w:lineRule="auto"/>
      </w:pPr>
      <w:r>
        <w:rPr>
          <w:b/>
        </w:rPr>
        <w:t xml:space="preserve">[411] </w:t>
      </w:r>
      <w:hyperlink r:id="rId1003">
        <w:r>
          <w:rPr>
            <w:color w:val="1155CC"/>
            <w:u w:val="single"/>
          </w:rPr>
          <w:t>植物免疫受体对病原体毒力靶标的分子模拟</w:t>
        </w:r>
      </w:hyperlink>
    </w:p>
    <w:p>
      <w:pPr>
        <w:spacing w:before="0" w:after="80"/>
      </w:pPr>
      <w:r>
        <w:rPr>
          <w:i/>
          <w:sz w:val="20"/>
        </w:rPr>
        <w:t>EN: Molecular mimicry of a pathogen virulence target by a plant immune receptor</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04">
        <w:r>
          <w:rPr>
            <w:color w:val="1155CC"/>
            <w:u w:val="single"/>
          </w:rPr>
          <w:t>10.1126/science.aef9946</w:t>
        </w:r>
      </w:hyperlink>
    </w:p>
    <w:p>
      <w:pPr>
        <w:spacing w:before="0" w:after="120"/>
      </w:pPr>
      <w:r>
        <w:rPr>
          <w:b/>
        </w:rPr>
        <w:t xml:space="preserve">Notes: </w:t>
      </w:r>
      <w:r>
        <w:t>abstract_source=crossref</w:t>
      </w:r>
    </w:p>
    <w:p>
      <w:pPr>
        <w:spacing w:before="0" w:after="80" w:lineRule="auto" w:line="276"/>
      </w:pPr>
      <w:r>
        <w:rPr>
          <w:b/>
        </w:rPr>
        <w:t xml:space="preserve">摘要（ZH）: </w:t>
      </w:r>
      <w:r>
        <w:t>植物和动物通过产生需要细胞内核苷酸结合富含亮氨酸重复（NLR）蛋白的先天免疫反应来应对病原体攻击。这些免疫受体通过感测毒力效应蛋白来检测病原体感染。然而，受体如何进化出新的识别特异性仍然知之甚少。我们发现植物 NLR MLA3（霉菌基因座 a 3）已经进化为通过充当效应物毒力目标的分子模拟物来识别病原体效应物，从而触发免疫反应。通过将模拟物的结合界面引入小麦茎锈病抗性蛋白SR50，我们生物工程化了一种具有双重识别活性的嵌合受体，该受体赋予大麦转基因品系对两种主要谷物病原体的抗性。这些结果表明，免疫受体的分子模拟可用于设计多种疾病抵抗力。</w:t>
      </w:r>
    </w:p>
    <w:p>
      <w:pPr>
        <w:spacing w:before="0" w:after="200" w:lineRule="auto" w:line="276"/>
      </w:pPr>
      <w:r>
        <w:rPr>
          <w:b/>
        </w:rPr>
        <w:t xml:space="preserve">Abstract (EN): </w:t>
      </w:r>
      <w:r>
        <w:t>Plants and animals respond to pathogen attack by mounting innate immune responses that require intracellular nucleotide-binding leucine-rich repeat (NLR) proteins. These immune receptors detect pathogen infection by sensing virulence effector proteins. However, how receptors evolve new recognition specificities remains poorly understood. We found that the plant NLR MLA3 (Mildew locus a 3) has evolved to recognize a pathogen effector by acting as a molecular mimic of an effector virulence target, thereby triggering an immune response. By introducing the mimic’s binding interface into the wheat stem rust resistance protein SR50, we bioengineered a chimeric receptor with dual recognition activities that conferred resistance to two major cereal pathogens in barley transgenic lines. These results demonstrate that molecular mimicry by immune receptors can be harnessed to engineer multiple disease resistance.</w:t>
      </w:r>
    </w:p>
    <w:p>
      <w:pPr>
        <w:spacing w:before="120" w:after="120"/>
      </w:pPr>
      <w:r>
        <w:rPr>
          <w:sz w:val="18"/>
        </w:rPr>
        <w:t>——————————————————————————————————————————————————————————————————————</w:t>
      </w:r>
    </w:p>
    <w:p>
      <w:pPr>
        <w:spacing w:before="160" w:after="40" w:line="240" w:lineRule="auto"/>
      </w:pPr>
      <w:r>
        <w:rPr>
          <w:b/>
        </w:rPr>
        <w:t xml:space="preserve">[412] </w:t>
      </w:r>
      <w:hyperlink r:id="rId1005">
        <w:r>
          <w:rPr>
            <w:color w:val="1155CC"/>
            <w:u w:val="single"/>
          </w:rPr>
          <w:t>特朗普寻求加强对拨款的控制</w:t>
        </w:r>
      </w:hyperlink>
    </w:p>
    <w:p>
      <w:pPr>
        <w:spacing w:before="0" w:after="80"/>
      </w:pPr>
      <w:r>
        <w:rPr>
          <w:i/>
          <w:sz w:val="20"/>
        </w:rPr>
        <w:t>EN: Trump seeks tighter grip on grantmaking</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06">
        <w:r>
          <w:rPr>
            <w:color w:val="1155CC"/>
            <w:u w:val="single"/>
          </w:rPr>
          <w:t>10.1126/science.aej3861</w:t>
        </w:r>
      </w:hyperlink>
    </w:p>
    <w:p>
      <w:pPr>
        <w:spacing w:before="0" w:after="120"/>
      </w:pPr>
      <w:r>
        <w:rPr>
          <w:b/>
        </w:rPr>
        <w:t xml:space="preserve">Notes: </w:t>
      </w:r>
      <w:r>
        <w:t>abstract_source=crossref</w:t>
      </w:r>
    </w:p>
    <w:p>
      <w:pPr>
        <w:spacing w:before="0" w:after="80" w:lineRule="auto" w:line="276"/>
      </w:pPr>
      <w:r>
        <w:rPr>
          <w:b/>
        </w:rPr>
        <w:t xml:space="preserve">摘要（ZH）: </w:t>
      </w:r>
      <w:r>
        <w:t>拟议的全面规则还将限制对外合作并削减开放获取费用的资金</w:t>
      </w:r>
    </w:p>
    <w:p>
      <w:pPr>
        <w:spacing w:before="0" w:after="200" w:lineRule="auto" w:line="276"/>
      </w:pPr>
      <w:r>
        <w:rPr>
          <w:b/>
        </w:rPr>
        <w:t xml:space="preserve">Abstract (EN): </w:t>
      </w:r>
      <w:r>
        <w:t>Sweeping proposed rule would also restrict foreign collaborations and cut funding for open-access fees</w:t>
      </w:r>
    </w:p>
    <w:p>
      <w:pPr>
        <w:spacing w:before="120" w:after="120"/>
      </w:pPr>
      <w:r>
        <w:rPr>
          <w:sz w:val="18"/>
        </w:rPr>
        <w:t>——————————————————————————————————————————————————————————————————————</w:t>
      </w:r>
    </w:p>
    <w:p>
      <w:pPr>
        <w:spacing w:before="160" w:after="40" w:line="240" w:lineRule="auto"/>
      </w:pPr>
      <w:r>
        <w:rPr>
          <w:b/>
        </w:rPr>
        <w:t xml:space="preserve">[413] </w:t>
      </w:r>
      <w:hyperlink r:id="rId1007">
        <w:r>
          <w:rPr>
            <w:color w:val="1155CC"/>
            <w:u w:val="single"/>
          </w:rPr>
          <w:t>失去工作的社会基础设施</w:t>
        </w:r>
      </w:hyperlink>
    </w:p>
    <w:p>
      <w:pPr>
        <w:spacing w:before="0" w:after="80"/>
      </w:pPr>
      <w:r>
        <w:rPr>
          <w:i/>
          <w:sz w:val="20"/>
        </w:rPr>
        <w:t>EN: The lost social infrastructure of work</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08">
        <w:r>
          <w:rPr>
            <w:color w:val="1155CC"/>
            <w:u w:val="single"/>
          </w:rPr>
          <w:t>10.1126/science.aeh9559</w:t>
        </w:r>
      </w:hyperlink>
    </w:p>
    <w:p>
      <w:pPr>
        <w:spacing w:before="0" w:after="120"/>
      </w:pPr>
      <w:r>
        <w:rPr>
          <w:b/>
        </w:rPr>
        <w:t xml:space="preserve">Notes: </w:t>
      </w:r>
      <w:r>
        <w:t>abstract_source=crossref</w:t>
      </w:r>
    </w:p>
    <w:p>
      <w:pPr>
        <w:spacing w:before="0" w:after="80" w:lineRule="auto" w:line="276"/>
      </w:pPr>
      <w:r>
        <w:rPr>
          <w:b/>
        </w:rPr>
        <w:t xml:space="preserve">摘要（ZH）: </w:t>
      </w:r>
      <w:r>
        <w:t>远程工作大大增加了社会隔离，对心理健康产生了可衡量的影响</w:t>
      </w:r>
    </w:p>
    <w:p>
      <w:pPr>
        <w:spacing w:before="0" w:after="200" w:lineRule="auto" w:line="276"/>
      </w:pPr>
      <w:r>
        <w:rPr>
          <w:b/>
        </w:rPr>
        <w:t xml:space="preserve">Abstract (EN): </w:t>
      </w:r>
      <w:r>
        <w:t>Remote work has substantially increased social isolation, with measurable consequences for mental health</w:t>
      </w:r>
    </w:p>
    <w:p>
      <w:pPr>
        <w:spacing w:before="120" w:after="120"/>
      </w:pPr>
      <w:r>
        <w:rPr>
          <w:sz w:val="18"/>
        </w:rPr>
        <w:t>——————————————————————————————————————————————————————————————————————</w:t>
      </w:r>
    </w:p>
    <w:p>
      <w:pPr>
        <w:spacing w:before="160" w:after="40" w:line="240" w:lineRule="auto"/>
      </w:pPr>
      <w:r>
        <w:rPr>
          <w:b/>
        </w:rPr>
        <w:t xml:space="preserve">[414] </w:t>
      </w:r>
      <w:hyperlink r:id="rId1009">
        <w:r>
          <w:rPr>
            <w:color w:val="1155CC"/>
            <w:u w:val="single"/>
          </w:rPr>
          <w:t>弦理论是根据第一原理重建的</w:t>
        </w:r>
      </w:hyperlink>
    </w:p>
    <w:p>
      <w:pPr>
        <w:spacing w:before="0" w:after="80"/>
      </w:pPr>
      <w:r>
        <w:rPr>
          <w:i/>
          <w:sz w:val="20"/>
        </w:rPr>
        <w:t>EN: String theory is rebuilt from first principles</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10">
        <w:r>
          <w:rPr>
            <w:color w:val="1155CC"/>
            <w:u w:val="single"/>
          </w:rPr>
          <w:t>10.1126/science.aej3863</w:t>
        </w:r>
      </w:hyperlink>
    </w:p>
    <w:p>
      <w:pPr>
        <w:spacing w:before="0" w:after="120"/>
      </w:pPr>
      <w:r>
        <w:rPr>
          <w:b/>
        </w:rPr>
        <w:t xml:space="preserve">Notes: </w:t>
      </w:r>
      <w:r>
        <w:t>abstract_source=crossref</w:t>
      </w:r>
    </w:p>
    <w:p>
      <w:pPr>
        <w:spacing w:before="0" w:after="80" w:lineRule="auto" w:line="276"/>
      </w:pPr>
      <w:r>
        <w:rPr>
          <w:b/>
        </w:rPr>
        <w:t xml:space="preserve">摘要（ZH）: </w:t>
      </w:r>
      <w:r>
        <w:t>物理学家发现，对自然的最小假设不可避免地会导致弦状理论</w:t>
      </w:r>
    </w:p>
    <w:p>
      <w:pPr>
        <w:spacing w:before="0" w:after="200" w:lineRule="auto" w:line="276"/>
      </w:pPr>
      <w:r>
        <w:rPr>
          <w:b/>
        </w:rPr>
        <w:t xml:space="preserve">Abstract (EN): </w:t>
      </w:r>
      <w:r>
        <w:t>Physicists find that minimal assumptions about nature inevitably lead to stringlike theories</w:t>
      </w:r>
    </w:p>
    <w:p>
      <w:pPr>
        <w:spacing w:before="120" w:after="120"/>
      </w:pPr>
      <w:r>
        <w:rPr>
          <w:sz w:val="18"/>
        </w:rPr>
        <w:t>——————————————————————————————————————————————————————————————————————</w:t>
      </w:r>
    </w:p>
    <w:p>
      <w:pPr>
        <w:spacing w:before="160" w:after="40" w:line="240" w:lineRule="auto"/>
      </w:pPr>
      <w:r>
        <w:rPr>
          <w:b/>
        </w:rPr>
        <w:t xml:space="preserve">[415] </w:t>
      </w:r>
      <w:hyperlink r:id="rId1011">
        <w:r>
          <w:rPr>
            <w:color w:val="1155CC"/>
            <w:u w:val="single"/>
          </w:rPr>
          <w:t>脑图谱工作寻找神经退行性疾病的根源</w:t>
        </w:r>
      </w:hyperlink>
    </w:p>
    <w:p>
      <w:pPr>
        <w:spacing w:before="0" w:after="80"/>
      </w:pPr>
      <w:r>
        <w:rPr>
          <w:i/>
          <w:sz w:val="20"/>
        </w:rPr>
        <w:t>EN: Brain-mapping effort searches for roots of neurodegenerative diseases</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12">
        <w:r>
          <w:rPr>
            <w:color w:val="1155CC"/>
            <w:u w:val="single"/>
          </w:rPr>
          <w:t>10.1126/science.aej3862</w:t>
        </w:r>
      </w:hyperlink>
    </w:p>
    <w:p>
      <w:pPr>
        <w:spacing w:before="0" w:after="120"/>
      </w:pPr>
      <w:r>
        <w:rPr>
          <w:b/>
        </w:rPr>
        <w:t xml:space="preserve">Notes: </w:t>
      </w:r>
      <w:r>
        <w:t>abstract_source=crossref</w:t>
      </w:r>
    </w:p>
    <w:p>
      <w:pPr>
        <w:spacing w:before="0" w:after="80" w:lineRule="auto" w:line="276"/>
      </w:pPr>
      <w:r>
        <w:rPr>
          <w:b/>
        </w:rPr>
        <w:t xml:space="preserve">摘要（ZH）: </w:t>
      </w:r>
      <w:r>
        <w:t>艾伦研究所计划旨在捕捉疾病背后的最早细胞损伤并确定新的药物靶点</w:t>
      </w:r>
    </w:p>
    <w:p>
      <w:pPr>
        <w:spacing w:before="0" w:after="200" w:lineRule="auto" w:line="276"/>
      </w:pPr>
      <w:r>
        <w:rPr>
          <w:b/>
        </w:rPr>
        <w:t xml:space="preserve">Abstract (EN): </w:t>
      </w:r>
      <w:r>
        <w:t>Allen Institute initiative aims to capture earliest cellular damage underlying disease and identify new drug targets</w:t>
      </w:r>
    </w:p>
    <w:p>
      <w:pPr>
        <w:spacing w:before="120" w:after="120"/>
      </w:pPr>
      <w:r>
        <w:rPr>
          <w:sz w:val="18"/>
        </w:rPr>
        <w:t>——————————————————————————————————————————————————————————————————————</w:t>
      </w:r>
    </w:p>
    <w:p>
      <w:pPr>
        <w:spacing w:before="160" w:after="40" w:line="240" w:lineRule="auto"/>
      </w:pPr>
      <w:r>
        <w:rPr>
          <w:b/>
        </w:rPr>
        <w:t xml:space="preserve">[416] </w:t>
      </w:r>
      <w:hyperlink r:id="rId1013">
        <w:r>
          <w:rPr>
            <w:color w:val="1155CC"/>
            <w:u w:val="single"/>
          </w:rPr>
          <w:t>受威胁的“滚动石礁”的多样性令人惊讶</w:t>
        </w:r>
      </w:hyperlink>
    </w:p>
    <w:p>
      <w:pPr>
        <w:spacing w:before="0" w:after="80"/>
      </w:pPr>
      <w:r>
        <w:rPr>
          <w:i/>
          <w:sz w:val="20"/>
        </w:rPr>
        <w:t>EN: Threatened ‘rolling stone reefs’ are surprisingly diverse</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14">
        <w:r>
          <w:rPr>
            <w:color w:val="1155CC"/>
            <w:u w:val="single"/>
          </w:rPr>
          <w:t>10.1126/science.aej3866</w:t>
        </w:r>
      </w:hyperlink>
    </w:p>
    <w:p>
      <w:pPr>
        <w:spacing w:before="0" w:after="120"/>
      </w:pPr>
      <w:r>
        <w:rPr>
          <w:b/>
        </w:rPr>
        <w:t xml:space="preserve">Notes: </w:t>
      </w:r>
      <w:r>
        <w:t>abstract_source=crossref</w:t>
      </w:r>
    </w:p>
    <w:p>
      <w:pPr>
        <w:spacing w:before="0" w:after="80" w:lineRule="auto" w:line="276"/>
      </w:pPr>
      <w:r>
        <w:rPr>
          <w:b/>
        </w:rPr>
        <w:t xml:space="preserve">摘要（ZH）: </w:t>
      </w:r>
      <w:r>
        <w:t>DNA 研究揭示了巴西附近隐藏的生物多样性，并对石油勘探敲响了警钟</w:t>
      </w:r>
    </w:p>
    <w:p>
      <w:pPr>
        <w:spacing w:before="0" w:after="200" w:lineRule="auto" w:line="276"/>
      </w:pPr>
      <w:r>
        <w:rPr>
          <w:b/>
        </w:rPr>
        <w:t xml:space="preserve">Abstract (EN): </w:t>
      </w:r>
      <w:r>
        <w:t>DNA study reveals hidden biodiversity off Brazil—and raises alarm over oil exploration</w:t>
      </w:r>
    </w:p>
    <w:p>
      <w:pPr>
        <w:spacing w:before="120" w:after="120"/>
      </w:pPr>
      <w:r>
        <w:rPr>
          <w:sz w:val="18"/>
        </w:rPr>
        <w:t>——————————————————————————————————————————————————————————————————————</w:t>
      </w:r>
    </w:p>
    <w:p>
      <w:pPr>
        <w:spacing w:before="160" w:after="40" w:line="240" w:lineRule="auto"/>
      </w:pPr>
      <w:r>
        <w:rPr>
          <w:b/>
        </w:rPr>
        <w:t xml:space="preserve">[417] </w:t>
      </w:r>
      <w:hyperlink r:id="rId1015">
        <w:r>
          <w:rPr>
            <w:color w:val="1155CC"/>
            <w:u w:val="single"/>
          </w:rPr>
          <w:t>双重用途研究受到审查</w:t>
        </w:r>
      </w:hyperlink>
    </w:p>
    <w:p>
      <w:pPr>
        <w:spacing w:before="0" w:after="80"/>
      </w:pPr>
      <w:r>
        <w:rPr>
          <w:i/>
          <w:sz w:val="20"/>
        </w:rPr>
        <w:t>EN: Dual-use research under scrutiny</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16">
        <w:r>
          <w:rPr>
            <w:color w:val="1155CC"/>
            <w:u w:val="single"/>
          </w:rPr>
          <w:t>10.1126/science.aee2479</w:t>
        </w:r>
      </w:hyperlink>
    </w:p>
    <w:p>
      <w:pPr>
        <w:spacing w:before="0" w:after="120"/>
      </w:pPr>
      <w:r>
        <w:rPr>
          <w:b/>
        </w:rPr>
        <w:t xml:space="preserve">Notes: </w:t>
      </w:r>
      <w:r>
        <w:t>abstract_source=crossref</w:t>
      </w:r>
    </w:p>
    <w:p>
      <w:pPr>
        <w:spacing w:before="0" w:after="80" w:lineRule="auto" w:line="276"/>
      </w:pPr>
      <w:r>
        <w:rPr>
          <w:b/>
        </w:rPr>
        <w:t xml:space="preserve">摘要（ZH）: </w:t>
      </w:r>
      <w:r>
        <w:t>美国加强对军民两用研究的监管可能会面临越来越多的司法限制，同时给国内科学带来成本</w:t>
      </w:r>
    </w:p>
    <w:p>
      <w:pPr>
        <w:spacing w:before="0" w:after="200" w:lineRule="auto" w:line="276"/>
      </w:pPr>
      <w:r>
        <w:rPr>
          <w:b/>
        </w:rPr>
        <w:t xml:space="preserve">Abstract (EN): </w:t>
      </w:r>
      <w:r>
        <w:t>Strengthened US oversight of dual-use research may face growing jurisdictional limits while imposing costs on domestic science</w:t>
      </w:r>
    </w:p>
    <w:p>
      <w:pPr>
        <w:spacing w:before="120" w:after="120"/>
      </w:pPr>
      <w:r>
        <w:rPr>
          <w:sz w:val="18"/>
        </w:rPr>
        <w:t>——————————————————————————————————————————————————————————————————————</w:t>
      </w:r>
    </w:p>
    <w:p>
      <w:pPr>
        <w:spacing w:before="160" w:after="40" w:line="240" w:lineRule="auto"/>
      </w:pPr>
      <w:r>
        <w:rPr>
          <w:b/>
        </w:rPr>
        <w:t xml:space="preserve">[418] </w:t>
      </w:r>
      <w:hyperlink r:id="rId1017">
        <w:r>
          <w:rPr>
            <w:color w:val="1155CC"/>
            <w:u w:val="single"/>
          </w:rPr>
          <w:t>最后的天文学家</w:t>
        </w:r>
      </w:hyperlink>
    </w:p>
    <w:p>
      <w:pPr>
        <w:spacing w:before="0" w:after="80"/>
      </w:pPr>
      <w:r>
        <w:rPr>
          <w:i/>
          <w:sz w:val="20"/>
        </w:rPr>
        <w:t>EN: The last astronomers</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18">
        <w:r>
          <w:rPr>
            <w:color w:val="1155CC"/>
            <w:u w:val="single"/>
          </w:rPr>
          <w:t>10.1126/science.aej3885</w:t>
        </w:r>
      </w:hyperlink>
    </w:p>
    <w:p>
      <w:pPr>
        <w:spacing w:before="0" w:after="120"/>
      </w:pPr>
      <w:r>
        <w:rPr>
          <w:b/>
        </w:rPr>
        <w:t xml:space="preserve">Notes: </w:t>
      </w:r>
      <w:r>
        <w:t>abstract_source=crossref</w:t>
      </w:r>
    </w:p>
    <w:p>
      <w:pPr>
        <w:spacing w:before="0" w:after="80" w:lineRule="auto" w:line="276"/>
      </w:pPr>
      <w:r>
        <w:rPr>
          <w:b/>
        </w:rPr>
        <w:t xml:space="preserve">摘要（ZH）: </w:t>
      </w:r>
      <w:r>
        <w:t>在人工智能的蓬勃发展中，天体物理学家正在质疑其领域的灵魂</w:t>
      </w:r>
    </w:p>
    <w:p>
      <w:pPr>
        <w:spacing w:before="0" w:after="200" w:lineRule="auto" w:line="276"/>
      </w:pPr>
      <w:r>
        <w:rPr>
          <w:b/>
        </w:rPr>
        <w:t xml:space="preserve">Abstract (EN): </w:t>
      </w:r>
      <w:r>
        <w:t>Amid a flood of AI advances, astrophysicists are questioning the soul of their field</w:t>
      </w:r>
    </w:p>
    <w:p>
      <w:pPr>
        <w:spacing w:before="120" w:after="120"/>
      </w:pPr>
      <w:r>
        <w:rPr>
          <w:sz w:val="18"/>
        </w:rPr>
        <w:t>——————————————————————————————————————————————————————————————————————</w:t>
      </w:r>
    </w:p>
    <w:p>
      <w:pPr>
        <w:spacing w:before="160" w:after="40" w:line="240" w:lineRule="auto"/>
      </w:pPr>
      <w:r>
        <w:rPr>
          <w:b/>
        </w:rPr>
        <w:t xml:space="preserve">[419] </w:t>
      </w:r>
      <w:hyperlink r:id="rId1019">
        <w:r>
          <w:rPr>
            <w:color w:val="1155CC"/>
            <w:u w:val="single"/>
          </w:rPr>
          <w:t>具有争议性的进化论观点已 50 周年</w:t>
        </w:r>
      </w:hyperlink>
    </w:p>
    <w:p>
      <w:pPr>
        <w:spacing w:before="0" w:after="80"/>
      </w:pPr>
      <w:r>
        <w:rPr>
          <w:i/>
          <w:sz w:val="20"/>
        </w:rPr>
        <w:t>EN: A provocative view of evolution turns 50</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20">
        <w:r>
          <w:rPr>
            <w:color w:val="1155CC"/>
            <w:u w:val="single"/>
          </w:rPr>
          <w:t>10.1126/science.aeg1982</w:t>
        </w:r>
      </w:hyperlink>
    </w:p>
    <w:p>
      <w:pPr>
        <w:spacing w:before="0" w:after="120"/>
      </w:pPr>
      <w:r>
        <w:rPr>
          <w:b/>
        </w:rPr>
        <w:t xml:space="preserve">Notes: </w:t>
      </w:r>
      <w:r>
        <w:t>abstract_source=crossref</w:t>
      </w:r>
    </w:p>
    <w:p>
      <w:pPr>
        <w:spacing w:before="0" w:after="80" w:lineRule="auto" w:line="276"/>
      </w:pPr>
      <w:r>
        <w:rPr>
          <w:b/>
        </w:rPr>
        <w:t xml:space="preserve">摘要（ZH）: </w:t>
      </w:r>
      <w:r>
        <w:t>自私的基因</w:t>
      </w:r>
      <w:r>
        <w:t xml:space="preserve"> </w:t>
      </w:r>
      <w:r>
        <w:t>半个世纪后继续挑战读者</w:t>
      </w:r>
    </w:p>
    <w:p>
      <w:pPr>
        <w:spacing w:before="0" w:after="200" w:lineRule="auto" w:line="276"/>
      </w:pPr>
      <w:r>
        <w:rPr>
          <w:b/>
        </w:rPr>
        <w:t xml:space="preserve">Abstract (EN): </w:t>
      </w:r>
      <w:r>
        <w:t>The Selfish Gene</w:t>
      </w:r>
      <w:r>
        <w:t xml:space="preserve"> </w:t>
      </w:r>
      <w:r>
        <w:t>continues to challenge readers half a century later</w:t>
      </w:r>
    </w:p>
    <w:p>
      <w:pPr>
        <w:spacing w:before="120" w:after="120"/>
      </w:pPr>
      <w:r>
        <w:rPr>
          <w:sz w:val="18"/>
        </w:rPr>
        <w:t>——————————————————————————————————————————————————————————————————————</w:t>
      </w:r>
    </w:p>
    <w:p>
      <w:pPr>
        <w:spacing w:before="160" w:after="40" w:line="240" w:lineRule="auto"/>
      </w:pPr>
      <w:r>
        <w:rPr>
          <w:b/>
        </w:rPr>
        <w:t xml:space="preserve">[420] </w:t>
      </w:r>
      <w:hyperlink r:id="rId1021">
        <w:r>
          <w:rPr>
            <w:color w:val="1155CC"/>
            <w:u w:val="single"/>
          </w:rPr>
          <w:t>缩小了解人工智能的窗口</w:t>
        </w:r>
      </w:hyperlink>
    </w:p>
    <w:p>
      <w:pPr>
        <w:spacing w:before="0" w:after="80"/>
      </w:pPr>
      <w:r>
        <w:rPr>
          <w:i/>
          <w:sz w:val="20"/>
        </w:rPr>
        <w:t>EN: A narrowing window to understand AI</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22">
        <w:r>
          <w:rPr>
            <w:color w:val="1155CC"/>
            <w:u w:val="single"/>
          </w:rPr>
          <w:t>10.1126/science.aei3167</w:t>
        </w:r>
      </w:hyperlink>
    </w:p>
    <w:p>
      <w:pPr>
        <w:spacing w:before="0" w:after="120"/>
      </w:pPr>
      <w:r>
        <w:rPr>
          <w:b/>
        </w:rPr>
        <w:t xml:space="preserve">Notes: </w:t>
      </w:r>
      <w:r>
        <w:t>abstract_source=crossref</w:t>
      </w:r>
    </w:p>
    <w:p>
      <w:pPr>
        <w:spacing w:before="0" w:after="80" w:lineRule="auto" w:line="276"/>
      </w:pPr>
      <w:r>
        <w:rPr>
          <w:b/>
        </w:rPr>
        <w:t xml:space="preserve">摘要（ZH）: </w:t>
      </w:r>
      <w:r>
        <w:t>随着人工智能（AI）能力的快速发展，人类对这些系统的理解日益落后。多种趋势正在融合，使得人工智能系统变得更加难以理解，同时它们也变得更加重要。如果不采取刻意的反补贴措施，构建我们能够有意义地理解和指导的人工智能系统的窗口可能会无法恢复。</w:t>
      </w:r>
    </w:p>
    <w:p>
      <w:pPr>
        <w:spacing w:before="0" w:after="200" w:lineRule="auto" w:line="276"/>
      </w:pPr>
      <w:r>
        <w:rPr>
          <w:b/>
        </w:rPr>
        <w:t xml:space="preserve">Abstract (EN): </w:t>
      </w:r>
      <w:r>
        <w:t>As capabilities of artificial intelligence (AI) advance rapidly, human understanding of these systems is increasingly falling behind. Several trends are converging to make AI systems harder to understand just as they become more consequential. Without deliberate countervailing efforts, the window for building AI systems that we can meaningfully understand and guide may close beyond recovery.</w:t>
      </w:r>
    </w:p>
    <w:p>
      <w:pPr>
        <w:spacing w:before="120" w:after="120"/>
      </w:pPr>
      <w:r>
        <w:rPr>
          <w:sz w:val="18"/>
        </w:rPr>
        <w:t>——————————————————————————————————————————————————————————————————————</w:t>
      </w:r>
    </w:p>
    <w:p>
      <w:pPr>
        <w:spacing w:before="160" w:after="40" w:line="240" w:lineRule="auto"/>
      </w:pPr>
      <w:r>
        <w:rPr>
          <w:b/>
        </w:rPr>
        <w:t xml:space="preserve">[421] </w:t>
      </w:r>
      <w:hyperlink r:id="rId1023">
        <w:r>
          <w:rPr>
            <w:color w:val="1155CC"/>
            <w:u w:val="single"/>
          </w:rPr>
          <w:t>白宫削弱国家科学基金会监管部门</w:t>
        </w:r>
      </w:hyperlink>
    </w:p>
    <w:p>
      <w:pPr>
        <w:spacing w:before="0" w:after="80"/>
      </w:pPr>
      <w:r>
        <w:rPr>
          <w:i/>
          <w:sz w:val="20"/>
        </w:rPr>
        <w:t>EN: White House defangs NSF watchdog unit</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24">
        <w:r>
          <w:rPr>
            <w:color w:val="1155CC"/>
            <w:u w:val="single"/>
          </w:rPr>
          <w:t>10.1126/science.aej3864</w:t>
        </w:r>
      </w:hyperlink>
    </w:p>
    <w:p>
      <w:pPr>
        <w:spacing w:before="0" w:after="120"/>
      </w:pPr>
      <w:r>
        <w:rPr>
          <w:b/>
        </w:rPr>
        <w:t xml:space="preserve">Notes: </w:t>
      </w:r>
      <w:r>
        <w:t>abstract_source=crossref</w:t>
      </w:r>
    </w:p>
    <w:p>
      <w:pPr>
        <w:spacing w:before="0" w:after="80" w:lineRule="auto" w:line="276"/>
      </w:pPr>
      <w:r>
        <w:rPr>
          <w:b/>
        </w:rPr>
        <w:t xml:space="preserve">摘要（ZH）: </w:t>
      </w:r>
      <w:r>
        <w:t>新政策让大学负责调查针对教师的不当行为指控</w:t>
      </w:r>
    </w:p>
    <w:p>
      <w:pPr>
        <w:spacing w:before="0" w:after="200" w:lineRule="auto" w:line="276"/>
      </w:pPr>
      <w:r>
        <w:rPr>
          <w:b/>
        </w:rPr>
        <w:t xml:space="preserve">Abstract (EN): </w:t>
      </w:r>
      <w:r>
        <w:t>New policy leaves universities in charge of probing misconduct allegations against faculty</w:t>
      </w:r>
    </w:p>
    <w:p>
      <w:pPr>
        <w:spacing w:before="120" w:after="120"/>
      </w:pPr>
      <w:r>
        <w:rPr>
          <w:sz w:val="18"/>
        </w:rPr>
        <w:t>——————————————————————————————————————————————————————————————————————</w:t>
      </w:r>
    </w:p>
    <w:p>
      <w:pPr>
        <w:spacing w:before="160" w:after="40" w:line="240" w:lineRule="auto"/>
      </w:pPr>
      <w:r>
        <w:rPr>
          <w:b/>
        </w:rPr>
        <w:t xml:space="preserve">[422] </w:t>
      </w:r>
      <w:hyperlink r:id="rId1025">
        <w:r>
          <w:rPr>
            <w:color w:val="1155CC"/>
            <w:u w:val="single"/>
          </w:rPr>
          <w:t>抗病毒药丸获得预防埃博拉病毒的首次测试</w:t>
        </w:r>
      </w:hyperlink>
    </w:p>
    <w:p>
      <w:pPr>
        <w:spacing w:before="0" w:after="80"/>
      </w:pPr>
      <w:r>
        <w:rPr>
          <w:i/>
          <w:sz w:val="20"/>
        </w:rPr>
        <w:t>EN: Antiviral pill gets first test for Ebola prevention</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26">
        <w:r>
          <w:rPr>
            <w:color w:val="1155CC"/>
            <w:u w:val="single"/>
          </w:rPr>
          <w:t>10.1126/science.aej3865</w:t>
        </w:r>
      </w:hyperlink>
    </w:p>
    <w:p>
      <w:pPr>
        <w:spacing w:before="0" w:after="120"/>
      </w:pPr>
      <w:r>
        <w:rPr>
          <w:b/>
        </w:rPr>
        <w:t xml:space="preserve">Notes: </w:t>
      </w:r>
      <w:r>
        <w:t>abstract_source=crossref</w:t>
      </w:r>
    </w:p>
    <w:p>
      <w:pPr>
        <w:spacing w:before="0" w:after="80" w:lineRule="auto" w:line="276"/>
      </w:pPr>
      <w:r>
        <w:rPr>
          <w:b/>
        </w:rPr>
        <w:t xml:space="preserve">摘要（ZH）: </w:t>
      </w:r>
      <w:r>
        <w:t>史无前例的试验旨在保护刚果民主共和国和乌干达感染埃博拉病毒的人们</w:t>
      </w:r>
    </w:p>
    <w:p>
      <w:pPr>
        <w:spacing w:before="0" w:after="200" w:lineRule="auto" w:line="276"/>
      </w:pPr>
      <w:r>
        <w:rPr>
          <w:b/>
        </w:rPr>
        <w:t xml:space="preserve">Abstract (EN): </w:t>
      </w:r>
      <w:r>
        <w:t>Unprecedented trial aims to protect people exposed to Ebola in the DRC and Uganda</w:t>
      </w:r>
    </w:p>
    <w:p>
      <w:pPr>
        <w:spacing w:before="120" w:after="120"/>
      </w:pPr>
      <w:r>
        <w:rPr>
          <w:sz w:val="18"/>
        </w:rPr>
        <w:t>——————————————————————————————————————————————————————————————————————</w:t>
      </w:r>
    </w:p>
    <w:p>
      <w:pPr>
        <w:spacing w:before="160" w:after="40" w:line="240" w:lineRule="auto"/>
      </w:pPr>
      <w:r>
        <w:rPr>
          <w:b/>
        </w:rPr>
        <w:t xml:space="preserve">[423] </w:t>
      </w:r>
      <w:hyperlink r:id="rId1027">
        <w:r>
          <w:rPr>
            <w:color w:val="1155CC"/>
            <w:u w:val="single"/>
          </w:rPr>
          <w:t>在科学期刊中</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28">
        <w:r>
          <w:rPr>
            <w:color w:val="1155CC"/>
            <w:u w:val="single"/>
          </w:rPr>
          <w:t>10.1126/science.aej3526</w:t>
        </w:r>
      </w:hyperlink>
    </w:p>
    <w:p>
      <w:pPr>
        <w:spacing w:before="0" w:after="120"/>
      </w:pPr>
      <w:r>
        <w:rPr>
          <w:b/>
        </w:rPr>
        <w:t xml:space="preserve">Notes: </w:t>
      </w:r>
      <w:r>
        <w:t>abstract_source=crossref</w:t>
      </w:r>
    </w:p>
    <w:p>
      <w:pPr>
        <w:spacing w:before="0" w:after="80" w:lineRule="auto" w:line="276"/>
      </w:pPr>
      <w:r>
        <w:rPr>
          <w:b/>
        </w:rPr>
        <w:t xml:space="preserve">摘要（ZH）: </w:t>
      </w:r>
      <w:r>
        <w:t>亮点来自</w:t>
      </w:r>
      <w:r>
        <w:t xml:space="preserve"> </w:t>
      </w:r>
      <w:r>
        <w:t>科学</w:t>
      </w:r>
      <w:r>
        <w:t xml:space="preserve"> </w:t>
      </w:r>
      <w:r>
        <w:t>期刊家族</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[424] </w:t>
      </w:r>
      <w:hyperlink r:id="rId1029">
        <w:r>
          <w:rPr>
            <w:color w:val="1155CC"/>
            <w:u w:val="single"/>
          </w:rPr>
          <w:t>火灾阻碍了美国臭氧空气质量标准的进展</w:t>
        </w:r>
      </w:hyperlink>
    </w:p>
    <w:p>
      <w:pPr>
        <w:spacing w:before="0" w:after="80"/>
      </w:pPr>
      <w:r>
        <w:rPr>
          <w:i/>
          <w:sz w:val="20"/>
        </w:rPr>
        <w:t>EN: Fires reverse progress toward ozone air quality standards in the United States</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30">
        <w:r>
          <w:rPr>
            <w:color w:val="1155CC"/>
            <w:u w:val="single"/>
          </w:rPr>
          <w:t>10.1126/science.aed3197</w:t>
        </w:r>
      </w:hyperlink>
    </w:p>
    <w:p>
      <w:pPr>
        <w:spacing w:before="0" w:after="120"/>
      </w:pPr>
      <w:r>
        <w:rPr>
          <w:b/>
        </w:rPr>
        <w:t xml:space="preserve">Notes: </w:t>
      </w:r>
      <w:r>
        <w:t>abstract_source=crossref</w:t>
      </w:r>
    </w:p>
    <w:p>
      <w:pPr>
        <w:spacing w:before="0" w:after="80" w:lineRule="auto" w:line="276"/>
      </w:pPr>
      <w:r>
        <w:rPr>
          <w:b/>
        </w:rPr>
        <w:t xml:space="preserve">摘要（ZH）: </w:t>
      </w:r>
      <w:r>
        <w:t>最近野火排放量激增加剧了美国地表臭氧污染。利用深度学习，我们开发了 2003 年至 2024 年分辨率为 1 公里的无间隙每日地表臭氧数据集。该数据集揭示了与国家政策相关的臭氧趋势的逆转，而这种逆转未被稀疏的监测网络发现：从每年-0.65 ppb（2003-2015）到每年+0.13 ppb（2015-2024）。这一逆转主要是由于野火排放量的增加抵消了 3.9 年的缓解进展。自 2013 年以来，火源臭氧导致的过早死亡人数每年增加 318 人，2013 年后的死亡率比 2013 年前高出 46%。 2022 年至 2024 年期间，野火排放使 4300 万人面临达不到标准的情况，有效阻止了臭氧标准收紧 4 ppb。这些结果凸显出，随着气候变化导致野火加剧，维持空气质量进步面临着日益严峻的挑战。</w:t>
      </w:r>
    </w:p>
    <w:p>
      <w:pPr>
        <w:spacing w:before="0" w:after="200" w:lineRule="auto" w:line="276"/>
      </w:pPr>
      <w:r>
        <w:rPr>
          <w:b/>
        </w:rPr>
        <w:t xml:space="preserve">Abstract (EN): </w:t>
      </w:r>
      <w:r>
        <w:t>Recent surges in wildfire emissions have exacerbated surface ozone pollution in the United States. Using deep learning, we developed a gapless daily surface ozone dataset at 1-kilometer resolution for 2003–2024. This dataset revealed a reversal in national policy–relevant ozone trends that had gone undetected by the sparse monitoring network: from −0.65 parts per billion (ppb) per year (2003–2015) to +0.13 ppb per year (2015–2024). The reversal was primarily driven by increasing wildfire emissions, offsetting 3.9 years of mitigation progress. Premature deaths from fire-sourced ozone have increased by 318 deaths per year since 2013, with post-2013 mortality 46% higher than pre-2013 mortality. During 2022–2024, wildfire emissions exposed 43 million people to nonattainment conditions, effectively preventing a 4-ppb tightening of the ozone standard. These results underscore the growing challenges of sustaining air quality progress as wildfires intensify under climate change.</w:t>
      </w:r>
    </w:p>
    <w:p>
      <w:pPr>
        <w:spacing w:before="120" w:after="120"/>
      </w:pPr>
      <w:r>
        <w:rPr>
          <w:sz w:val="18"/>
        </w:rPr>
        <w:t>——————————————————————————————————————————————————————————————————————</w:t>
      </w:r>
    </w:p>
    <w:p>
      <w:pPr>
        <w:spacing w:before="160" w:after="40" w:line="240" w:lineRule="auto"/>
      </w:pPr>
      <w:r>
        <w:rPr>
          <w:b/>
        </w:rPr>
        <w:t xml:space="preserve">[425] </w:t>
      </w:r>
      <w:hyperlink r:id="rId1031">
        <w:r>
          <w:rPr>
            <w:color w:val="1155CC"/>
            <w:u w:val="single"/>
          </w:rPr>
          <w:t>拟议的轨道“安全气囊”将阻止太阳风暴</w:t>
        </w:r>
      </w:hyperlink>
    </w:p>
    <w:p>
      <w:pPr>
        <w:spacing w:before="0" w:after="80"/>
      </w:pPr>
      <w:r>
        <w:rPr>
          <w:i/>
          <w:sz w:val="20"/>
        </w:rPr>
        <w:t>EN: Proposed orbital ‘airbag’ would block solar storms</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32">
        <w:r>
          <w:rPr>
            <w:color w:val="1155CC"/>
            <w:u w:val="single"/>
          </w:rPr>
          <w:t>10.1126/science.aej3858</w:t>
        </w:r>
      </w:hyperlink>
    </w:p>
    <w:p>
      <w:pPr>
        <w:spacing w:before="0" w:after="120"/>
      </w:pPr>
      <w:r>
        <w:rPr>
          <w:b/>
        </w:rPr>
        <w:t xml:space="preserve">Notes: </w:t>
      </w:r>
      <w:r>
        <w:t>abstract_source=crossref</w:t>
      </w:r>
    </w:p>
    <w:p>
      <w:pPr>
        <w:spacing w:before="0" w:after="80" w:lineRule="auto" w:line="276"/>
      </w:pPr>
      <w:r>
        <w:rPr>
          <w:b/>
        </w:rPr>
        <w:t xml:space="preserve">摘要（ZH）: </w:t>
      </w:r>
      <w:r>
        <w:t>卫星释放的气体可以减少恶劣太空天气的威胁</w:t>
      </w:r>
    </w:p>
    <w:p>
      <w:pPr>
        <w:spacing w:before="0" w:after="200" w:lineRule="auto" w:line="276"/>
      </w:pPr>
      <w:r>
        <w:rPr>
          <w:b/>
        </w:rPr>
        <w:t xml:space="preserve">Abstract (EN): </w:t>
      </w:r>
      <w:r>
        <w:t>Gases released from satellites could slash the threat of severe space weather</w:t>
      </w:r>
    </w:p>
    <w:p>
      <w:pPr>
        <w:spacing w:before="120" w:after="120"/>
      </w:pPr>
      <w:r>
        <w:rPr>
          <w:sz w:val="18"/>
        </w:rPr>
        <w:t>——————————————————————————————————————————————————————————————————————</w:t>
      </w:r>
    </w:p>
    <w:p>
      <w:pPr>
        <w:spacing w:before="160" w:after="40" w:line="240" w:lineRule="auto"/>
      </w:pPr>
      <w:r>
        <w:rPr>
          <w:b/>
        </w:rPr>
        <w:t xml:space="preserve">[426] </w:t>
      </w:r>
      <w:hyperlink r:id="rId1033">
        <w:r>
          <w:rPr>
            <w:color w:val="1155CC"/>
            <w:u w:val="single"/>
          </w:rPr>
          <w:t>超加工食品和肥胖：解释证据</w:t>
        </w:r>
      </w:hyperlink>
    </w:p>
    <w:p>
      <w:pPr>
        <w:spacing w:before="0" w:after="80"/>
      </w:pPr>
      <w:r>
        <w:rPr>
          <w:i/>
          <w:sz w:val="20"/>
        </w:rPr>
        <w:t>EN: Ultraprocessed foods and obesity: Interpreting the evidence</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34">
        <w:r>
          <w:rPr>
            <w:color w:val="1155CC"/>
            <w:u w:val="single"/>
          </w:rPr>
          <w:t>10.1126/science.aef3495</w:t>
        </w:r>
      </w:hyperlink>
    </w:p>
    <w:p>
      <w:pPr>
        <w:spacing w:before="0" w:after="120"/>
      </w:pPr>
      <w:r>
        <w:rPr>
          <w:b/>
        </w:rPr>
        <w:t xml:space="preserve">Notes: </w:t>
      </w:r>
      <w:r>
        <w:t>abstract_source=crossref</w:t>
      </w:r>
    </w:p>
    <w:p>
      <w:pPr>
        <w:spacing w:before="0" w:after="80" w:lineRule="auto" w:line="276"/>
      </w:pPr>
      <w:r>
        <w:rPr>
          <w:b/>
        </w:rPr>
        <w:t xml:space="preserve">摘要（ZH）: </w:t>
      </w:r>
      <w:r>
        <w:t>关于超加工食品的影响，随机对照试验真正告诉我们什么？</w:t>
      </w:r>
    </w:p>
    <w:p>
      <w:pPr>
        <w:spacing w:before="0" w:after="200" w:lineRule="auto" w:line="276"/>
      </w:pPr>
      <w:r>
        <w:rPr>
          <w:b/>
        </w:rPr>
        <w:t xml:space="preserve">Abstract (EN): </w:t>
      </w:r>
      <w:r>
        <w:t>What do randomized controlled trials really tell us about the effects of ultraprocessed foods?</w:t>
      </w:r>
    </w:p>
    <w:p>
      <w:pPr>
        <w:spacing w:before="120" w:after="120"/>
      </w:pPr>
      <w:r>
        <w:rPr>
          <w:sz w:val="18"/>
        </w:rPr>
        <w:t>——————————————————————————————————————————————————————————————————————</w:t>
      </w:r>
    </w:p>
    <w:p>
      <w:pPr>
        <w:spacing w:before="160" w:after="40" w:line="240" w:lineRule="auto"/>
      </w:pPr>
      <w:r>
        <w:rPr>
          <w:b/>
        </w:rPr>
        <w:t xml:space="preserve">[427] </w:t>
      </w:r>
      <w:hyperlink r:id="rId1035">
        <w:r>
          <w:rPr>
            <w:color w:val="1155CC"/>
            <w:u w:val="single"/>
          </w:rPr>
          <w:t>中国地下基础设施的影响</w:t>
        </w:r>
      </w:hyperlink>
    </w:p>
    <w:p>
      <w:pPr>
        <w:spacing w:before="0" w:after="80"/>
      </w:pPr>
      <w:r>
        <w:rPr>
          <w:i/>
          <w:sz w:val="20"/>
        </w:rPr>
        <w:t>EN: Effects of China’s underground infrastructure</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36">
        <w:r>
          <w:rPr>
            <w:color w:val="1155CC"/>
            <w:u w:val="single"/>
          </w:rPr>
          <w:t>10.1126/science.aeh4973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[428] </w:t>
      </w:r>
      <w:hyperlink r:id="rId1037">
        <w:r>
          <w:rPr>
            <w:color w:val="1155CC"/>
            <w:u w:val="single"/>
          </w:rPr>
          <w:t>葡萄酒对气候变化中农业的警告</w:t>
        </w:r>
      </w:hyperlink>
    </w:p>
    <w:p>
      <w:pPr>
        <w:spacing w:before="0" w:after="80"/>
      </w:pPr>
      <w:r>
        <w:rPr>
          <w:i/>
          <w:sz w:val="20"/>
        </w:rPr>
        <w:t>EN: Wine’s warning for farming in climate change</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38">
        <w:r>
          <w:rPr>
            <w:color w:val="1155CC"/>
            <w:u w:val="single"/>
          </w:rPr>
          <w:t>10.1126/science.aeh4170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[429] </w:t>
      </w:r>
      <w:hyperlink r:id="rId1039">
        <w:r>
          <w:rPr>
            <w:color w:val="1155CC"/>
            <w:u w:val="single"/>
          </w:rPr>
          <w:t>不好的记忆，不好的睡眠</w:t>
        </w:r>
      </w:hyperlink>
    </w:p>
    <w:p>
      <w:pPr>
        <w:spacing w:before="0" w:after="80"/>
      </w:pPr>
      <w:r>
        <w:rPr>
          <w:i/>
          <w:sz w:val="20"/>
        </w:rPr>
        <w:t>EN: Bad memories, bad sleep</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40">
        <w:r>
          <w:rPr>
            <w:color w:val="1155CC"/>
            <w:u w:val="single"/>
          </w:rPr>
          <w:t>10.1126/science.aei3385</w:t>
        </w:r>
      </w:hyperlink>
    </w:p>
    <w:p>
      <w:pPr>
        <w:spacing w:before="0" w:after="120"/>
      </w:pPr>
      <w:r>
        <w:rPr>
          <w:b/>
        </w:rPr>
        <w:t xml:space="preserve">Notes: </w:t>
      </w:r>
      <w:r>
        <w:t>abstract_source=crossref</w:t>
      </w:r>
    </w:p>
    <w:p>
      <w:pPr>
        <w:spacing w:before="0" w:after="80" w:lineRule="auto" w:line="276"/>
      </w:pPr>
      <w:r>
        <w:rPr>
          <w:b/>
        </w:rPr>
        <w:t xml:space="preserve">摘要（ZH）: </w:t>
      </w:r>
      <w:r>
        <w:t>睡眠质量由记忆细胞的重新激活来调节</w:t>
      </w:r>
    </w:p>
    <w:p>
      <w:pPr>
        <w:spacing w:before="0" w:after="200" w:lineRule="auto" w:line="276"/>
      </w:pPr>
      <w:r>
        <w:rPr>
          <w:b/>
        </w:rPr>
        <w:t xml:space="preserve">Abstract (EN): </w:t>
      </w:r>
      <w:r>
        <w:t>Sleep quality is regulated by the reactivation of memory cells</w:t>
      </w:r>
    </w:p>
    <w:p>
      <w:pPr>
        <w:spacing w:before="120" w:after="120"/>
      </w:pPr>
      <w:r>
        <w:rPr>
          <w:sz w:val="18"/>
        </w:rPr>
        <w:t>——————————————————————————————————————————————————————————————————————</w:t>
      </w:r>
    </w:p>
    <w:p>
      <w:pPr>
        <w:spacing w:before="160" w:after="40" w:line="240" w:lineRule="auto"/>
      </w:pPr>
      <w:r>
        <w:rPr>
          <w:b/>
        </w:rPr>
        <w:t xml:space="preserve">[430] </w:t>
      </w:r>
      <w:hyperlink r:id="rId1041">
        <w:r>
          <w:rPr>
            <w:color w:val="1155CC"/>
            <w:u w:val="single"/>
          </w:rPr>
          <w:t>扶手椅型 MoS2 纳米管在 1 纳米极限的受限生长</w:t>
        </w:r>
      </w:hyperlink>
    </w:p>
    <w:p>
      <w:pPr>
        <w:spacing w:before="0" w:after="80"/>
      </w:pPr>
      <w:r>
        <w:rPr>
          <w:i/>
          <w:sz w:val="20"/>
        </w:rPr>
        <w:t>EN: Confined growth of armchair MoS2 nanotubes at the 1-nm limit</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42">
        <w:r>
          <w:rPr>
            <w:color w:val="1155CC"/>
            <w:u w:val="single"/>
          </w:rPr>
          <w:t>10.1126/science.aee3446</w:t>
        </w:r>
      </w:hyperlink>
    </w:p>
    <w:p>
      <w:pPr>
        <w:spacing w:before="0" w:after="120"/>
      </w:pPr>
      <w:r>
        <w:rPr>
          <w:b/>
        </w:rPr>
        <w:t xml:space="preserve">Notes: </w:t>
      </w:r>
      <w:r>
        <w:t>abstract_source=crossref</w:t>
      </w:r>
    </w:p>
    <w:p>
      <w:pPr>
        <w:spacing w:before="0" w:after="80" w:lineRule="auto" w:line="276"/>
      </w:pPr>
      <w:r>
        <w:rPr>
          <w:b/>
        </w:rPr>
        <w:t xml:space="preserve">摘要（ZH）: </w:t>
      </w:r>
      <w:r>
        <w:t>半导体过渡金属二硫属化物的原子薄纳米管为探索一维极限的量子现象和实现纳米级晶体管通道提供了平台。然而，传统合成只能产生手性不受控制的大直径（&gt;10 nm）多壁管。我们报道了单壁二硫化钼（MoS2）的合成</w:t>
      </w:r>
      <w:r>
        <w:rPr>
          <w:vertAlign w:val="subscript"/>
        </w:rPr>
        <w:t>2</w:t>
      </w:r>
      <w:r>
        <w:t>）直径接近 1 nm 的纳米管，是通过氮化硼 (BN) 纳米管内部空间受限的反应实现的。受限的几何形状稳定了原本难以接近的高应变二硫化钼</w:t>
      </w:r>
      <w:r>
        <w:rPr>
          <w:vertAlign w:val="subscript"/>
        </w:rPr>
        <w:t>2</w:t>
      </w:r>
      <w:r>
        <w:t>纳米管，产生结构明确的扶手椅配置。根据长期的理论预测，它们的带隙随着直径的减小而系统地缩小。绝缘氮化硼护套同时提供了固有的全栅架构，从而有望实现真正的纳米级晶体管通道。</w:t>
      </w:r>
    </w:p>
    <w:p>
      <w:pPr>
        <w:spacing w:before="0" w:after="200" w:lineRule="auto" w:line="276"/>
      </w:pPr>
      <w:r>
        <w:rPr>
          <w:b/>
        </w:rPr>
        <w:t xml:space="preserve">Abstract (EN): </w:t>
      </w:r>
      <w:r>
        <w:t>Atomically thin nanotubes of semiconducting transition metal dichalcogenides offer a platform for exploring quantum phenomena at the one-dimensional limit and for realizing nanoscale transistor channels. However, conventional syntheses produce only large-diameter (&amp;gt;10 nm), multiwalled tubes with uncontrolled chiralities. We report the synthesis of single-walled molybdenum disulfide (MoS</w:t>
      </w:r>
      <w:r>
        <w:rPr>
          <w:vertAlign w:val="subscript"/>
        </w:rPr>
        <w:t>2</w:t>
      </w:r>
      <w:r>
        <w:t>) nanotubes with diameters approaching 1 nm, achieved through spatially confined reactions inside boron nitride (BN) nanotubes. The confined geometry stabilizes otherwise inaccessible, highly strained MoS</w:t>
      </w:r>
      <w:r>
        <w:rPr>
          <w:vertAlign w:val="subscript"/>
        </w:rPr>
        <w:t>2</w:t>
      </w:r>
      <w:r>
        <w:t>nanotubes, yielding structurally well-defined armchair configurations. Their bandgaps shrink systematically with decreasing diameter, in accordance with long-standing theoretical predictions. The insulating BN sheath simultaneously provides an intrinsic gate-all-around architecture, thereby promising access to truly nanoscale transistor channels.</w:t>
      </w:r>
    </w:p>
    <w:p>
      <w:pPr>
        <w:spacing w:before="120" w:after="120"/>
      </w:pPr>
      <w:r>
        <w:rPr>
          <w:sz w:val="18"/>
        </w:rPr>
        <w:t>——————————————————————————————————————————————————————————————————————</w:t>
      </w:r>
    </w:p>
    <w:p>
      <w:pPr>
        <w:spacing w:before="160" w:after="40" w:line="240" w:lineRule="auto"/>
      </w:pPr>
      <w:r>
        <w:rPr>
          <w:b/>
        </w:rPr>
        <w:t xml:space="preserve">[431] </w:t>
      </w:r>
      <w:hyperlink r:id="rId1043">
        <w:r>
          <w:rPr>
            <w:color w:val="1155CC"/>
            <w:u w:val="single"/>
          </w:rPr>
          <w:t>野火羽流产生的臭氧会增加死亡率</w:t>
        </w:r>
      </w:hyperlink>
    </w:p>
    <w:p>
      <w:pPr>
        <w:spacing w:before="0" w:after="80"/>
      </w:pPr>
      <w:r>
        <w:rPr>
          <w:i/>
          <w:sz w:val="20"/>
        </w:rPr>
        <w:t>EN: Ozone from wildfire plumes increases mortality</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44">
        <w:r>
          <w:rPr>
            <w:color w:val="1155CC"/>
            <w:u w:val="single"/>
          </w:rPr>
          <w:t>10.1126/science.aei2027</w:t>
        </w:r>
      </w:hyperlink>
    </w:p>
    <w:p>
      <w:pPr>
        <w:spacing w:before="0" w:after="120"/>
      </w:pPr>
      <w:r>
        <w:rPr>
          <w:b/>
        </w:rPr>
        <w:t xml:space="preserve">Notes: </w:t>
      </w:r>
      <w:r>
        <w:t>abstract_source=crossref</w:t>
      </w:r>
    </w:p>
    <w:p>
      <w:pPr>
        <w:spacing w:before="0" w:after="80" w:lineRule="auto" w:line="276"/>
      </w:pPr>
      <w:r>
        <w:rPr>
          <w:b/>
        </w:rPr>
        <w:t xml:space="preserve">摘要（ZH）: </w:t>
      </w:r>
      <w:r>
        <w:t>美国几十年来表面臭氧暴露状况的改善有可能被野火逆转</w:t>
      </w:r>
    </w:p>
    <w:p>
      <w:pPr>
        <w:spacing w:before="0" w:after="200" w:lineRule="auto" w:line="276"/>
      </w:pPr>
      <w:r>
        <w:rPr>
          <w:b/>
        </w:rPr>
        <w:t xml:space="preserve">Abstract (EN): </w:t>
      </w:r>
      <w:r>
        <w:t>Decades of improvement in surface ozone exposure in the United States risk being reversed by wildfires</w:t>
      </w:r>
    </w:p>
    <w:p>
      <w:pPr>
        <w:spacing w:before="120" w:after="120"/>
      </w:pPr>
      <w:r>
        <w:rPr>
          <w:sz w:val="18"/>
        </w:rPr>
        <w:t>——————————————————————————————————————————————————————————————————————</w:t>
      </w:r>
    </w:p>
    <w:p>
      <w:pPr>
        <w:spacing w:before="160" w:after="40" w:line="240" w:lineRule="auto"/>
      </w:pPr>
      <w:r>
        <w:rPr>
          <w:b/>
        </w:rPr>
        <w:t xml:space="preserve">[432] </w:t>
      </w:r>
      <w:hyperlink r:id="rId1045">
        <w:r>
          <w:rPr>
            <w:color w:val="1155CC"/>
            <w:u w:val="single"/>
          </w:rPr>
          <w:t>相信我属于</w:t>
        </w:r>
      </w:hyperlink>
    </w:p>
    <w:p>
      <w:pPr>
        <w:spacing w:before="0" w:after="80"/>
      </w:pPr>
      <w:r>
        <w:rPr>
          <w:i/>
          <w:sz w:val="20"/>
        </w:rPr>
        <w:t>EN: Believing I belong</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46">
        <w:r>
          <w:rPr>
            <w:color w:val="1155CC"/>
            <w:u w:val="single"/>
          </w:rPr>
          <w:t>10.1126/science.aej3528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[433] </w:t>
      </w:r>
      <w:hyperlink r:id="rId1047">
        <w:r>
          <w:rPr>
            <w:color w:val="1155CC"/>
            <w:u w:val="single"/>
          </w:rPr>
          <w:t>Aquavoltaics 知识差距削弱了效益</w:t>
        </w:r>
      </w:hyperlink>
    </w:p>
    <w:p>
      <w:pPr>
        <w:spacing w:before="0" w:after="80"/>
      </w:pPr>
      <w:r>
        <w:rPr>
          <w:i/>
          <w:sz w:val="20"/>
        </w:rPr>
        <w:t>EN: Aquavoltaics knowledge gaps undercut benefits</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48">
        <w:r>
          <w:rPr>
            <w:color w:val="1155CC"/>
            <w:u w:val="single"/>
          </w:rPr>
          <w:t>10.1126/science.aeh2751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[434] </w:t>
      </w:r>
      <w:hyperlink r:id="rId1049">
        <w:r>
          <w:rPr>
            <w:color w:val="1155CC"/>
            <w:u w:val="single"/>
          </w:rPr>
          <w:t>基于立体保留自由基的烷基-烷基交叉偶联</w:t>
        </w:r>
      </w:hyperlink>
    </w:p>
    <w:p>
      <w:pPr>
        <w:spacing w:before="0" w:after="80"/>
      </w:pPr>
      <w:r>
        <w:rPr>
          <w:i/>
          <w:sz w:val="20"/>
        </w:rPr>
        <w:t>EN: Stereoretentive radical-based alkyl-alkyl cross-coupling</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50">
        <w:r>
          <w:rPr>
            <w:color w:val="1155CC"/>
            <w:u w:val="single"/>
          </w:rPr>
          <w:t>10.1126/science.aef6981</w:t>
        </w:r>
      </w:hyperlink>
    </w:p>
    <w:p>
      <w:pPr>
        <w:spacing w:before="0" w:after="120"/>
      </w:pPr>
      <w:r>
        <w:rPr>
          <w:b/>
        </w:rPr>
        <w:t xml:space="preserve">Notes: </w:t>
      </w:r>
      <w:r>
        <w:t>abstract_source=crossref</w:t>
      </w:r>
    </w:p>
    <w:p>
      <w:pPr>
        <w:spacing w:before="0" w:after="80" w:lineRule="auto" w:line="276"/>
      </w:pPr>
      <w:r>
        <w:rPr>
          <w:b/>
        </w:rPr>
        <w:t xml:space="preserve">摘要（ZH）: </w:t>
      </w:r>
      <w:r>
        <w:t>立体异构C(sp</w:t>
      </w:r>
      <w:r>
        <w:rPr>
          <w:vertAlign w:val="subscript"/>
        </w:rPr>
        <w:t>3</w:t>
      </w:r>
      <w:r>
        <w:t>)–C(sp</w:t>
      </w:r>
      <w:r>
        <w:rPr>
          <w:vertAlign w:val="subscript"/>
        </w:rPr>
        <w:t>3</w:t>
      </w:r>
      <w:r>
        <w:t>由于竞争性β-氢化物消除和自偶联以及自由基途径固有的立体控制较差，通过交叉偶联形成的键仍然是一个艰巨的挑战。在这项工作中，我们报道了两个不同的瞬态烷基的可扩展的立体保留自由基-自由基交叉偶联，这些烷基自由基衍生自对映体富集的磺酰肼和非手性伯烷基卤和仲烷基卤，无需手性配体、导向基团或外源氧化还原剂即可实现。这种底物控制方法利用镍催化的氧化还原中性歧管，能够实现二氮烯介导的自由基生成和卤素原子转移的精确动力学匹配。该反应在不同的哌啶和吡咯烷支架上产生了 80% 至 96% 的对映特异性和合成有用产率（高达 90%），同时耐受醚、游离胺、芳基卤、杂环、烯烃和其他敏感基序。机理研究支持镍的笼式自由基反弹以保持手性，然后是镍（I）-镍（III）介导的自由基捕获和还原消除。</w:t>
      </w:r>
    </w:p>
    <w:p>
      <w:pPr>
        <w:spacing w:before="0" w:after="200" w:lineRule="auto" w:line="276"/>
      </w:pPr>
      <w:r>
        <w:rPr>
          <w:b/>
        </w:rPr>
        <w:t xml:space="preserve">Abstract (EN): </w:t>
      </w:r>
      <w:r>
        <w:t>The construction of stereogenic C(sp</w:t>
      </w:r>
      <w:r>
        <w:rPr>
          <w:vertAlign w:val="subscript"/>
        </w:rPr>
        <w:t>3</w:t>
      </w:r>
      <w:r>
        <w:t>)–C(sp</w:t>
      </w:r>
      <w:r>
        <w:rPr>
          <w:vertAlign w:val="subscript"/>
        </w:rPr>
        <w:t>3</w:t>
      </w:r>
      <w:r>
        <w:t>) bonds through cross-coupling remains a formidable challenge owing to competing β-hydride elimination and homocoupling as well as the poor inherent stereocontrol of radical pathways. In this work, we report a scalable stereoretentive radical-radical cross-coupling of two distinct, transient alkyl radicals, derived from enantioenriched sulfonylhydrazides and achiral primary and secondary alkyl halides, achieved without chiral ligands, directing groups, or exogenous redox agents. This substrate-controlled approach leverages a nickel-catalyzed, redox-neutral manifold, which enables precise kinetic matching of diazene-mediated radical generation and halogen atom transfer. The reaction produced enantiospecificities of 80 to 96% and synthetically useful yields (up to 90%) across diverse piperidine and pyrrolidine scaffolds while tolerating ethers, free amines, aryl halides, heterocycles, olefins, and other sensitive motifs. Mechanistic studies support caged radical rebound at nickel to preserve chirality, followed by nickel(I)-nickel(III)–mediated radical capture and reductive elimination.</w:t>
      </w:r>
    </w:p>
    <w:p>
      <w:pPr>
        <w:spacing w:before="120" w:after="120"/>
      </w:pPr>
      <w:r>
        <w:rPr>
          <w:sz w:val="18"/>
        </w:rPr>
        <w:t>——————————————————————————————————————————————————————————————————————</w:t>
      </w:r>
    </w:p>
    <w:p>
      <w:pPr>
        <w:spacing w:before="160" w:after="40" w:line="240" w:lineRule="auto"/>
      </w:pPr>
      <w:r>
        <w:rPr>
          <w:b/>
        </w:rPr>
        <w:t xml:space="preserve">[435] </w:t>
      </w:r>
      <w:hyperlink r:id="rId1051">
        <w:r>
          <w:rPr>
            <w:color w:val="1155CC"/>
            <w:u w:val="single"/>
          </w:rPr>
          <w:t>红移 2 处不活动黑洞的恒星动力学质量测量</w:t>
        </w:r>
      </w:hyperlink>
    </w:p>
    <w:p>
      <w:pPr>
        <w:spacing w:before="0" w:after="80"/>
      </w:pPr>
      <w:r>
        <w:rPr>
          <w:i/>
          <w:sz w:val="20"/>
        </w:rPr>
        <w:t>EN: A stellar dynamical mass measurement of an inactive black hole at redshift 2</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52">
        <w:r>
          <w:rPr>
            <w:color w:val="1155CC"/>
            <w:u w:val="single"/>
          </w:rPr>
          <w:t>10.1126/science.adx5816</w:t>
        </w:r>
      </w:hyperlink>
    </w:p>
    <w:p>
      <w:pPr>
        <w:spacing w:before="0" w:after="120"/>
      </w:pPr>
      <w:r>
        <w:rPr>
          <w:b/>
        </w:rPr>
        <w:t xml:space="preserve">Notes: </w:t>
      </w:r>
      <w:r>
        <w:t>abstract_source=crossref</w:t>
      </w:r>
    </w:p>
    <w:p>
      <w:pPr>
        <w:spacing w:before="0" w:after="80" w:lineRule="auto" w:line="276"/>
      </w:pPr>
      <w:r>
        <w:rPr>
          <w:b/>
        </w:rPr>
        <w:t xml:space="preserve">摘要（ZH）: </w:t>
      </w:r>
      <w:r>
        <w:t>超大质量黑洞和它们的宿主星系随着时间的推移一起生长，产生黑洞质量和各种星系特性之间的相关性。确定这些相关性的演化需要精确测量遥远黑洞的质量。我们使用詹姆斯·韦伯太空望远镜积分场光谱观测了红移 1.95 的引力透镜静止星系 MRG-M0138，以在空间上解析黑洞影响范围内恒星的运动学。通过使用前景透镜模型和拟合恒星动力学模型，我们确定其不活动黑洞的质量为</w:t>
      </w:r>
      <w:r>
        <w:t xml:space="preserve"> </w:t>
      </w:r>
      <w:r>
        <w:t>中号</w:t>
      </w:r>
      <w:r>
        <w:t xml:space="preserve"> </w:t>
      </w:r>
      <w:r>
        <w:t>•</w:t>
      </w:r>
      <w:r>
        <w:t xml:space="preserve"> </w:t>
      </w:r>
      <w:r>
        <w:t>=</w:t>
      </w:r>
      <w:r>
        <w:t xml:space="preserve"> </w:t>
      </w:r>
      <w:r>
        <w:t>6.0</w:t>
      </w:r>
      <w:r>
        <w:t xml:space="preserve"> </w:t>
      </w:r>
      <w:r>
        <w:t>-</w:t>
      </w:r>
      <w:r>
        <w:t>1.7</w:t>
      </w:r>
      <w:r>
        <w:t xml:space="preserve"> </w:t>
      </w:r>
      <w:r>
        <w:t>+</w:t>
      </w:r>
      <w:r>
        <w:t xml:space="preserve"> </w:t>
      </w:r>
      <w:r>
        <w:t>2.1</w:t>
      </w:r>
      <w:r>
        <w:t xml:space="preserve"> </w:t>
      </w:r>
      <w:r>
        <w:t>×</w:t>
      </w:r>
      <w:r>
        <w:t xml:space="preserve"> </w:t>
      </w:r>
      <w:r>
        <w:rPr>
          <w:vertAlign w:val="subscript"/>
        </w:rPr>
        <w:t>10</w:t>
      </w:r>
      <w:r>
        <w:t xml:space="preserve"> </w:t>
      </w:r>
      <w:r>
        <w:rPr>
          <w:vertAlign w:val="subscript"/>
        </w:rPr>
        <w:t>9</w:t>
      </w:r>
      <w:r>
        <w:t xml:space="preserve"> </w:t>
      </w:r>
      <w:r>
        <w:t>太阳质量。将此测量结果与本地星系进行比较，我们发现</w:t>
      </w:r>
    </w:p>
    <w:p>
      <w:pPr>
        <w:spacing w:before="0" w:after="200" w:lineRule="auto" w:line="276"/>
      </w:pPr>
      <w:r>
        <w:rPr>
          <w:b/>
        </w:rPr>
        <w:t xml:space="preserve">Abstract (EN): </w:t>
      </w:r>
      <w:r>
        <w:t>Supermassive black holes and their host galaxies grow together over time, producing correlations between the black hole mass and various galaxy properties. Determining the evolution of these correlations requires precise measurements of the masses of distant black holes. We observed the gravitationally lensed quiescent galaxy MRG-M0138 at redshift 1.95 using James Webb Space Telescope integral field spectroscopy to spatially resolve the kinematics of stars within the black hole’s sphere of influence. By using a foreground lens model and fitting stellar dynamical models, we determined the mass of its inactive black hole to be</w:t>
      </w:r>
      <w:r>
        <w:t xml:space="preserve"> </w:t>
      </w:r>
      <w:r>
        <w:t>M</w:t>
      </w:r>
      <w:r>
        <w:t xml:space="preserve"> </w:t>
      </w:r>
      <w:r>
        <w:t>•</w:t>
      </w:r>
      <w:r>
        <w:t xml:space="preserve"> </w:t>
      </w:r>
      <w:r>
        <w:t>=</w:t>
      </w:r>
      <w:r>
        <w:t xml:space="preserve"> </w:t>
      </w:r>
      <w:r>
        <w:t>6.0</w:t>
      </w:r>
      <w:r>
        <w:t xml:space="preserve"> </w:t>
      </w:r>
      <w:r>
        <w:t>−</w:t>
      </w:r>
      <w:r>
        <w:t>1.7</w:t>
      </w:r>
      <w:r>
        <w:t xml:space="preserve"> </w:t>
      </w:r>
      <w:r>
        <w:t>+</w:t>
      </w:r>
      <w:r>
        <w:t xml:space="preserve"> </w:t>
      </w:r>
      <w:r>
        <w:t>2.1</w:t>
      </w:r>
      <w:r>
        <w:t xml:space="preserve"> </w:t>
      </w:r>
      <w:r>
        <w:t>×</w:t>
      </w:r>
      <w:r>
        <w:t xml:space="preserve"> </w:t>
      </w:r>
      <w:r>
        <w:rPr>
          <w:vertAlign w:val="subscript"/>
        </w:rPr>
        <w:t>10</w:t>
      </w:r>
      <w:r>
        <w:t xml:space="preserve"> </w:t>
      </w:r>
      <w:r>
        <w:rPr>
          <w:vertAlign w:val="subscript"/>
        </w:rPr>
        <w:t>9</w:t>
      </w:r>
      <w:r>
        <w:t xml:space="preserve"> </w:t>
      </w:r>
      <w:r>
        <w:t>solar masses. Comparing this measurement to local galaxies, we found that</w:t>
      </w:r>
      <w:r>
        <w:t xml:space="preserve"> </w:t>
      </w:r>
      <w:r>
        <w:t>M</w:t>
      </w:r>
      <w:r>
        <w:t xml:space="preserve"> </w:t>
      </w:r>
      <w:r>
        <w:t>•</w:t>
      </w:r>
      <w:r>
        <w:t xml:space="preserve"> </w:t>
      </w:r>
      <w:r>
        <w:t>is higher than expected given the galaxy’s bulge mass but consistent with the correlation of</w:t>
      </w:r>
      <w:r>
        <w:t xml:space="preserve"> </w:t>
      </w:r>
      <w:r>
        <w:t>M</w:t>
      </w:r>
      <w:r>
        <w:t xml:space="preserve"> </w:t>
      </w:r>
      <w:r>
        <w:t>•</w:t>
      </w:r>
      <w:r>
        <w:t xml:space="preserve"> </w:t>
      </w:r>
      <w:r>
        <w:t>with stellar velocity dispersion.</w:t>
      </w:r>
    </w:p>
    <w:p>
      <w:pPr>
        <w:spacing w:before="120" w:after="120"/>
      </w:pPr>
      <w:r>
        <w:rPr>
          <w:sz w:val="18"/>
        </w:rPr>
        <w:t>——————————————————————————————————————————————————————————————————————</w:t>
      </w:r>
    </w:p>
    <w:p>
      <w:pPr>
        <w:spacing w:before="160" w:after="40" w:line="240" w:lineRule="auto"/>
      </w:pPr>
      <w:r>
        <w:rPr>
          <w:b/>
        </w:rPr>
        <w:t xml:space="preserve">[436] </w:t>
      </w:r>
      <w:hyperlink r:id="rId1053">
        <w:r>
          <w:rPr>
            <w:color w:val="1155CC"/>
            <w:u w:val="single"/>
          </w:rPr>
          <w:t>过去四十年地球红树林意外扩张和再生</w:t>
        </w:r>
      </w:hyperlink>
    </w:p>
    <w:p>
      <w:pPr>
        <w:spacing w:before="0" w:after="80"/>
      </w:pPr>
      <w:r>
        <w:rPr>
          <w:i/>
          <w:sz w:val="20"/>
        </w:rPr>
        <w:t>EN: Unexpected expansion and regrowth in Earth’s mangrove forests over the past four decades</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54">
        <w:r>
          <w:rPr>
            <w:color w:val="1155CC"/>
            <w:u w:val="single"/>
          </w:rPr>
          <w:t>10.1126/science.aec9773</w:t>
        </w:r>
      </w:hyperlink>
    </w:p>
    <w:p>
      <w:pPr>
        <w:spacing w:before="0" w:after="120"/>
      </w:pPr>
      <w:r>
        <w:rPr>
          <w:b/>
        </w:rPr>
        <w:t xml:space="preserve">Notes: </w:t>
      </w:r>
      <w:r>
        <w:t>abstract_source=crossref</w:t>
      </w:r>
    </w:p>
    <w:p>
      <w:pPr>
        <w:spacing w:before="0" w:after="80" w:lineRule="auto" w:line="276"/>
      </w:pPr>
      <w:r>
        <w:rPr>
          <w:b/>
        </w:rPr>
        <w:t xml:space="preserve">摘要（ZH）: </w:t>
      </w:r>
      <w:r>
        <w:t>全球红树林因森林砍伐而迅速消失，但也通过自然更新和恢复而重新生长。然而，它们的范围和树冠覆盖范围的长期趋势仍然很难量化。通过开发年度红树林范围和树冠覆盖的全球数据集，我们发现自 20 世纪 80 年代以来，损失（长期转化）和退化（树冠稀疏）均有所减少，并且在过去十年中被再生和向海扩张所抵消。因此，自 2010 年左右以来，全球红树林范围已从净损失转变为净增加，并且从 1980 年代到 2023 年仅略有变化（-0.5% ± 1.4%）。除了范围的变化之外，持久的红树林还表现出持续的树冠积累。我们的研究结果揭示了高度受威胁的生态系统的复原力被低估，展示了早期保护的有效性，并强调停止砍伐森林是通过自然再生实现保护目标的优先事项。</w:t>
      </w:r>
    </w:p>
    <w:p>
      <w:pPr>
        <w:spacing w:before="0" w:after="200" w:lineRule="auto" w:line="276"/>
      </w:pPr>
      <w:r>
        <w:rPr>
          <w:b/>
        </w:rPr>
        <w:t xml:space="preserve">Abstract (EN): </w:t>
      </w:r>
      <w:r>
        <w:t>Global mangrove forests have disappeared rapidly because of deforestation but have also regrown through natural regeneration and restoration. Yet their long-term trends in extent and canopy cover remain poorly quantified. By developing a global dataset of annual mangrove extent and canopy cover, we show that losses (long-term conversion) and degradation (canopy thinning) have both reduced since the 1980s and have been largely offset by regeneration and seaward expansion in the past decade. Consequently, global mangrove extent has shifted from net loss to net gain since around 2010 and changed only marginally from the 1980s to 2023 (−0.5% ± 1.4%). Beyond changes in extent, persistent mangroves exhibited sustained canopy accumulation. Our findings reveal the underestimated resilience of a highly threatened ecosystem, demonstrate early conservation effectiveness, and highlight halting deforestation as a priority for achieving conservation targets through natural regrowth.</w:t>
      </w:r>
    </w:p>
    <w:p>
      <w:pPr>
        <w:spacing w:before="120" w:after="120"/>
      </w:pPr>
      <w:r>
        <w:rPr>
          <w:sz w:val="18"/>
        </w:rPr>
        <w:t>——————————————————————————————————————————————————————————————————————</w:t>
      </w:r>
    </w:p>
    <w:p>
      <w:pPr>
        <w:spacing w:before="160" w:after="40" w:line="240" w:lineRule="auto"/>
      </w:pPr>
      <w:r>
        <w:rPr>
          <w:b/>
        </w:rPr>
        <w:t xml:space="preserve">[437] </w:t>
      </w:r>
      <w:hyperlink r:id="rId1055">
        <w:r>
          <w:rPr>
            <w:color w:val="1155CC"/>
            <w:u w:val="single"/>
          </w:rPr>
          <w:t>大黄蜂自发解决问题</w:t>
        </w:r>
      </w:hyperlink>
    </w:p>
    <w:p>
      <w:pPr>
        <w:spacing w:before="0" w:after="80"/>
      </w:pPr>
      <w:r>
        <w:rPr>
          <w:i/>
          <w:sz w:val="20"/>
        </w:rPr>
        <w:t>EN: Spontaneous problem-solving in bumble bees</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56">
        <w:r>
          <w:rPr>
            <w:color w:val="1155CC"/>
            <w:u w:val="single"/>
          </w:rPr>
          <w:t>10.1126/science.ady1618</w:t>
        </w:r>
      </w:hyperlink>
    </w:p>
    <w:p>
      <w:pPr>
        <w:spacing w:before="0" w:after="120"/>
      </w:pPr>
      <w:r>
        <w:rPr>
          <w:b/>
        </w:rPr>
        <w:t xml:space="preserve">Notes: </w:t>
      </w:r>
      <w:r>
        <w:t>abstract_source=crossref</w:t>
      </w:r>
    </w:p>
    <w:p>
      <w:pPr>
        <w:spacing w:before="0" w:after="80" w:lineRule="auto" w:line="276"/>
      </w:pPr>
      <w:r>
        <w:rPr>
          <w:b/>
        </w:rPr>
        <w:t xml:space="preserve">摘要（ZH）: </w:t>
      </w:r>
      <w:r>
        <w:t>在没有明确训练的情况下使用新颖的解决方案解决问题通常被认为是认知灵活性的标志。我们调查了大黄蜂是否（</w:t>
      </w:r>
      <w:r>
        <w:t xml:space="preserve"> </w:t>
      </w:r>
      <w:r>
        <w:t>熊熊</w:t>
      </w:r>
      <w:r>
        <w:t xml:space="preserve"> </w:t>
      </w:r>
      <w:r>
        <w:t>）可以自发地解决新颖的对象操作任务。蜜蜂经过训练，将地板上的蓝色环（“花”）与奖励联系起来，成功地将花下面的球移动到天花板上，到达花。在控制实验中，当球运动开始时，花在视线之外，并且在运输过程中保持隐藏状态，蜜蜂仍然成功地完成了任务。这些结果表明，这些是目标导向的行动，而不是由感知反馈驱动的基于强化的关联。我们的研究结果提供了证据，表明大黄蜂可以表现出自发解决问题的能力，挑战了这种高级认知能力是大脑脊椎动物所独有的观念。</w:t>
      </w:r>
    </w:p>
    <w:p>
      <w:pPr>
        <w:spacing w:before="0" w:after="200" w:lineRule="auto" w:line="276"/>
      </w:pPr>
      <w:r>
        <w:rPr>
          <w:b/>
        </w:rPr>
        <w:t xml:space="preserve">Abstract (EN): </w:t>
      </w:r>
      <w:r>
        <w:t>Problem-solving using novel solutions without explicit training is often considered a hallmark of cognitive flexibility. We investigated whether bumble bees (</w:t>
      </w:r>
      <w:r>
        <w:t xml:space="preserve"> </w:t>
      </w:r>
      <w:r>
        <w:t>Bombus terrestris</w:t>
      </w:r>
      <w:r>
        <w:t xml:space="preserve"> </w:t>
      </w:r>
      <w:r>
        <w:t>) could solve a novel object manipulation task spontaneously. Bees trained to associate a blue ring (“flower”) on the floor with a reward successfully moved a ball underneath a flower relocated to the ceiling to reach the flower. In control experiments in which the flower was out of sight when ball movement began and remained hidden during transport, bees still succeeded in the task. These results suggest that these were goal-directed actions rather than reinforcement-based associations driven by perceptual feedback. Our findings provide evidence that bumble bees can exhibit spontaneous problem-solving, challenging the notion that such advanced cognitive abilities are exclusive to large-brained vertebrates.</w:t>
      </w:r>
    </w:p>
    <w:p>
      <w:pPr>
        <w:spacing w:before="120" w:after="120"/>
      </w:pPr>
      <w:r>
        <w:rPr>
          <w:sz w:val="18"/>
        </w:rPr>
        <w:t>——————————————————————————————————————————————————————————————————————</w:t>
      </w:r>
    </w:p>
    <w:p>
      <w:pPr>
        <w:spacing w:before="160" w:after="40" w:line="240" w:lineRule="auto"/>
      </w:pPr>
      <w:r>
        <w:rPr>
          <w:b/>
        </w:rPr>
        <w:t xml:space="preserve">[438] </w:t>
      </w:r>
      <w:hyperlink r:id="rId1057">
        <w:r>
          <w:rPr>
            <w:color w:val="1155CC"/>
            <w:u w:val="single"/>
          </w:rPr>
          <w:t>在其他期刊中</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2026-06-04 06:00:14+00:00</w:t>
      </w:r>
      <w:r>
        <w:t xml:space="preserve">    </w:t>
      </w:r>
      <w:r>
        <w:rPr>
          <w:b/>
        </w:rPr>
        <w:t xml:space="preserve">DOI: </w:t>
      </w:r>
      <w:hyperlink r:id="rId1058">
        <w:r>
          <w:rPr>
            <w:color w:val="1155CC"/>
            <w:u w:val="single"/>
          </w:rPr>
          <w:t>10.1126/science.aej3527</w:t>
        </w:r>
      </w:hyperlink>
    </w:p>
    <w:p>
      <w:pPr>
        <w:spacing w:before="0" w:after="120"/>
      </w:pPr>
      <w:r>
        <w:rPr>
          <w:b/>
        </w:rPr>
        <w:t xml:space="preserve">Notes: </w:t>
      </w:r>
      <w:r>
        <w:t>abstract_source=crossref</w:t>
      </w:r>
    </w:p>
    <w:p>
      <w:pPr>
        <w:spacing w:before="0" w:after="80" w:lineRule="auto" w:line="276"/>
      </w:pPr>
      <w:r>
        <w:rPr>
          <w:b/>
        </w:rPr>
        <w:t xml:space="preserve">摘要（ZH）: </w:t>
      </w:r>
      <w:r>
        <w:t>编辑精选当前科学文献</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[439] </w:t>
      </w:r>
      <w:hyperlink r:id="rId1059">
        <w:r>
          <w:rPr>
            <w:color w:val="1155CC"/>
            <w:u w:val="single"/>
          </w:rPr>
          <w:t>记忆重新激活是睡眠的经验依赖性适应性调节的基础</w:t>
        </w:r>
      </w:hyperlink>
    </w:p>
    <w:p>
      <w:pPr>
        <w:spacing w:before="0" w:after="80"/>
      </w:pPr>
      <w:r>
        <w:rPr>
          <w:i/>
          <w:sz w:val="20"/>
        </w:rPr>
        <w:t>EN: Memory reactivation underlies experience-dependent adaptive regulation of sleep</w:t>
      </w:r>
    </w:p>
    <w:p>
      <w:pPr>
        <w:spacing w:before="0" w:after="120"/>
      </w:pPr>
      <w:r>
        <w:rPr>
          <w:b/>
        </w:rPr>
        <w:t xml:space="preserve">Source: </w:t>
      </w:r>
      <w:r>
        <w:t>AAAS: Science: Table of Contents</w:t>
      </w:r>
      <w:r>
        <w:t xml:space="preserve">    </w:t>
      </w:r>
      <w:r>
        <w:rPr>
          <w:b/>
        </w:rPr>
        <w:t xml:space="preserve">Pub date: </w:t>
      </w:r>
      <w:r>
        <w:t>2026-06-04 07:00:00+00:00</w:t>
      </w:r>
      <w:r>
        <w:t xml:space="preserve">    </w:t>
      </w:r>
      <w:r>
        <w:rPr>
          <w:b/>
        </w:rPr>
        <w:t xml:space="preserve">DOI: </w:t>
      </w:r>
      <w:hyperlink r:id="rId1060">
        <w:r>
          <w:rPr>
            <w:color w:val="1155CC"/>
            <w:u w:val="single"/>
          </w:rPr>
          <w:t>10.1126/science.aed8630</w:t>
        </w:r>
      </w:hyperlink>
    </w:p>
    <w:p>
      <w:pPr>
        <w:spacing w:before="0" w:after="120"/>
      </w:pPr>
      <w:r>
        <w:rPr>
          <w:b/>
        </w:rPr>
        <w:t xml:space="preserve">Notes: </w:t>
      </w:r>
      <w:r>
        <w:t>abstract_source=crossref</w:t>
      </w:r>
    </w:p>
    <w:p>
      <w:pPr>
        <w:spacing w:before="0" w:after="80" w:lineRule="auto" w:line="276"/>
      </w:pPr>
      <w:r>
        <w:rPr>
          <w:b/>
        </w:rPr>
        <w:t xml:space="preserve">摘要（ZH）: </w:t>
      </w:r>
      <w:r>
        <w:t>最近的记忆在睡眠期间通过自发重新激活得到巩固。然而，记忆重新激活是否以及如何影响睡眠动态仍不清楚。通过跟踪和调节小鼠睡眠期间的记忆活动，我们发现负性记忆重新激活会促进觉醒，而正性记忆则支持睡眠稳定性。这种调节是通过睡眠期间特定体验的海马-杏仁核印迹回路的重新激活来介导的。在慢性应激模型中，负性记忆重新激活会促进睡眠障碍，而有针对性地抑制记忆重新激活则可以恢复正常睡眠。我们的研究结果建立了一种依赖于记忆的睡眠调节，其中记忆重新激活涉及对特定记忆内容做出反应的下游电路。</w:t>
      </w:r>
    </w:p>
    <w:p>
      <w:pPr>
        <w:spacing w:before="0" w:after="200" w:lineRule="auto" w:line="276"/>
      </w:pPr>
      <w:r>
        <w:rPr>
          <w:b/>
        </w:rPr>
        <w:t xml:space="preserve">Abstract (EN): </w:t>
      </w:r>
      <w:r>
        <w:t>Recent memories are consolidated during sleep by spontaneous reactivation. However, whether and how memory reactivation affects sleep dynamics remain unclear. By tracking and modulating memory activity during sleep in mice, we revealed that negative memory reactivation promoted arousal, whereas positive memory supported sleep stability. This regulation was mediated by the reactivation of experience-specific hippocampus-amygdala engram circuits during sleep. In chronic stress models, negative memory reactivation promoted sleep disturbance, and targeted suppression of memory reactivation restored normal sleep. Our findings establish a memory-dependent sleep regulation in which memory reactivation engages downstream circuits responsive to specific memory content.</w:t>
      </w:r>
    </w:p>
    <w:p>
      <w:pPr>
        <w:spacing w:before="120" w:after="120"/>
      </w:pPr>
      <w:r>
        <w:rPr>
          <w:sz w:val="18"/>
        </w:rPr>
        <w:t>——————————————————————————————————————————————————————————————————————</w:t>
      </w:r>
    </w:p>
    <w:p>
      <w:pPr>
        <w:spacing w:before="160" w:after="40" w:line="240" w:lineRule="auto"/>
      </w:pPr>
      <w:r>
        <w:rPr>
          <w:b/>
        </w:rPr>
        <w:t xml:space="preserve">[440] </w:t>
      </w:r>
      <w:hyperlink r:id="rId1061">
        <w:r>
          <w:rPr>
            <w:color w:val="1155CC"/>
            <w:u w:val="single"/>
          </w:rPr>
          <w:t>研究文章“陆地生态系统的入侵影响：全球模式和预测因素”的勘误表</w:t>
        </w:r>
      </w:hyperlink>
    </w:p>
    <w:p>
      <w:pPr>
        <w:spacing w:before="0" w:after="80"/>
      </w:pPr>
      <w:r>
        <w:rPr>
          <w:i/>
          <w:sz w:val="20"/>
        </w:rPr>
        <w:t>EN: Erratum for the Research Article “Invasion impacts in terrestrial ecosystems: Global patterns and predictors”</w:t>
      </w:r>
    </w:p>
    <w:p>
      <w:pPr>
        <w:spacing w:before="0" w:after="120"/>
      </w:pPr>
      <w:r>
        <w:rPr>
          <w:b/>
        </w:rPr>
        <w:t xml:space="preserve">Source: </w:t>
      </w:r>
      <w:r>
        <w:t>AAAS: Science: Table of Contents</w:t>
      </w:r>
      <w:r>
        <w:t xml:space="preserve">    </w:t>
      </w:r>
      <w:r>
        <w:rPr>
          <w:b/>
        </w:rPr>
        <w:t xml:space="preserve">Pub date: </w:t>
      </w:r>
      <w:r>
        <w:t>2026-06-04 07:00:00+00:00</w:t>
      </w:r>
      <w:r>
        <w:t xml:space="preserve">    </w:t>
      </w:r>
      <w:r>
        <w:rPr>
          <w:b/>
        </w:rPr>
        <w:t xml:space="preserve">DOI: </w:t>
      </w:r>
      <w:hyperlink r:id="rId1062">
        <w:r>
          <w:rPr>
            <w:color w:val="1155CC"/>
            <w:u w:val="single"/>
          </w:rPr>
          <w:t>10.1126/science.aej0456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[441] </w:t>
      </w:r>
      <w:hyperlink r:id="rId1063">
        <w:r>
          <w:rPr>
            <w:color w:val="1155CC"/>
            <w:u w:val="single"/>
          </w:rPr>
          <w:t>合作人：理解人类合作的本质</w:t>
        </w:r>
      </w:hyperlink>
    </w:p>
    <w:p>
      <w:pPr>
        <w:spacing w:before="0" w:after="80"/>
      </w:pPr>
      <w:r>
        <w:rPr>
          <w:i/>
          <w:sz w:val="20"/>
        </w:rPr>
        <w:t>EN: Homo cooperans: Understanding the nature of human cooperation</w:t>
      </w:r>
    </w:p>
    <w:p>
      <w:pPr>
        <w:spacing w:before="0" w:after="120"/>
      </w:pPr>
      <w:r>
        <w:rPr>
          <w:b/>
        </w:rPr>
        <w:t xml:space="preserve">Source: </w:t>
      </w:r>
      <w:r>
        <w:t>AAAS: Science: Table of Contents</w:t>
      </w:r>
      <w:r>
        <w:t xml:space="preserve">    </w:t>
      </w:r>
      <w:r>
        <w:rPr>
          <w:b/>
        </w:rPr>
        <w:t xml:space="preserve">Pub date: </w:t>
      </w:r>
      <w:r>
        <w:t>2026-06-04 07:00:00+00:00</w:t>
      </w:r>
      <w:r>
        <w:t xml:space="preserve">    </w:t>
      </w:r>
      <w:r>
        <w:rPr>
          <w:b/>
        </w:rPr>
        <w:t xml:space="preserve">DOI: </w:t>
      </w:r>
      <w:hyperlink r:id="rId1064">
        <w:r>
          <w:rPr>
            <w:color w:val="1155CC"/>
            <w:u w:val="single"/>
          </w:rPr>
          <w:t>10.1126/science.aec9483</w:t>
        </w:r>
      </w:hyperlink>
    </w:p>
    <w:p>
      <w:pPr>
        <w:spacing w:before="0" w:after="120"/>
      </w:pPr>
      <w:r>
        <w:rPr>
          <w:b/>
        </w:rPr>
        <w:t xml:space="preserve">Notes: </w:t>
      </w:r>
      <w:r>
        <w:t>abstract_source=crossref</w:t>
      </w:r>
    </w:p>
    <w:p>
      <w:pPr>
        <w:spacing w:before="0" w:after="80" w:lineRule="auto" w:line="276"/>
      </w:pPr>
      <w:r>
        <w:rPr>
          <w:b/>
        </w:rPr>
        <w:t xml:space="preserve">摘要（ZH）: </w:t>
      </w:r>
      <w:r>
        <w:t>人类合作是解决集体挑战的基础，但其个体驱动因素仍未得到充分了解。使用在 125 个国家进行的激励两人合作实验的全球代表性数据（</w:t>
      </w:r>
      <w:r>
        <w:t xml:space="preserve"> </w:t>
      </w:r>
      <w:r>
        <w:t>氮</w:t>
      </w:r>
      <w:r>
        <w:t xml:space="preserve"> </w:t>
      </w:r>
      <w:r>
        <w:t>= 101,123 个人），我们评估人类合作的程度并研究其个体决定因素。在全球范围内，大约三分之二的人选择合作。合作决策在很大程度上受到合作信念、禁令性规范和偏好的影响。这些决定因素的影响大小因国家而异，这种变化与历史和文化标志系统相关。在全球范围内，人们低估了他人的合作意愿——人类比他们想象的更加合作。简单的信息处理可以减少误解并增强合作。</w:t>
      </w:r>
    </w:p>
    <w:p>
      <w:pPr>
        <w:spacing w:before="0" w:after="200" w:lineRule="auto" w:line="276"/>
      </w:pPr>
      <w:r>
        <w:rPr>
          <w:b/>
        </w:rPr>
        <w:t xml:space="preserve">Abstract (EN): </w:t>
      </w:r>
      <w:r>
        <w:t>Human cooperation is fundamental to solving collective challenges, yet its individual drivers remain insufficiently understood. Using globally representative data from an incentivized two-player cooperation experiment conducted in 125 countries (</w:t>
      </w:r>
      <w:r>
        <w:t xml:space="preserve"> </w:t>
      </w:r>
      <w:r>
        <w:t>N</w:t>
      </w:r>
      <w:r>
        <w:t xml:space="preserve"> </w:t>
      </w:r>
      <w:r>
        <w:t>= 101,123 individuals), we assess the extent of human cooperation and study its individual determinants. Across the globe, about two-thirds of people choose to cooperate. The decision to cooperate is significantly shaped by cooperation beliefs, injunctive norms, and preferences. Effect sizes of these determinants vary across countries, a variation that is systematically associated with historical and cultural markers. Globally, people underestimate others’ willingness to cooperate—humans are more cooperative than they believe. A simple information treatment reduces misperceptions and causally increases cooperation.</w:t>
      </w:r>
    </w:p>
    <w:p>
      <w:pPr>
        <w:spacing w:before="120" w:after="120"/>
      </w:pPr>
      <w:r>
        <w:rPr>
          <w:sz w:val="18"/>
        </w:rPr>
        <w:t>——————————————————————————————————————————————————————————————————————</w:t>
      </w:r>
    </w:p>
    <w:p>
      <w:pPr>
        <w:spacing w:before="160" w:after="40" w:line="240" w:lineRule="auto"/>
      </w:pPr>
      <w:r>
        <w:rPr>
          <w:b/>
        </w:rPr>
        <w:t xml:space="preserve">[442] </w:t>
      </w:r>
      <w:hyperlink r:id="rId1065">
        <w:r>
          <w:rPr>
            <w:color w:val="1155CC"/>
            <w:u w:val="single"/>
          </w:rPr>
          <w:t>互联网的架构给民主带来了风险</w:t>
        </w:r>
      </w:hyperlink>
    </w:p>
    <w:p>
      <w:pPr>
        <w:spacing w:before="0" w:after="80"/>
      </w:pPr>
      <w:r>
        <w:rPr>
          <w:i/>
          <w:sz w:val="20"/>
        </w:rPr>
        <w:t>EN: The architecture of the internet creates risks for democracy</w:t>
      </w:r>
    </w:p>
    <w:p>
      <w:pPr>
        <w:spacing w:before="0" w:after="120"/>
      </w:pPr>
      <w:r>
        <w:rPr>
          <w:b/>
        </w:rPr>
        <w:t xml:space="preserve">Source: </w:t>
      </w:r>
      <w:r>
        <w:t>AAAS: Science: Table of Contents</w:t>
      </w:r>
      <w:r>
        <w:t xml:space="preserve">    </w:t>
      </w:r>
      <w:r>
        <w:rPr>
          <w:b/>
        </w:rPr>
        <w:t xml:space="preserve">Pub date: </w:t>
      </w:r>
      <w:r>
        <w:t>2026-06-04 07:00:00+00:00</w:t>
      </w:r>
      <w:r>
        <w:t xml:space="preserve">    </w:t>
      </w:r>
      <w:r>
        <w:rPr>
          <w:b/>
        </w:rPr>
        <w:t xml:space="preserve">DOI: </w:t>
      </w:r>
      <w:hyperlink r:id="rId1066">
        <w:r>
          <w:rPr>
            <w:color w:val="1155CC"/>
            <w:u w:val="single"/>
          </w:rPr>
          <w:t>10.1126/science.aei2409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[443] </w:t>
      </w:r>
      <w:hyperlink r:id="rId1067">
        <w:r>
          <w:rPr>
            <w:color w:val="1155CC"/>
            <w:u w:val="single"/>
          </w:rPr>
          <w:t>研究文章“预防收缩力不足引起的成纤维细胞扩张可缓解扩张型心肌病”的勘误表</w:t>
        </w:r>
      </w:hyperlink>
    </w:p>
    <w:p>
      <w:pPr>
        <w:spacing w:before="0" w:after="80"/>
      </w:pPr>
      <w:r>
        <w:rPr>
          <w:i/>
          <w:sz w:val="20"/>
        </w:rPr>
        <w:t>EN: Erratum for the Research Article “Preventing hypocontractility-induced fibro-blast expansion alleviates dilated cardiomyopathy”</w:t>
      </w:r>
    </w:p>
    <w:p>
      <w:pPr>
        <w:spacing w:before="0" w:after="120"/>
      </w:pPr>
      <w:r>
        <w:rPr>
          <w:b/>
        </w:rPr>
        <w:t xml:space="preserve">Source: </w:t>
      </w:r>
      <w:r>
        <w:t>AAAS: Science: Table of Contents</w:t>
      </w:r>
      <w:r>
        <w:t xml:space="preserve">    </w:t>
      </w:r>
      <w:r>
        <w:rPr>
          <w:b/>
        </w:rPr>
        <w:t xml:space="preserve">Pub date: </w:t>
      </w:r>
      <w:r>
        <w:t>2026-06-04 07:00:00+00:00</w:t>
      </w:r>
      <w:r>
        <w:t xml:space="preserve">    </w:t>
      </w:r>
      <w:r>
        <w:rPr>
          <w:b/>
        </w:rPr>
        <w:t xml:space="preserve">DOI: </w:t>
      </w:r>
      <w:hyperlink r:id="rId1068">
        <w:r>
          <w:rPr>
            <w:color w:val="1155CC"/>
            <w:u w:val="single"/>
          </w:rPr>
          <w:t>10.1126/science.aej2323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[444] </w:t>
      </w:r>
      <w:hyperlink r:id="rId1069">
        <w:r>
          <w:rPr>
            <w:color w:val="1155CC"/>
            <w:u w:val="single"/>
          </w:rPr>
          <w:t>人类 HFpEF 的严重肥胖改变了收缩蛋白的功能和组织</w:t>
        </w:r>
      </w:hyperlink>
    </w:p>
    <w:p>
      <w:pPr>
        <w:spacing w:before="0" w:after="80"/>
      </w:pPr>
      <w:r>
        <w:rPr>
          <w:i/>
          <w:sz w:val="20"/>
        </w:rPr>
        <w:t>EN: Severe obesity in human HFpEF alters contractile protein function and organization</w:t>
      </w:r>
    </w:p>
    <w:p>
      <w:pPr>
        <w:spacing w:before="0" w:after="120"/>
      </w:pPr>
      <w:r>
        <w:rPr>
          <w:b/>
        </w:rPr>
        <w:t xml:space="preserve">Source: </w:t>
      </w:r>
      <w:r>
        <w:t>AAAS: Science: Table of Contents</w:t>
      </w:r>
      <w:r>
        <w:t xml:space="preserve">    </w:t>
      </w:r>
      <w:r>
        <w:rPr>
          <w:b/>
        </w:rPr>
        <w:t xml:space="preserve">Pub date: </w:t>
      </w:r>
      <w:r>
        <w:t>2026-06-04 07:00:00+00:00</w:t>
      </w:r>
      <w:r>
        <w:t xml:space="preserve">    </w:t>
      </w:r>
      <w:r>
        <w:rPr>
          <w:b/>
        </w:rPr>
        <w:t xml:space="preserve">DOI: </w:t>
      </w:r>
      <w:hyperlink r:id="rId1070">
        <w:r>
          <w:rPr>
            <w:color w:val="1155CC"/>
            <w:u w:val="single"/>
          </w:rPr>
          <w:t>10.1126/science.adz7118</w:t>
        </w:r>
      </w:hyperlink>
    </w:p>
    <w:p>
      <w:pPr>
        <w:spacing w:before="0" w:after="120"/>
      </w:pPr>
      <w:r>
        <w:rPr>
          <w:b/>
        </w:rPr>
        <w:t xml:space="preserve">Notes: </w:t>
      </w:r>
      <w:r>
        <w:t>abstract_source=crossref</w:t>
      </w:r>
    </w:p>
    <w:p>
      <w:pPr>
        <w:spacing w:before="0" w:after="80" w:lineRule="auto" w:line="276"/>
      </w:pPr>
      <w:r>
        <w:rPr>
          <w:b/>
        </w:rPr>
        <w:t xml:space="preserve">摘要（ZH）: </w:t>
      </w:r>
      <w:r>
        <w:t>射血分数保留的心力衰竭（HFpEF）导致大量的发病率和死亡率，并且有效的治疗方法很少。随着时间的推移，其表型发生了变化，病态肥胖和代谢缺陷取代了高血压和心脏肥大。我们发现，与肥胖程度较低的 HFpEF 和伴或不伴肥胖的非失败 (NF) 对照相比，严重肥胖和 HFpEF 患者的心肌细胞收缩储备非常低，包括钙和长度刺激的张力、功率和肌球蛋白激活降低，但与晚期 HF 和射血分数降低的患者相似。 HFpEF 患者的肌细胞缺陷与体重指数和运动血流动力学相关，但与 NF 无关，并且在体重减轻后似乎可逆。肌钙蛋白 I 苏氨酸 181 磷酸化增加仅发生在肥胖性心力衰竭中，导致肌节功能障碍。减轻体重和肌节增强剂可能对肥胖 HFpEF 有益。</w:t>
      </w:r>
    </w:p>
    <w:p>
      <w:pPr>
        <w:spacing w:before="0" w:after="200" w:lineRule="auto" w:line="276"/>
      </w:pPr>
      <w:r>
        <w:rPr>
          <w:b/>
        </w:rPr>
        <w:t xml:space="preserve">Abstract (EN): </w:t>
      </w:r>
      <w:r>
        <w:t>Heart failure with preserved ejection fraction (HFpEF) causes substantial morbidity and mortality and has few effective therapies. Its phenotype has changed over time, with morbid obesity and metabolic defects supplanting hypertension and cardiac hypertrophy. We reveal that cardiomyocytes from patients with severe obesity and HFpEF have very depressed contractile reserve, including reduced calcium- and length-stimulated tension, power, and myosin activation compared with less-obese HFpEF and nonfailing (NF) controls with or without obesity but similar to those with advanced HF and reduced ejection fraction. Myocyte defects correlate with body mass index and exercise hemodynamics in patients with HFpEF but not NF and appear reversible upon weight loss. Increased troponin I phosphorylation at threonine 181 occurs only in heart failure with obesity, contributing to sarcomere dysfunction. Weight reduction and sarcomere enhancers may offer benefits in HFpEF with obesity.</w:t>
      </w:r>
    </w:p>
    <w:p>
      <w:pPr>
        <w:spacing w:before="120" w:after="120"/>
      </w:pPr>
      <w:r>
        <w:rPr>
          <w:sz w:val="18"/>
        </w:rPr>
        <w:t>——————————————————————————————————————————————————————————————————————</w:t>
      </w:r>
    </w:p>
    <w:p>
      <w:pPr>
        <w:spacing w:before="160" w:after="40" w:line="240" w:lineRule="auto"/>
      </w:pPr>
      <w:r>
        <w:rPr>
          <w:b/>
        </w:rPr>
        <w:t xml:space="preserve">[445] </w:t>
      </w:r>
      <w:hyperlink r:id="rId1071">
        <w:r>
          <w:rPr>
            <w:color w:val="1155CC"/>
            <w:u w:val="single"/>
          </w:rPr>
          <w:t>独自在家：远程工作、隔离和心理健康</w:t>
        </w:r>
      </w:hyperlink>
    </w:p>
    <w:p>
      <w:pPr>
        <w:spacing w:before="0" w:after="80"/>
      </w:pPr>
      <w:r>
        <w:rPr>
          <w:i/>
          <w:sz w:val="20"/>
        </w:rPr>
        <w:t>EN: Home alone: Remote work, isolation, and mental health</w:t>
      </w:r>
    </w:p>
    <w:p>
      <w:pPr>
        <w:spacing w:before="0" w:after="120"/>
      </w:pPr>
      <w:r>
        <w:rPr>
          <w:b/>
        </w:rPr>
        <w:t xml:space="preserve">Source: </w:t>
      </w:r>
      <w:r>
        <w:t>AAAS: Science: Table of Contents</w:t>
      </w:r>
      <w:r>
        <w:t xml:space="preserve">    </w:t>
      </w:r>
      <w:r>
        <w:rPr>
          <w:b/>
        </w:rPr>
        <w:t xml:space="preserve">Pub date: </w:t>
      </w:r>
      <w:r>
        <w:t>2026-06-04 07:00:00+00:00</w:t>
      </w:r>
      <w:r>
        <w:t xml:space="preserve">    </w:t>
      </w:r>
      <w:r>
        <w:rPr>
          <w:b/>
        </w:rPr>
        <w:t xml:space="preserve">DOI: </w:t>
      </w:r>
      <w:hyperlink r:id="rId1072">
        <w:r>
          <w:rPr>
            <w:color w:val="1155CC"/>
            <w:u w:val="single"/>
          </w:rPr>
          <w:t>10.1126/science.aec7671</w:t>
        </w:r>
      </w:hyperlink>
    </w:p>
    <w:p>
      <w:pPr>
        <w:spacing w:before="0" w:after="120"/>
      </w:pPr>
      <w:r>
        <w:rPr>
          <w:b/>
        </w:rPr>
        <w:t xml:space="preserve">Notes: </w:t>
      </w:r>
      <w:r>
        <w:t>abstract_source=crossref</w:t>
      </w:r>
    </w:p>
    <w:p>
      <w:pPr>
        <w:spacing w:before="0" w:after="80" w:lineRule="auto" w:line="276"/>
      </w:pPr>
      <w:r>
        <w:rPr>
          <w:b/>
        </w:rPr>
        <w:t xml:space="preserve">摘要（ZH）: </w:t>
      </w:r>
      <w:r>
        <w:t>远程工作如何影响隔离和心理健康？我们借鉴了五项具有全国代表性的美国工人调查（</w:t>
      </w:r>
      <w:r>
        <w:t xml:space="preserve"> </w:t>
      </w:r>
      <w:r>
        <w:t>氮</w:t>
      </w:r>
      <w:r>
        <w:t xml:space="preserve"> </w:t>
      </w:r>
      <w:r>
        <w:t>= 588,322）于 2011 年至 2024 年进行，省略了 2020 年至 2021 年的流行高峰年份。我们采用双重差分法对从事远程工作的人员（自新冠肺炎 (COVID-19) 以来远程工作大幅持续增加）与非远程工作人员的心理健康变化进行了比较，后者远程工作的增幅要少得多。我们发现，远程工作增加了独处的时间，从多种角度来看，心理健康状况恶化，并增加了心理健康服务和处方的使用。这些影响集中在独居个体身上。我们估计，远程工作的兴起约占 2011-2019 年和 2022-2024 年期间孤立和精神困扰增加的三分之一。</w:t>
      </w:r>
    </w:p>
    <w:p>
      <w:pPr>
        <w:spacing w:before="0" w:after="200" w:lineRule="auto" w:line="276"/>
      </w:pPr>
      <w:r>
        <w:rPr>
          <w:b/>
        </w:rPr>
        <w:t xml:space="preserve">Abstract (EN): </w:t>
      </w:r>
      <w:r>
        <w:t>How does remote work affect isolation and mental health? We drew on five nationally representative surveys of American workers (</w:t>
      </w:r>
      <w:r>
        <w:t xml:space="preserve"> </w:t>
      </w:r>
      <w:r>
        <w:t>N</w:t>
      </w:r>
      <w:r>
        <w:t xml:space="preserve"> </w:t>
      </w:r>
      <w:r>
        <w:t>= 588,322) conducted from 2011 to 2024, omitting the peak pandemic years of 2020–2021. Our difference-in-differences approach compared changes in mental health among people in remotable jobs—who experienced a large and persistent rise in remote work since COVID-19—to people in nonremotable jobs, where remote work increased far less. We found that remote work increases time spent alone, worsens mental well-being across multiple measures, and increases the use of mental health services and prescriptions. These effects were concentrated among individuals living alone. We estimate that the rise of remote work explains about a third of the increase in isolation and mental distress between 2011–2019 and 2022–2024.</w:t>
      </w:r>
    </w:p>
    <w:p>
      <w:pPr>
        <w:spacing w:before="120" w:after="120"/>
      </w:pPr>
      <w:r>
        <w:rPr>
          <w:sz w:val="18"/>
        </w:rPr>
        <w:t>——————————————————————————————————————————————————————————————————————</w:t>
      </w:r>
    </w:p>
    <w:p>
      <w:pPr>
        <w:spacing w:before="160" w:after="40" w:line="240" w:lineRule="auto"/>
      </w:pPr>
      <w:r>
        <w:rPr>
          <w:b/>
        </w:rPr>
        <w:t xml:space="preserve">[446] </w:t>
      </w:r>
      <w:hyperlink r:id="rId1073">
        <w:r>
          <w:rPr>
            <w:color w:val="1155CC"/>
            <w:u w:val="single"/>
          </w:rPr>
          <w:t>保密协议和沉默带来的外部性</w:t>
        </w:r>
      </w:hyperlink>
    </w:p>
    <w:p>
      <w:pPr>
        <w:spacing w:before="0" w:after="80"/>
      </w:pPr>
      <w:r>
        <w:rPr>
          <w:i/>
          <w:sz w:val="20"/>
        </w:rPr>
        <w:t>EN: Nondisclosure agreements and externalities from silence</w:t>
      </w:r>
    </w:p>
    <w:p>
      <w:pPr>
        <w:spacing w:before="0" w:after="120"/>
      </w:pPr>
      <w:r>
        <w:rPr>
          <w:b/>
        </w:rPr>
        <w:t xml:space="preserve">Source: </w:t>
      </w:r>
      <w:r>
        <w:t>Proceedings of the National Academy of Sciences: Keyword search for query</w:t>
      </w:r>
      <w:r>
        <w:t xml:space="preserve">    </w:t>
      </w:r>
      <w:r>
        <w:rPr>
          <w:b/>
        </w:rPr>
        <w:t xml:space="preserve">Pub date: </w:t>
      </w:r>
      <w:r>
        <w:t>2026-06-04 07:00:00+00:00</w:t>
      </w:r>
      <w:r>
        <w:t xml:space="preserve">    </w:t>
      </w:r>
      <w:r>
        <w:rPr>
          <w:b/>
        </w:rPr>
        <w:t xml:space="preserve">DOI: </w:t>
      </w:r>
      <w:hyperlink r:id="rId1074">
        <w:r>
          <w:rPr>
            <w:color w:val="1155CC"/>
            <w:u w:val="single"/>
          </w:rPr>
          <w:t>10.1073/pnas.2533147123</w:t>
        </w:r>
      </w:hyperlink>
    </w:p>
    <w:p>
      <w:pPr>
        <w:spacing w:before="0" w:after="120"/>
      </w:pPr>
      <w:r>
        <w:rPr>
          <w:b/>
        </w:rPr>
        <w:t xml:space="preserve">Notes: </w:t>
      </w:r>
      <w:r>
        <w:t>abstract_source=crossref</w:t>
      </w:r>
    </w:p>
    <w:p>
      <w:pPr>
        <w:spacing w:before="0" w:after="80" w:lineRule="auto" w:line="276"/>
      </w:pPr>
      <w:r>
        <w:rPr>
          <w:b/>
        </w:rPr>
        <w:t xml:space="preserve">摘要（ZH）: </w:t>
      </w:r>
      <w:r>
        <w:t>对工人声音的合同限制如何影响有关雇主的信息流？我们开发了一个框架，在该框架中，违反保密协议 (NDA) 所带来的法律风险会降低员工分享负面信息的意愿，从而使高端雇主更难在员工中脱颖而出。这些想法的实证支持来自于在三个州禁止雇主使用 NDA 隐瞒非法行为后对 NDA 使用与 Glassdoor 评论内容之间关系的研究。通过限制负面信息的流动，保密协议给重视此类信息的工人和那些无法脱颖而出的竞争雇主带来了负面外部性。</w:t>
      </w:r>
    </w:p>
    <w:p>
      <w:pPr>
        <w:spacing w:before="0" w:after="200" w:lineRule="auto" w:line="276"/>
      </w:pPr>
      <w:r>
        <w:rPr>
          <w:b/>
        </w:rPr>
        <w:t xml:space="preserve">Abstract (EN): </w:t>
      </w:r>
      <w:r>
        <w:t>How do contractual restrictions on worker voice affect information flows about employers? We develop a framework in which the legal risk from violating a nondisclosure agreement (NDA) reduces the willingness of workers to share negative information, making it more difficult for high-road employers to differentiate themselves to workers. Empirical support for these ideas comes from studying the relationship between NDA use and the content of Glassdoor reviews after three states prohibited employers from using NDAs to conceal unlawful conduct. By curtailing the flow of negative information, NDAs impose negative externalities on workers who value such information and on competing employers who are less able to stand out.</w:t>
      </w:r>
    </w:p>
    <w:p>
      <w:pPr>
        <w:spacing w:before="120" w:after="120"/>
      </w:pPr>
      <w:r>
        <w:rPr>
          <w:sz w:val="18"/>
        </w:rPr>
        <w:t>——————————————————————————————————————————————————————————————————————</w:t>
      </w:r>
    </w:p>
    <w:p>
      <w:pPr>
        <w:spacing w:before="160" w:after="40" w:line="240" w:lineRule="auto"/>
      </w:pPr>
      <w:r>
        <w:rPr>
          <w:b/>
        </w:rPr>
        <w:t xml:space="preserve">[447] </w:t>
      </w:r>
      <w:hyperlink r:id="rId1075">
        <w:r>
          <w:rPr>
            <w:color w:val="1155CC"/>
            <w:u w:val="single"/>
          </w:rPr>
          <w:t>番茄中病毒诱导的非转基因和无组织培养的可遗传基因组编辑</w:t>
        </w:r>
      </w:hyperlink>
    </w:p>
    <w:p>
      <w:pPr>
        <w:spacing w:before="0" w:after="80"/>
      </w:pPr>
      <w:r>
        <w:rPr>
          <w:i/>
          <w:sz w:val="20"/>
        </w:rPr>
        <w:t>EN: Virus-induced transgene- and tissue culture-free heritable genome editing in tomato</w:t>
      </w:r>
    </w:p>
    <w:p>
      <w:pPr>
        <w:spacing w:before="0" w:after="120"/>
      </w:pPr>
      <w:r>
        <w:rPr>
          <w:b/>
        </w:rPr>
        <w:t xml:space="preserve">Source: </w:t>
      </w:r>
      <w:r>
        <w:t>Proceedings of the National Academy of Sciences: Keyword search for query</w:t>
      </w:r>
      <w:r>
        <w:t xml:space="preserve">    </w:t>
      </w:r>
      <w:r>
        <w:rPr>
          <w:b/>
        </w:rPr>
        <w:t xml:space="preserve">Pub date: </w:t>
      </w:r>
      <w:r>
        <w:t>2026-06-04 07:00:00+00:00</w:t>
      </w:r>
      <w:r>
        <w:t xml:space="preserve">    </w:t>
      </w:r>
      <w:r>
        <w:rPr>
          <w:b/>
        </w:rPr>
        <w:t xml:space="preserve">DOI: </w:t>
      </w:r>
      <w:hyperlink r:id="rId1076">
        <w:r>
          <w:rPr>
            <w:color w:val="1155CC"/>
            <w:u w:val="single"/>
          </w:rPr>
          <w:t>10.1073/pnas.2530029123</w:t>
        </w:r>
      </w:hyperlink>
    </w:p>
    <w:p>
      <w:pPr>
        <w:spacing w:before="0" w:after="120"/>
      </w:pPr>
      <w:r>
        <w:rPr>
          <w:b/>
        </w:rPr>
        <w:t xml:space="preserve">Notes: </w:t>
      </w:r>
      <w:r>
        <w:t>abstract_source=crossref</w:t>
      </w:r>
    </w:p>
    <w:p>
      <w:pPr>
        <w:spacing w:before="0" w:after="80" w:lineRule="auto" w:line="276"/>
      </w:pPr>
      <w:r>
        <w:rPr>
          <w:b/>
        </w:rPr>
        <w:t xml:space="preserve">摘要（ZH）: </w:t>
      </w:r>
      <w:r>
        <w:t>基因组编辑已成为作物基因组操作和性状改良的强大工具。然而，最常用的方法依赖于组织培养和转基因材料，这是耗时、劳动密集型的，并且通常强烈依赖于基因型。在这里，我们开发了一种基于烟草脆裂病毒 (TRV) 的系统，可提供紧凑的 ISYmu1 TnpB 核酸内切酶，并结合植物芽再生，无需组织培养即可在不同番茄品种中实现体细胞和可遗传基因组编辑。通过定位</w:t>
      </w:r>
      <w:r>
        <w:t xml:space="preserve"> </w:t>
      </w:r>
      <w:r>
        <w:t>PDS</w:t>
      </w:r>
      <w:r>
        <w:t xml:space="preserve"> </w:t>
      </w:r>
      <w:r>
        <w:t>，我们在一代内成功地产生了无病毒的纯合突变后代。此外，我们将该系统扩展到先前未表征的功能分析</w:t>
      </w:r>
      <w:r>
        <w:t xml:space="preserve"> </w:t>
      </w:r>
      <w:r>
        <w:t>斯达1</w:t>
      </w:r>
      <w:r>
        <w:t xml:space="preserve"> </w:t>
      </w:r>
      <w:r>
        <w:t>位点，揭示其参与器官大小调节，并恢复无转基因</w:t>
      </w:r>
      <w:r>
        <w:t xml:space="preserve"> </w:t>
      </w:r>
      <w:r>
        <w:t>斯达1</w:t>
      </w:r>
      <w:r>
        <w:t xml:space="preserve"> </w:t>
      </w:r>
      <w:r>
        <w:t>突变体表现出增大的果实。鉴于 TRV 的宿主范围广泛，我们的系统应该广泛适用于快速、非转基因和基因型依赖性较小的可遗传基因组编辑，从而推进功能基因组学和作物改良。</w:t>
      </w:r>
    </w:p>
    <w:p>
      <w:pPr>
        <w:spacing w:before="0" w:after="200" w:lineRule="auto" w:line="276"/>
      </w:pPr>
      <w:r>
        <w:rPr>
          <w:b/>
        </w:rPr>
        <w:t xml:space="preserve">Abstract (EN): </w:t>
      </w:r>
      <w:r>
        <w:t>Genome editing has emerged as a powerful tool for genome manipulation and trait improvement in crops. However, most commonly used approaches rely on tissue culture and transgenic materials, which are time-consuming, labor-intensive, and often strongly genotype-dependent. Here, we developed a Tobacco rattle virus (TRV)-based system to deliver the compact ISYmu1 TnpB endonuclease, coupled with in planta shoot regeneration, to achieve somatic and heritable genome editing across different tomato cultivars without tissue culture. By targeting</w:t>
      </w:r>
      <w:r>
        <w:t xml:space="preserve"> </w:t>
      </w:r>
      <w:r>
        <w:t>SlPDS</w:t>
      </w:r>
      <w:r>
        <w:t xml:space="preserve"> </w:t>
      </w:r>
      <w:r>
        <w:t>, we successfully generated virus-free homozygous mutant progeny in a single generation. Furthermore, we extended this system to the functional analysis of the previously uncharacterized</w:t>
      </w:r>
      <w:r>
        <w:t xml:space="preserve"> </w:t>
      </w:r>
      <w:r>
        <w:t>SlDA1</w:t>
      </w:r>
      <w:r>
        <w:t xml:space="preserve"> </w:t>
      </w:r>
      <w:r>
        <w:t>locus, revealing its involvement in organ size regulation, and recovered transgene-free</w:t>
      </w:r>
      <w:r>
        <w:t xml:space="preserve"> </w:t>
      </w:r>
      <w:r>
        <w:t>SlDA1</w:t>
      </w:r>
      <w:r>
        <w:t xml:space="preserve"> </w:t>
      </w:r>
      <w:r>
        <w:t>mutants displaying enlarged fruits. Given the wide host range of TRV, our system should be broadly applicable for rapid, nontransgenic and less genotype-dependent heritable genome editing, thereby advancing both functional genomics and crop improvement.</w:t>
      </w:r>
    </w:p>
    <w:p>
      <w:pPr>
        <w:spacing w:before="120" w:after="120"/>
      </w:pPr>
      <w:r>
        <w:rPr>
          <w:sz w:val="18"/>
        </w:rPr>
        <w:t>——————————————————————————————————————————————————————————————————————</w:t>
      </w:r>
    </w:p>
    <w:p>
      <w:pPr>
        <w:spacing w:before="160" w:after="40" w:line="240" w:lineRule="auto"/>
      </w:pPr>
      <w:r>
        <w:rPr>
          <w:b/>
        </w:rPr>
        <w:t xml:space="preserve">[448] </w:t>
      </w:r>
      <w:hyperlink r:id="rId1077">
        <w:r>
          <w:rPr>
            <w:color w:val="1155CC"/>
            <w:u w:val="single"/>
          </w:rPr>
          <w:t>手性自旋液体中的畴壁结构</w:t>
        </w:r>
      </w:hyperlink>
    </w:p>
    <w:p>
      <w:pPr>
        <w:spacing w:before="0" w:after="80"/>
      </w:pPr>
      <w:r>
        <w:rPr>
          <w:i/>
          <w:sz w:val="20"/>
        </w:rPr>
        <w:t>EN: Structure of domain walls in chiral spin liquids</w:t>
      </w:r>
    </w:p>
    <w:p>
      <w:pPr>
        <w:spacing w:before="0" w:after="120"/>
      </w:pPr>
      <w:r>
        <w:rPr>
          <w:b/>
        </w:rPr>
        <w:t xml:space="preserve">Source: </w:t>
      </w:r>
      <w:r>
        <w:t>Proceedings of the National Academy of Sciences: Keyword search for query</w:t>
      </w:r>
      <w:r>
        <w:t xml:space="preserve">    </w:t>
      </w:r>
      <w:r>
        <w:rPr>
          <w:b/>
        </w:rPr>
        <w:t xml:space="preserve">Pub date: </w:t>
      </w:r>
      <w:r>
        <w:t>2026-06-04 07:00:00+00:00</w:t>
      </w:r>
      <w:r>
        <w:t xml:space="preserve">    </w:t>
      </w:r>
      <w:r>
        <w:rPr>
          <w:b/>
        </w:rPr>
        <w:t xml:space="preserve">DOI: </w:t>
      </w:r>
      <w:hyperlink r:id="rId1078">
        <w:r>
          <w:rPr>
            <w:color w:val="1155CC"/>
            <w:u w:val="single"/>
          </w:rPr>
          <w:t>10.1073/pnas.2601093123</w:t>
        </w:r>
      </w:hyperlink>
    </w:p>
    <w:p>
      <w:pPr>
        <w:spacing w:before="0" w:after="120"/>
      </w:pPr>
      <w:r>
        <w:rPr>
          <w:b/>
        </w:rPr>
        <w:t xml:space="preserve">Notes: </w:t>
      </w:r>
      <w:r>
        <w:t>abstract_source=crossref</w:t>
      </w:r>
    </w:p>
    <w:p>
      <w:pPr>
        <w:spacing w:before="0" w:after="80" w:lineRule="auto" w:line="276"/>
      </w:pPr>
      <w:r>
        <w:rPr>
          <w:b/>
        </w:rPr>
        <w:t xml:space="preserve">摘要（ZH）: </w:t>
      </w:r>
      <w:r>
        <w:t>手性自旋液体是结合了拓扑序和对称破缺序的量子自旋的规范态，可能的实验实现引起了越来越多的兴趣。我们研究了相反手性的手性自旋液体域之间的界面处的物理现象。我们证明，在磁畴壁附近，自洽的自旋平均场描述仍然是可能的，并用它来制定磁畴壁的金兹堡-朗道理论。大部分手性自旋液体包含有间隙的自旋子激发和规范涨落，由有限的自旋子质量和非零自旋陈数设定。第三类激励由自旋跳跃的振幅波动组成，它允许根据有效菲尔宾场进行几何解释。这些波动通常被忽略，因为它们与均匀手性自旋液体无关，并且在标准大分子中被抑制。</w:t>
      </w:r>
      <w:r>
        <w:t xml:space="preserve"> </w:t>
      </w:r>
      <w:r>
        <w:t>氮</w:t>
      </w:r>
      <w:r>
        <w:t xml:space="preserve"> </w:t>
      </w:r>
      <w:r>
        <w:t>治疗。超越纯粹的拓扑陈-西蒙斯极限，我们将这些涨落纳入有效的场论框架中，并表明它们产生动量相关的修正，包括类陈-西蒙斯线性项和高阶贡献，超出了普遍的拓扑极限。然后，我们分析非拓扑特性，包括畴壁张力和边缘速度，并解释它们如何相对于均匀情况修改可观测量。这些结果将可测量的、非通用的数量联系起来</w:t>
      </w:r>
    </w:p>
    <w:p>
      <w:pPr>
        <w:spacing w:before="0" w:after="200" w:lineRule="auto" w:line="276"/>
      </w:pPr>
      <w:r>
        <w:rPr>
          <w:b/>
        </w:rPr>
        <w:t xml:space="preserve">Abstract (EN): </w:t>
      </w:r>
      <w:r>
        <w:t>The chiral spin liquid is a canonical state of quantum spins combining topological and symmetry-breaking order, and possible experimental realizations have attracted growing interest. We examine the physics at interfaces between chiral spin liquid domains of opposite chirality. We show that a self-consistent mean-field description of spinons remains possible in the vicinity of a domain wall and use this to formulate a Ginzburg–Landau theory of the domain wall. The bulk of a chiral spin liquid contains gapped spinon excitations and gauge fluctuations, set by a finite spinon mass and a nonzero spinon Chern number. A third class of excitations consists of amplitude fluctuations of the spinon hoppings, which admit a geometric interpretation in terms of effective vielbein fields. These fluctuations are usually neglected because they are irrelevant for a homogeneous chiral spin liquid and are suppressed in standard large-</w:t>
      </w:r>
      <w:r>
        <w:t xml:space="preserve"> </w:t>
      </w:r>
      <w:r>
        <w:t>N</w:t>
      </w:r>
      <w:r>
        <w:t xml:space="preserve"> </w:t>
      </w:r>
      <w:r>
        <w:t>treatments. Going beyond the purely topological Chern–Simons limit, we incorporate these fluctuations into an effective field theoretic framework and show that they generate momentum-dependent corrections, including Chern–Simons-like linear terms and higher-order contributions, beyond the universal topological limit. We then analyze nontopological properties, including domain wall tension and edge velocity, and explain how they modify observables relative to the uniform case. These results connect measurable, nonuniversal quantities such as domain wall width, domain wall tension, and edge velocity to microscopic parameters and provide concrete targets for experiments.</w:t>
      </w:r>
    </w:p>
    <w:p>
      <w:pPr>
        <w:spacing w:before="120" w:after="120"/>
      </w:pPr>
      <w:r>
        <w:rPr>
          <w:sz w:val="18"/>
        </w:rPr>
        <w:t>——————————————————————————————————————————————————————————————————————</w:t>
      </w:r>
    </w:p>
    <w:p>
      <w:pPr>
        <w:spacing w:before="160" w:after="40" w:line="240" w:lineRule="auto"/>
      </w:pPr>
      <w:r>
        <w:rPr>
          <w:b/>
        </w:rPr>
        <w:t xml:space="preserve">[449] </w:t>
      </w:r>
      <w:hyperlink r:id="rId1079">
        <w:r>
          <w:rPr>
            <w:color w:val="1155CC"/>
            <w:u w:val="single"/>
          </w:rPr>
          <w:t>DNA 双链体之间同源识别的直接证据和定量</w:t>
        </w:r>
      </w:hyperlink>
    </w:p>
    <w:p>
      <w:pPr>
        <w:spacing w:before="0" w:after="80"/>
      </w:pPr>
      <w:r>
        <w:rPr>
          <w:i/>
          <w:sz w:val="20"/>
        </w:rPr>
        <w:t>EN: Direct evidence and quantification of homologous recognition between DNA duplexes</w:t>
      </w:r>
    </w:p>
    <w:p>
      <w:pPr>
        <w:spacing w:before="0" w:after="120"/>
      </w:pPr>
      <w:r>
        <w:rPr>
          <w:b/>
        </w:rPr>
        <w:t xml:space="preserve">Source: </w:t>
      </w:r>
      <w:r>
        <w:t>Proceedings of the National Academy of Sciences: Keyword search for query</w:t>
      </w:r>
      <w:r>
        <w:t xml:space="preserve">    </w:t>
      </w:r>
      <w:r>
        <w:rPr>
          <w:b/>
        </w:rPr>
        <w:t xml:space="preserve">Pub date: </w:t>
      </w:r>
      <w:r>
        <w:t>2026-06-04 07:00:00+00:00</w:t>
      </w:r>
      <w:r>
        <w:t xml:space="preserve">    </w:t>
      </w:r>
      <w:r>
        <w:rPr>
          <w:b/>
        </w:rPr>
        <w:t xml:space="preserve">DOI: </w:t>
      </w:r>
      <w:hyperlink r:id="rId1080">
        <w:r>
          <w:rPr>
            <w:color w:val="1155CC"/>
            <w:u w:val="single"/>
          </w:rPr>
          <w:t>10.1073/pnas.2530949123</w:t>
        </w:r>
      </w:hyperlink>
    </w:p>
    <w:p>
      <w:pPr>
        <w:spacing w:before="0" w:after="120"/>
      </w:pPr>
      <w:r>
        <w:rPr>
          <w:b/>
        </w:rPr>
        <w:t xml:space="preserve">Notes: </w:t>
      </w:r>
      <w:r>
        <w:t>abstract_source=crossref</w:t>
      </w:r>
    </w:p>
    <w:p>
      <w:pPr>
        <w:spacing w:before="0" w:after="80" w:lineRule="auto" w:line="276"/>
      </w:pPr>
      <w:r>
        <w:rPr>
          <w:b/>
        </w:rPr>
        <w:t xml:space="preserve">摘要（ZH）: </w:t>
      </w:r>
      <w:r>
        <w:t>共享相同序列的双链 DNA 片段可以在细胞中相互识别。这种现象称为同源识别，对于 DNA 重组和修复至关重要。然而，其机制仍然存在争议，纯粹的物理相互作用被认为是一个影响因素。在这里，我们使用最小的 DNA 纳米传感器以极高的精度量化同源成对相互作用。我们发现同源性增强了生理二价阳离子诱导的双链体-双链体亲和力，并将同源性驱动的识别自由能测量为</w:t>
      </w:r>
      <w:r>
        <w:t xml:space="preserve"> </w:t>
      </w:r>
      <w:r>
        <w:t>～</w:t>
      </w:r>
      <w:r>
        <w:t xml:space="preserve"> </w:t>
      </w:r>
      <w:r>
        <w:t>-</w:t>
      </w:r>
      <w:r>
        <w:t>0.01</w:t>
      </w:r>
      <w:r>
        <w:t xml:space="preserve"> </w:t>
      </w:r>
      <w:r>
        <w:t>千卡</w:t>
      </w:r>
      <w:r>
        <w:t xml:space="preserve"> </w:t>
      </w:r>
      <w:r>
        <w:t>/</w:t>
      </w:r>
      <w:r>
        <w:t>摩尔</w:t>
      </w:r>
      <w:r>
        <w:t xml:space="preserve"> </w:t>
      </w:r>
      <w:r>
        <w:t>每个碱基对。这种亲和力大大增强了纳米传感器有限几何形状中同源 DNA 的共排列，从而模拟了集中生物环境的物理效应。我们引入了一个定量静电框架，将这种涌现行为归因于同源 DNA 特有的相干电荷分布。我们的研究结果提供了令人信服的证据，支持完整双链 DNA 之间纯粹的物理序列特异性相互作用，这可能与同源重组具有生物学相关性。</w:t>
      </w:r>
    </w:p>
    <w:p>
      <w:pPr>
        <w:spacing w:before="0" w:after="200" w:lineRule="auto" w:line="276"/>
      </w:pPr>
      <w:r>
        <w:rPr>
          <w:b/>
        </w:rPr>
        <w:t xml:space="preserve">Abstract (EN): </w:t>
      </w:r>
      <w:r>
        <w:t>Stretches of double-stranded DNA sharing the same sequence can recognize each other in cells. This phenomenon, known as homologous recognition, is essential for DNA recombination and repair. Yet, its mechanism remains debated, with purely physical interactions proposed as a contributing factor. Here, we use a minimal DNA nanosensor to quantify homologous pairwise interactions with exquisite precision. We find that homology enhances the duplex–duplex affinity induced by physiological divalent cations and measure the homology-driven recognition free energy as</w:t>
      </w:r>
      <w:r>
        <w:t xml:space="preserve"> </w:t>
      </w:r>
      <w:r>
        <w:t>∼</w:t>
      </w:r>
      <w:r>
        <w:t xml:space="preserve"> </w:t>
      </w:r>
      <w:r>
        <w:t>−</w:t>
      </w:r>
      <w:r>
        <w:t>0.01</w:t>
      </w:r>
      <w:r>
        <w:t xml:space="preserve"> </w:t>
      </w:r>
      <w:r>
        <w:t>kcal</w:t>
      </w:r>
      <w:r>
        <w:t xml:space="preserve"> </w:t>
      </w:r>
      <w:r>
        <w:t>/</w:t>
      </w:r>
      <w:r>
        <w:t>mol</w:t>
      </w:r>
      <w:r>
        <w:t xml:space="preserve"> </w:t>
      </w:r>
      <w:r>
        <w:t>per base pair. This affinity substantially enhances coalignment of homologous DNA in the confined geometry of the nanosensor, which mimics physical effects of concentrated biological environments. We introduce a quantitative electrostatic framework that attributes this emergent behavior to coherent charge distributions unique to homologous DNA. Our findings provide compelling evidence in support of purely physical sequence-specific interactions between intact double-stranded DNA, which may bear biological relevance for homologous recombination.</w:t>
      </w:r>
    </w:p>
    <w:p>
      <w:pPr>
        <w:spacing w:before="120" w:after="120"/>
      </w:pPr>
      <w:r>
        <w:rPr>
          <w:sz w:val="18"/>
        </w:rPr>
        <w:t>——————————————————————————————————————————————————————————————————————</w:t>
      </w:r>
    </w:p>
    <w:p>
      <w:pPr>
        <w:spacing w:before="160" w:after="40" w:line="240" w:lineRule="auto"/>
      </w:pPr>
      <w:r>
        <w:rPr>
          <w:b/>
        </w:rPr>
        <w:t xml:space="preserve">[450] </w:t>
      </w:r>
      <w:hyperlink r:id="rId1081">
        <w:r>
          <w:rPr>
            <w:color w:val="1155CC"/>
            <w:u w:val="single"/>
          </w:rPr>
          <w:t>拟南芥剪接因子 1 的体内结合改变了 3' 剪接位点选择，调节植物的昼夜节律和免疫</w:t>
        </w:r>
      </w:hyperlink>
    </w:p>
    <w:p>
      <w:pPr>
        <w:spacing w:before="0" w:after="80"/>
      </w:pPr>
      <w:r>
        <w:rPr>
          <w:i/>
          <w:sz w:val="20"/>
        </w:rPr>
        <w:t>EN: In vivo binding by Arabidopsis SPLICING FACTOR 1 shifts 3′ splice-site choice, regulating circadian rhythms and immunity in plants</w:t>
      </w:r>
    </w:p>
    <w:p>
      <w:pPr>
        <w:spacing w:before="0" w:after="120"/>
      </w:pPr>
      <w:r>
        <w:rPr>
          <w:b/>
        </w:rPr>
        <w:t xml:space="preserve">Source: </w:t>
      </w:r>
      <w:r>
        <w:t>Proceedings of the National Academy of Sciences: Keyword search for query</w:t>
      </w:r>
      <w:r>
        <w:t xml:space="preserve">    </w:t>
      </w:r>
      <w:r>
        <w:rPr>
          <w:b/>
        </w:rPr>
        <w:t xml:space="preserve">Pub date: </w:t>
      </w:r>
      <w:r>
        <w:t>2026-06-04 07:00:00+00:00</w:t>
      </w:r>
      <w:r>
        <w:t xml:space="preserve">    </w:t>
      </w:r>
      <w:r>
        <w:rPr>
          <w:b/>
        </w:rPr>
        <w:t xml:space="preserve">DOI: </w:t>
      </w:r>
      <w:hyperlink r:id="rId1082">
        <w:r>
          <w:rPr>
            <w:color w:val="1155CC"/>
            <w:u w:val="single"/>
          </w:rPr>
          <w:t>10.1073/pnas.2531955123</w:t>
        </w:r>
      </w:hyperlink>
    </w:p>
    <w:p>
      <w:pPr>
        <w:spacing w:before="0" w:after="120"/>
      </w:pPr>
      <w:r>
        <w:rPr>
          <w:b/>
        </w:rPr>
        <w:t xml:space="preserve">Notes: </w:t>
      </w:r>
      <w:r>
        <w:t>abstract_source=crossref</w:t>
      </w:r>
    </w:p>
    <w:p>
      <w:pPr>
        <w:spacing w:before="0" w:after="80" w:lineRule="auto" w:line="276"/>
      </w:pPr>
      <w:r>
        <w:rPr>
          <w:b/>
        </w:rPr>
        <w:t xml:space="preserve">摘要（ZH）: </w:t>
      </w:r>
      <w:r>
        <w:t>选择性剪接扩大了蛋白质组的多样性，并实现了真核生物的表型可塑性。在植物中，剪接体成分的突变会损害发育和应激反应，但分子机制仍不清楚。在这里，我们定义了 SPLICING FACTOR 1 (AtSF1) 的分子功能</w:t>
      </w:r>
      <w:r>
        <w:t xml:space="preserve"> </w:t>
      </w:r>
      <w:r>
        <w:t>拟南芥</w:t>
      </w:r>
      <w:r>
        <w:t xml:space="preserve"> </w:t>
      </w:r>
      <w:r>
        <w:t>使用个体核苷酸分辨率 UV 交联和免疫沉淀结合 RNA 测序</w:t>
      </w:r>
      <w:r>
        <w:t xml:space="preserve"> </w:t>
      </w:r>
      <w:r>
        <w:t>SF1</w:t>
      </w:r>
      <w:r>
        <w:t xml:space="preserve"> </w:t>
      </w:r>
      <w:r>
        <w:t>突变体。我们鉴定了 AtSF1 结合的体内分支点序列，并描绘了其 RNA 结合景观，揭示了由异常 3' 剪接位点选择主导的普遍剪接缺陷。与人类 SF1 的结构比较表明，AtSF1 保留了分支点识别能力，但具有独特的结构域组织，包括后生动物中不存在的重组 C 端区域，这表明存在不同的 RNA 结合模式，其进化是为了满足植物特异性剪接需求。 AtSF1 靶标富含核心生物钟和防御基因，与长周期表型和免疫受损表型一致</w:t>
      </w:r>
      <w:r>
        <w:t xml:space="preserve"> </w:t>
      </w:r>
      <w:r>
        <w:t>SF1</w:t>
      </w:r>
      <w:r>
        <w:t xml:space="preserve"> </w:t>
      </w:r>
      <w:r>
        <w:t>突变体。总之，这些发现证实 AtSF1 通过内含子结合和分支点识别来协调替代 3' 剪接位点选择，将 RNA 加工与植物中的昼夜节律和免疫调节结合起来。</w:t>
      </w:r>
    </w:p>
    <w:p>
      <w:pPr>
        <w:spacing w:before="0" w:after="200" w:lineRule="auto" w:line="276"/>
      </w:pPr>
      <w:r>
        <w:rPr>
          <w:b/>
        </w:rPr>
        <w:t xml:space="preserve">Abstract (EN): </w:t>
      </w:r>
      <w:r>
        <w:t>Alternative splicing expands proteome diversity and enables phenotypic plasticity across eukaryotes. In plants, mutations in spliceosomal components impair development and stress responses, but the molecular mechanisms remain unclear. Here, we define the molecular function of SPLICING FACTOR 1 (AtSF1) in</w:t>
      </w:r>
      <w:r>
        <w:t xml:space="preserve"> </w:t>
      </w:r>
      <w:r>
        <w:t>Arabidopsis thaliana</w:t>
      </w:r>
      <w:r>
        <w:t xml:space="preserve"> </w:t>
      </w:r>
      <w:r>
        <w:t>using individual-nucleotide resolution UV crosslinking and immunoprecipitation combined with RNA sequencing of</w:t>
      </w:r>
      <w:r>
        <w:t xml:space="preserve"> </w:t>
      </w:r>
      <w:r>
        <w:t>sf1</w:t>
      </w:r>
      <w:r>
        <w:t xml:space="preserve"> </w:t>
      </w:r>
      <w:r>
        <w:t>mutants. We identify the in vivo branch point sequences bound by AtSF1 and delineate its RNA-binding landscape, revealing pervasive splicing defects dominated by aberrant 3′ splice-site selection. Structural comparison with human SF1 indicates that AtSF1 retains branch point recognition capacity but features a distinct domain organization, including a restructured C-terminal region absent in metazoans, suggesting a divergent RNA-binding mode that evolved to meet plant-specific splicing demands. AtSF1 targets are enriched for core circadian clock and defense genes, consistent with the long-period phenotype and immune-compromised phenotypes of</w:t>
      </w:r>
      <w:r>
        <w:t xml:space="preserve"> </w:t>
      </w:r>
      <w:r>
        <w:t>sf1</w:t>
      </w:r>
      <w:r>
        <w:t xml:space="preserve"> </w:t>
      </w:r>
      <w:r>
        <w:t>mutants. Together, these findings establish that AtSF1 orchestrates alternative 3′ splice-site choice through intron binding and branch point recognition, coupling RNA processing with circadian and immune regulation in plants.</w:t>
      </w:r>
    </w:p>
    <w:p>
      <w:pPr>
        <w:spacing w:before="120" w:after="120"/>
      </w:pPr>
      <w:r>
        <w:rPr>
          <w:sz w:val="18"/>
        </w:rPr>
        <w:t>——————————————————————————————————————————————————————————————————————</w:t>
      </w:r>
    </w:p>
    <w:p>
      <w:pPr>
        <w:spacing w:before="160" w:after="40" w:line="240" w:lineRule="auto"/>
      </w:pPr>
      <w:r>
        <w:rPr>
          <w:b/>
        </w:rPr>
        <w:t xml:space="preserve">[451] </w:t>
      </w:r>
      <w:hyperlink r:id="rId1083">
        <w:r>
          <w:rPr>
            <w:color w:val="1155CC"/>
            <w:u w:val="single"/>
          </w:rPr>
          <w:t>竞争使得模型植物群落能够快速适应变暖范围边缘</w:t>
        </w:r>
      </w:hyperlink>
    </w:p>
    <w:p>
      <w:pPr>
        <w:spacing w:before="0" w:after="80"/>
      </w:pPr>
      <w:r>
        <w:rPr>
          <w:i/>
          <w:sz w:val="20"/>
        </w:rPr>
        <w:t>EN: Competition enables rapid adaptation to a warming range edge in a model plant community</w:t>
      </w:r>
    </w:p>
    <w:p>
      <w:pPr>
        <w:spacing w:before="0" w:after="120"/>
      </w:pPr>
      <w:r>
        <w:rPr>
          <w:b/>
        </w:rPr>
        <w:t xml:space="preserve">Source: </w:t>
      </w:r>
      <w:r>
        <w:t>AAAS: Science: Table of Contents</w:t>
      </w:r>
      <w:r>
        <w:t xml:space="preserve">    </w:t>
      </w:r>
      <w:r>
        <w:rPr>
          <w:b/>
        </w:rPr>
        <w:t xml:space="preserve">Pub date: </w:t>
      </w:r>
      <w:r>
        <w:t>2026-06-04 07:00:00+00:00</w:t>
      </w:r>
      <w:r>
        <w:t xml:space="preserve">    </w:t>
      </w:r>
      <w:r>
        <w:rPr>
          <w:b/>
        </w:rPr>
        <w:t xml:space="preserve">DOI: </w:t>
      </w:r>
      <w:hyperlink r:id="rId1084">
        <w:r>
          <w:rPr>
            <w:color w:val="1155CC"/>
            <w:u w:val="single"/>
          </w:rPr>
          <w:t>10.1126/science.ads4664</w:t>
        </w:r>
      </w:hyperlink>
    </w:p>
    <w:p>
      <w:pPr>
        <w:spacing w:before="0" w:after="120"/>
      </w:pPr>
      <w:r>
        <w:rPr>
          <w:b/>
        </w:rPr>
        <w:t xml:space="preserve">Notes: </w:t>
      </w:r>
      <w:r>
        <w:t>abstract_source=crossref</w:t>
      </w:r>
    </w:p>
    <w:p>
      <w:pPr>
        <w:spacing w:before="0" w:after="80" w:lineRule="auto" w:line="276"/>
      </w:pPr>
      <w:r>
        <w:rPr>
          <w:b/>
        </w:rPr>
        <w:t xml:space="preserve">摘要（ZH）: </w:t>
      </w:r>
      <w:r>
        <w:t>大多数关于种群是否会适应变暖范围边缘的预测都忽略了物种之间的相互作用。我们通过实验测试了边缘种群是否能够在竞争性的模型植物群落中适应变暖（</w:t>
      </w:r>
      <w:r>
        <w:t xml:space="preserve"> </w:t>
      </w:r>
      <w:r>
        <w:t>浮萍</w:t>
      </w:r>
      <w:r>
        <w:t xml:space="preserve"> </w:t>
      </w:r>
      <w:r>
        <w:t>种。和</w:t>
      </w:r>
      <w:r>
        <w:t xml:space="preserve"> </w:t>
      </w:r>
      <w:r>
        <w:t>紫萍</w:t>
      </w:r>
      <w:r>
        <w:t xml:space="preserve"> </w:t>
      </w:r>
      <w:r>
        <w:t>浮萍）。值得注意的是，我们发现只有当种群与种间竞争者一起进化时，适应变暖范围边缘才有可能。此外，竞争对手在系列边缘实现了耐高温性的发展，并增加了热性能范围，但在较冷的系列核心却没有。我们的结果表明，当对竞争和变暖有共同的进化反应时，竞争者会加速热适应。总的来说，我们强调在预测未来范围变化时纳入社区背景的紧迫性，这表明对抗性相互作用并不一定会阻碍对气候恶化的适应。</w:t>
      </w:r>
    </w:p>
    <w:p>
      <w:pPr>
        <w:spacing w:before="0" w:after="200" w:lineRule="auto" w:line="276"/>
      </w:pPr>
      <w:r>
        <w:rPr>
          <w:b/>
        </w:rPr>
        <w:t xml:space="preserve">Abstract (EN): </w:t>
      </w:r>
      <w:r>
        <w:t>Most predictions of whether populations will adapt to warming range edges ignore species interactions. We experimentally tested whether range-edge populations can adapt to warming within a competitive, model plant community (</w:t>
      </w:r>
      <w:r>
        <w:t xml:space="preserve"> </w:t>
      </w:r>
      <w:r>
        <w:t>Lemna</w:t>
      </w:r>
      <w:r>
        <w:t xml:space="preserve"> </w:t>
      </w:r>
      <w:r>
        <w:t>spp. and</w:t>
      </w:r>
      <w:r>
        <w:t xml:space="preserve"> </w:t>
      </w:r>
      <w:r>
        <w:t>Spirodela polyrhiza</w:t>
      </w:r>
      <w:r>
        <w:t xml:space="preserve"> </w:t>
      </w:r>
      <w:r>
        <w:t>duckweeds). Notably, we found that adaptation to warming range edges was possible only when populations evolved with interspecific competitors. Moreover, competitors enabled the evolution of both high-temperature tolerance and increased thermal performance breadth at the range edge, but not at the cooler range core. Our results reveal that competitors accelerate thermal adaptation when there is a shared evolutionary response to both competition and warming. Overall, we highlight the urgency of including community context in predicting future range shifts, showing that antagonistic interactions do not necessarily hinder adaptation to climate deterioration.</w:t>
      </w:r>
    </w:p>
    <w:p>
      <w:pPr>
        <w:spacing w:before="120" w:after="120"/>
      </w:pPr>
      <w:r>
        <w:rPr>
          <w:sz w:val="18"/>
        </w:rPr>
        <w:t>——————————————————————————————————————————————————————————————————————</w:t>
      </w:r>
    </w:p>
    <w:p>
      <w:pPr>
        <w:spacing w:before="160" w:after="40" w:line="240" w:lineRule="auto"/>
      </w:pPr>
      <w:r>
        <w:rPr>
          <w:b/>
        </w:rPr>
        <w:t xml:space="preserve">[452] </w:t>
      </w:r>
      <w:hyperlink r:id="rId1085">
        <w:r>
          <w:rPr>
            <w:color w:val="1155CC"/>
            <w:u w:val="single"/>
          </w:rPr>
          <w:t>通过阴离子-阳离子共调制实现多功能可编程电磁波衰减的局部电荷工程</w:t>
        </w:r>
      </w:hyperlink>
    </w:p>
    <w:p>
      <w:pPr>
        <w:spacing w:before="0" w:after="80"/>
      </w:pPr>
      <w:r>
        <w:rPr>
          <w:i/>
          <w:sz w:val="20"/>
        </w:rPr>
        <w:t>EN: Local Charge Engineering Through Anion–Cation Co‐modulation for Multifunctional Programmable Electromagnetic Wave Attenuation</w:t>
      </w:r>
    </w:p>
    <w:p>
      <w:pPr>
        <w:spacing w:before="0" w:after="120"/>
      </w:pPr>
      <w:r>
        <w:rPr>
          <w:b/>
        </w:rPr>
        <w:t xml:space="preserve">Source: </w:t>
      </w:r>
      <w:r>
        <w:t>Wiley: Advanced Materials: Table of Contents</w:t>
      </w:r>
      <w:r>
        <w:t xml:space="preserve">    </w:t>
      </w:r>
      <w:r>
        <w:rPr>
          <w:b/>
        </w:rPr>
        <w:t xml:space="preserve">Pub date: </w:t>
      </w:r>
      <w:r>
        <w:t>2026-06-04 07:30:47+00:00</w:t>
      </w:r>
      <w:r>
        <w:t xml:space="preserve">    </w:t>
      </w:r>
      <w:r>
        <w:rPr>
          <w:b/>
        </w:rPr>
        <w:t xml:space="preserve">DOI: </w:t>
      </w:r>
      <w:hyperlink r:id="rId1086">
        <w:r>
          <w:rPr>
            <w:color w:val="1155CC"/>
            <w:u w:val="single"/>
          </w:rPr>
          <w:t>10.1002/adma.73625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具有可调响应的电磁波吸收 (EMWA) 材料对于复杂电磁环境中的操作至关重要。在这项研究中，引入了一种新颖的双离子共调制策略来克服传统 EMWA 材料的有限可控性。通过采用配位介导的凝胶相变方法，一系列过渡金属硫化物/硫氮共掺杂碳（M</w:t>
      </w:r>
      <w:r>
        <w:t xml:space="preserve"> </w:t>
      </w:r>
      <w:r>
        <w:t>x</w:t>
      </w:r>
      <w:r>
        <w:t xml:space="preserve"> </w:t>
      </w:r>
      <w:r>
        <w:t>S</w:t>
      </w:r>
      <w:r>
        <w:t xml:space="preserve"> </w:t>
      </w:r>
      <w:r>
        <w:t>y</w:t>
      </w:r>
      <w:r>
        <w:t xml:space="preserve"> </w:t>
      </w:r>
      <w:r>
        <w:t>/SNC，M = Fe、Co、Ni 或 Cu）气凝胶已成功制造。第一原理计算表明，N、S 共掺杂可调节碳基体的电子结构，增强局部电荷不平衡并促进偶极子极化，从而显着拓宽 EMWA 谱带。在 1.65 mm 处，有效吸收带宽几乎覆盖整个 Ku 波段。此外，电子配置的阳离子诱导调制能够精确调节内置电场和介电响应，从而产生可定制的吸收峰和带宽。所有样品均实现最小反射损耗（</w:t>
      </w:r>
      <w:r>
        <w:t xml:space="preserve"> </w:t>
      </w:r>
      <w:r>
        <w:t>RL</w:t>
      </w:r>
      <w:r>
        <w:t xml:space="preserve"> </w:t>
      </w:r>
      <w:r>
        <w:t>分钟</w:t>
      </w:r>
      <w:r>
        <w:t xml:space="preserve"> </w:t>
      </w:r>
      <w:r>
        <w:t>）低于−60 dB，其中</w:t>
      </w:r>
      <w:r>
        <w:t xml:space="preserve"> </w:t>
      </w:r>
      <w:r>
        <w:t>RL</w:t>
      </w:r>
      <w:r>
        <w:t xml:space="preserve"> </w:t>
      </w:r>
      <w:r>
        <w:t>分钟</w:t>
      </w:r>
      <w:r>
        <w:t xml:space="preserve"> </w:t>
      </w:r>
      <w:r>
        <w:t>根据金属离子的不同，峰值频率从 17.44 GHz 移动到 11.6、9.84 和 5.12 GHz。最后，低频天线和一对一</w:t>
      </w:r>
    </w:p>
    <w:p>
      <w:pPr>
        <w:spacing w:before="0" w:after="200" w:lineRule="auto" w:line="276"/>
      </w:pPr>
      <w:r>
        <w:rPr>
          <w:b/>
        </w:rPr>
        <w:t xml:space="preserve">Abstract (EN): </w:t>
      </w:r>
      <w:r>
        <w:t>Electromagnetic wave absorption (EMWA) materials with tunable responses are critically important for operation in complex electromagnetic environments. In this study, a novel dual‐ion co‐modulation strategy is introduced to overcome the limited controllability of conventional EMWA materials. By employing a coordination‐mediated gelation phase transformation approach, a series of transition metal sulfide/sulfur–nitrogen co‐doped carbon (M</w:t>
      </w:r>
      <w:r>
        <w:t xml:space="preserve"> </w:t>
      </w:r>
      <w:r>
        <w:t>x</w:t>
      </w:r>
      <w:r>
        <w:t xml:space="preserve"> </w:t>
      </w:r>
      <w:r>
        <w:t>S</w:t>
      </w:r>
      <w:r>
        <w:t xml:space="preserve"> </w:t>
      </w:r>
      <w:r>
        <w:t>y</w:t>
      </w:r>
      <w:r>
        <w:t xml:space="preserve"> </w:t>
      </w:r>
      <w:r>
        <w:t>/SNC, M = Fe, Co, Ni, or Cu) aerogels are successfully fabricated. First‐principles calculations demonstrate that N,S co‐doping tunes the electronic structure of the carbon matrix, enhancing local charge imbalance and promoting dipole polarization, which significantly broadens the EMWA band. At 1.65 mm, the effective absorption bandwidth almost covers the entire Ku band. Furthermore, cation‐induced modulation of the electronic configuration enables precise tuning of the built‐in electric field and dielectric response, resulting in customizable absorption peaks and bandwidths. All samples achieve a minimum reflection loss (</w:t>
      </w:r>
      <w:r>
        <w:t xml:space="preserve"> </w:t>
      </w:r>
      <w:r>
        <w:t>RL</w:t>
      </w:r>
      <w:r>
        <w:t xml:space="preserve"> </w:t>
      </w:r>
      <w:r>
        <w:t>min</w:t>
      </w:r>
      <w:r>
        <w:t xml:space="preserve"> </w:t>
      </w:r>
      <w:r>
        <w:t>) below −60 dB, with the</w:t>
      </w:r>
      <w:r>
        <w:t xml:space="preserve"> </w:t>
      </w:r>
      <w:r>
        <w:t>RL</w:t>
      </w:r>
      <w:r>
        <w:t xml:space="preserve"> </w:t>
      </w:r>
      <w:r>
        <w:t>min</w:t>
      </w:r>
      <w:r>
        <w:t xml:space="preserve"> </w:t>
      </w:r>
      <w:r>
        <w:t>peak frequency shifting from 17.44 GHz to 11.6, 9.84, and 5.12 GHz depending on the metal ion. Finally, a low‐frequency antenna and a one‐to‐two power divider are constructed, demonstrating strong application potential in the communications field. This study provides a new pathway for designing high‐performance, programmable EMWA systems and multifunctional materials.</w:t>
      </w:r>
    </w:p>
    <w:p>
      <w:pPr>
        <w:spacing w:before="120" w:after="120"/>
      </w:pPr>
      <w:r>
        <w:rPr>
          <w:sz w:val="18"/>
        </w:rPr>
        <w:t>——————————————————————————————————————————————————————————————————————</w:t>
      </w:r>
    </w:p>
    <w:p>
      <w:pPr>
        <w:spacing w:before="160" w:after="40" w:line="240" w:lineRule="auto"/>
      </w:pPr>
      <w:r>
        <w:rPr>
          <w:b/>
        </w:rPr>
        <w:t xml:space="preserve">[453] </w:t>
      </w:r>
      <w:hyperlink r:id="rId1087">
        <w:r>
          <w:rPr>
            <w:color w:val="1155CC"/>
            <w:u w:val="single"/>
          </w:rPr>
          <w:t>有机室温磷光生物应用的最新进展</w:t>
        </w:r>
      </w:hyperlink>
    </w:p>
    <w:p>
      <w:pPr>
        <w:spacing w:before="0" w:after="80"/>
      </w:pPr>
      <w:r>
        <w:rPr>
          <w:i/>
          <w:sz w:val="20"/>
        </w:rPr>
        <w:t>EN: Recent Advances of Organic Room Temperature Phosphorescence for Biological Applications</w:t>
      </w:r>
    </w:p>
    <w:p>
      <w:pPr>
        <w:spacing w:before="0" w:after="120"/>
      </w:pPr>
      <w:r>
        <w:rPr>
          <w:b/>
        </w:rPr>
        <w:t xml:space="preserve">Source: </w:t>
      </w:r>
      <w:r>
        <w:t>Wiley: Advanced Materials: Table of Contents</w:t>
      </w:r>
      <w:r>
        <w:t xml:space="preserve">    </w:t>
      </w:r>
      <w:r>
        <w:rPr>
          <w:b/>
        </w:rPr>
        <w:t xml:space="preserve">Pub date: </w:t>
      </w:r>
      <w:r>
        <w:t>2026-06-04 07:32:29+00:00</w:t>
      </w:r>
      <w:r>
        <w:t xml:space="preserve">    </w:t>
      </w:r>
      <w:r>
        <w:rPr>
          <w:b/>
        </w:rPr>
        <w:t xml:space="preserve">DOI: </w:t>
      </w:r>
      <w:hyperlink r:id="rId1088">
        <w:r>
          <w:rPr>
            <w:color w:val="1155CC"/>
            <w:u w:val="single"/>
          </w:rPr>
          <w:t>10.1002/adma.73594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室温磷光（RTP）材料因其优异的三线态激子利用率、大斯托克斯位移和长寿命发射而在有机发光二极管（OLED）、安全数据加密、化学传感、生物成像和闪烁领域引起了广泛关注。然而，传统的RTP系统主要以本体状态合成，导致固有的机械脆性和较差的水分散性，阻碍了它们融入复杂的生物环境。开发保持强烈三线态发射的高效纳米级有机磷光体仍然是一个艰巨的挑战。本综述全面概述了磷光纳米颗粒 (NP) 的制备方法，并阐明了为优化生物医学前沿 RTP 性能而定制的分子设计策略。具体来说，我们强调了它们在先进生物成像和光动力癌症治疗方面的变革潜力。最后，我们讨论了当前的瓶颈并对未来的进展进行了展望，旨在弥合基础分子设计和临床可转化性之间的差距。</w:t>
      </w:r>
    </w:p>
    <w:p>
      <w:pPr>
        <w:spacing w:before="0" w:after="200" w:lineRule="auto" w:line="276"/>
      </w:pPr>
      <w:r>
        <w:rPr>
          <w:b/>
        </w:rPr>
        <w:t xml:space="preserve">Abstract (EN): </w:t>
      </w:r>
      <w:r>
        <w:t>Organic room‐temperature phosphorescence (RTP) materials have attracted significant attention in the fields of organic light‐emitting diodes (OLEDs), secure data encryption, chemical sensing, bioimaging, and scintillation, driven by their superior triplet exciton utilization, large Stokes shifts, and long‐lived emission. However, traditional RTP systems are predominantly synthesized in the bulk state, resulting in inherent mechanical brittleness and poor aqueous dispersibility that impede their integration into complex biological environments. Developing high‐efficiency nanoscale organic phosphors that maintain intense triplet emission remains a formidable challenge. This review provides a comprehensive overview of prepared methods for phosphorescent nanoparticles (NPs) and elucidates molecular design strategies tailored to optimize RTP performance for biomedical frontiers. Specifically, we highlight their transformative potential in advanced bioimaging and photodynamic cancer therapy. Finally, we discuss current bottlenecks and offer a prospective outlook on future advancements, aiming to bridge the gap between fundamental molecular design and clinical translatability.</w:t>
      </w:r>
    </w:p>
    <w:p>
      <w:pPr>
        <w:spacing w:before="120" w:after="120"/>
      </w:pPr>
      <w:r>
        <w:rPr>
          <w:sz w:val="18"/>
        </w:rPr>
        <w:t>——————————————————————————————————————————————————————————————————————</w:t>
      </w:r>
    </w:p>
    <w:p>
      <w:pPr>
        <w:spacing w:before="160" w:after="40" w:line="240" w:lineRule="auto"/>
      </w:pPr>
      <w:r>
        <w:rPr>
          <w:b/>
        </w:rPr>
        <w:t xml:space="preserve">[454] </w:t>
      </w:r>
      <w:hyperlink r:id="rId1089">
        <w:r>
          <w:rPr>
            <w:color w:val="1155CC"/>
            <w:u w:val="single"/>
          </w:rPr>
          <w:t>用于圆偏振辐射发光成像的手性碘化铜簇闪烁体中的光致结构弛豫</w:t>
        </w:r>
      </w:hyperlink>
    </w:p>
    <w:p>
      <w:pPr>
        <w:spacing w:before="0" w:after="80"/>
      </w:pPr>
      <w:r>
        <w:rPr>
          <w:i/>
          <w:sz w:val="20"/>
        </w:rPr>
        <w:t>EN: Photoinduced Structural Relaxation in Chiral Copper(l) Iodide Cluster Scintillators for Circularly Polarized Radioluminescence Imaging</w:t>
      </w:r>
    </w:p>
    <w:p>
      <w:pPr>
        <w:spacing w:before="0" w:after="120"/>
      </w:pPr>
      <w:r>
        <w:rPr>
          <w:b/>
        </w:rPr>
        <w:t xml:space="preserve">Source: </w:t>
      </w:r>
      <w:r>
        <w:t>Wiley: Advanced Materials: Table of Contents</w:t>
      </w:r>
      <w:r>
        <w:t xml:space="preserve">    </w:t>
      </w:r>
      <w:r>
        <w:rPr>
          <w:b/>
        </w:rPr>
        <w:t xml:space="preserve">Pub date: </w:t>
      </w:r>
      <w:r>
        <w:t>2026-06-04 07:33:13+00:00</w:t>
      </w:r>
      <w:r>
        <w:t xml:space="preserve">    </w:t>
      </w:r>
      <w:r>
        <w:rPr>
          <w:b/>
        </w:rPr>
        <w:t xml:space="preserve">DOI: </w:t>
      </w:r>
      <w:hyperlink r:id="rId1090">
        <w:r>
          <w:rPr>
            <w:color w:val="1155CC"/>
            <w:u w:val="single"/>
          </w:rPr>
          <w:t>10.1002/adma.73604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圆偏振发光通过抑制光学串扰来增强 X 射线成像分辨率，提供了尚未开发的潜力，但其与高性能闪烁体的集成仍未得到探索。在这里，我们报告了一类新型手性卤化铜(I)闪烁体，包括对映体纯R-/S-3-MLCuI（3-ML代表3-甲基吗啉）圆偏振闪烁体和外消旋Rac-3-MLCuI闪烁体。战略性对映异构体选择能够精确控制晶体对称性——手性 P4</w:t>
      </w:r>
      <w:r>
        <w:rPr>
          <w:vertAlign w:val="subscript"/>
        </w:rPr>
        <w:t>2</w:t>
      </w:r>
      <w:r>
        <w:rPr>
          <w:vertAlign w:val="subscript"/>
        </w:rPr>
        <w:t>2</w:t>
      </w:r>
      <w:r>
        <w:rPr>
          <w:vertAlign w:val="subscript"/>
        </w:rPr>
        <w:t>1</w:t>
      </w:r>
      <w:r>
        <w:t>2 与中心对称 C2/c — 决定手性光学活性。结合 TD-DFT、原位 XAS 和超快光谱，我们阐明了发射源自限制在离散 [Cu</w:t>
      </w:r>
      <w:r>
        <w:rPr>
          <w:vertAlign w:val="subscript"/>
        </w:rPr>
        <w:t>4</w:t>
      </w:r>
      <w:r>
        <w:t>我</w:t>
      </w:r>
      <w:r>
        <w:rPr>
          <w:vertAlign w:val="subscript"/>
        </w:rPr>
        <w:t>4</w:t>
      </w:r>
      <w:r>
        <w:t>] 核心，其中明显的激发态 Cu─Cu 收缩和 Cu─I 伸长引起强烈的激子-声子耦合。同手性配体环境赋予持久的手性印记，产生 |g</w:t>
      </w:r>
      <w:r>
        <w:t xml:space="preserve"> </w:t>
      </w:r>
      <w:r>
        <w:t>卢姆</w:t>
      </w:r>
      <w:r>
        <w:t xml:space="preserve"> </w:t>
      </w:r>
      <w:r>
        <w:t>|值高达 1.0 × 10</w:t>
      </w:r>
      <w:r>
        <w:t xml:space="preserve"> </w:t>
      </w:r>
      <w:r>
        <w:t>−2</w:t>
      </w:r>
      <w:r>
        <w:t xml:space="preserve"> </w:t>
      </w:r>
      <w:r>
        <w:t>。该材料表现出创纪录的光产额（58 000 个光子·MeV</w:t>
      </w:r>
      <w:r>
        <w:t xml:space="preserve"> </w:t>
      </w:r>
      <w:r>
        <w:t>−1</w:t>
      </w:r>
      <w:r>
        <w:t xml:space="preserve"> </w:t>
      </w:r>
      <w:r>
        <w:t>）、卓越的 X 射线稳定性（115 Gy 后保留 &gt;99%）和超低检测限（78.9 n Gy）</w:t>
      </w:r>
      <w:r>
        <w:t xml:space="preserve"> </w:t>
      </w:r>
      <w:r>
        <w:t>空气</w:t>
      </w:r>
      <w:r>
        <w:t xml:space="preserve"> </w:t>
      </w:r>
      <w:r>
        <w:t>•s</w:t>
      </w:r>
      <w:r>
        <w:t xml:space="preserve"> </w:t>
      </w:r>
      <w:r>
        <w:t>−1</w:t>
      </w:r>
      <w:r>
        <w:t xml:space="preserve"> </w:t>
      </w:r>
      <w:r>
        <w:t>）。柔性S-3-MLCuI@TPU</w:t>
      </w:r>
    </w:p>
    <w:p>
      <w:pPr>
        <w:spacing w:before="0" w:after="200" w:lineRule="auto" w:line="276"/>
      </w:pPr>
      <w:r>
        <w:rPr>
          <w:b/>
        </w:rPr>
        <w:t xml:space="preserve">Abstract (EN): </w:t>
      </w:r>
      <w:r>
        <w:t>Circularly polarized luminescence offers untapped potential for enhancing x‐ray imaging resolution by suppressing optical crosstalk, yet its integration into high‐performance scintillators remains unexplored. Here we report a new class of chiral copper(I) halide scintillators, including enantiopure R‑/S‑3‑MLCuI (3‐ML represents 3‐methylmorpholine) circularly polarized scintillators and racemic Rac‑3‑MLCuI scintillators. Strategic enantiomer selection enables precise control over crystal symmetry—chiral P4</w:t>
      </w:r>
      <w:r>
        <w:rPr>
          <w:vertAlign w:val="subscript"/>
        </w:rPr>
        <w:t>2</w:t>
      </w:r>
      <w:r>
        <w:rPr>
          <w:vertAlign w:val="subscript"/>
        </w:rPr>
        <w:t>2</w:t>
      </w:r>
      <w:r>
        <w:rPr>
          <w:vertAlign w:val="subscript"/>
        </w:rPr>
        <w:t>1</w:t>
      </w:r>
      <w:r>
        <w:t>2 vs. centrosymmetric C2/c—dictating chiroptical activity. Combining TD‐DFT, in situ XAS, and ultrafast spectroscopy, we elucidate that emission originates from cluster‐centered self‐trapped excitons confined within discrete [Cu</w:t>
      </w:r>
      <w:r>
        <w:rPr>
          <w:vertAlign w:val="subscript"/>
        </w:rPr>
        <w:t>4</w:t>
      </w:r>
      <w:r>
        <w:t>I</w:t>
      </w:r>
      <w:r>
        <w:rPr>
          <w:vertAlign w:val="subscript"/>
        </w:rPr>
        <w:t>4</w:t>
      </w:r>
      <w:r>
        <w:t>] cores, where pronounced excited‐state Cu─Cu contraction and Cu─I elongation induce strong exciton‐phonon coupling. Homochiral ligand environments impart persistent chiral imprinting, yielding |g</w:t>
      </w:r>
      <w:r>
        <w:t xml:space="preserve"> </w:t>
      </w:r>
      <w:r>
        <w:t>lum</w:t>
      </w:r>
      <w:r>
        <w:t xml:space="preserve"> </w:t>
      </w:r>
      <w:r>
        <w:t>| values up to 1.0 × 10</w:t>
      </w:r>
      <w:r>
        <w:t xml:space="preserve"> </w:t>
      </w:r>
      <w:r>
        <w:t>−2</w:t>
      </w:r>
      <w:r>
        <w:t xml:space="preserve"> </w:t>
      </w:r>
      <w:r>
        <w:t>. The materials exhibit record light yields (58 000 photons•MeV</w:t>
      </w:r>
      <w:r>
        <w:t xml:space="preserve"> </w:t>
      </w:r>
      <w:r>
        <w:t>−1</w:t>
      </w:r>
      <w:r>
        <w:t xml:space="preserve"> </w:t>
      </w:r>
      <w:r>
        <w:t>), exceptional x‐ray stability (&amp;gt;99% retention after 115 Gy), and ultra‐low detection limits (78.9 n Gy</w:t>
      </w:r>
      <w:r>
        <w:t xml:space="preserve"> </w:t>
      </w:r>
      <w:r>
        <w:t>air</w:t>
      </w:r>
      <w:r>
        <w:t xml:space="preserve"> </w:t>
      </w:r>
      <w:r>
        <w:t>•s</w:t>
      </w:r>
      <w:r>
        <w:t xml:space="preserve"> </w:t>
      </w:r>
      <w:r>
        <w:t>−1</w:t>
      </w:r>
      <w:r>
        <w:t xml:space="preserve"> </w:t>
      </w:r>
      <w:r>
        <w:t>). A flexible S‐3‐MLCuI@TPU film incorporating polarization‐gated imaging achieves 21.2 lp/mm resolution—significantly surpassing conventional scintillators by suppressing optical crosstalk. High‑fidelity x‑ray imaging of complex biological and electronic structures is demonstrated. This work provides a structure–property relationship that enables circularly polarized scintillation in chiral copper–iodide clusters, offering insights for further development of related systems.</w:t>
      </w:r>
    </w:p>
    <w:p>
      <w:pPr>
        <w:spacing w:before="120" w:after="120"/>
      </w:pPr>
      <w:r>
        <w:rPr>
          <w:sz w:val="18"/>
        </w:rPr>
        <w:t>——————————————————————————————————————————————————————————————————————</w:t>
      </w:r>
    </w:p>
    <w:p>
      <w:pPr>
        <w:spacing w:before="160" w:after="40" w:line="240" w:lineRule="auto"/>
      </w:pPr>
      <w:r>
        <w:rPr>
          <w:b/>
        </w:rPr>
        <w:t xml:space="preserve">[455] </w:t>
      </w:r>
      <w:hyperlink r:id="rId1091">
        <w:r>
          <w:rPr>
            <w:color w:val="1155CC"/>
            <w:u w:val="single"/>
          </w:rPr>
          <w:t>非富勒烯受体光电荷在 90% 拉伸应变和 30% 应变循环下具有可拉伸光伏稳定性</w:t>
        </w:r>
      </w:hyperlink>
    </w:p>
    <w:p>
      <w:pPr>
        <w:spacing w:before="0" w:after="80"/>
      </w:pPr>
      <w:r>
        <w:rPr>
          <w:i/>
          <w:sz w:val="20"/>
        </w:rPr>
        <w:t>EN: Non‐Fullerene Acceptor Photo‐Charge Enabled Stretchable Photovoltaic Robustness Under 90% Tensile Strain and 30% Strain Cycles</w:t>
      </w:r>
    </w:p>
    <w:p>
      <w:pPr>
        <w:spacing w:before="0" w:after="120"/>
      </w:pPr>
      <w:r>
        <w:rPr>
          <w:b/>
        </w:rPr>
        <w:t xml:space="preserve">Source: </w:t>
      </w:r>
      <w:r>
        <w:t>Wiley: Advanced Materials: Table of Contents</w:t>
      </w:r>
      <w:r>
        <w:t xml:space="preserve">    </w:t>
      </w:r>
      <w:r>
        <w:rPr>
          <w:b/>
        </w:rPr>
        <w:t xml:space="preserve">Pub date: </w:t>
      </w:r>
      <w:r>
        <w:t>2026-06-04 07:44:09+00:00</w:t>
      </w:r>
      <w:r>
        <w:t xml:space="preserve">    </w:t>
      </w:r>
      <w:r>
        <w:rPr>
          <w:b/>
        </w:rPr>
        <w:t xml:space="preserve">DOI: </w:t>
      </w:r>
      <w:hyperlink r:id="rId1092">
        <w:r>
          <w:rPr>
            <w:color w:val="1155CC"/>
            <w:u w:val="single"/>
          </w:rPr>
          <w:t>10.1002/adma.73632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可拉伸有机太阳能电池（s-OSC）在可穿戴电子产品中很有前景，但在变形时性能会下降。我们通过利用非富勒烯受体（NFA）中大量光电荷产生的特性来改善这种情况。由于其对共混物形态的依赖性较弱，体光电荷产生途径有助于减轻弹性体稀释光敏层中激子利用率的损失。通过π-π四极矩分子描述符（Q</w:t>
      </w:r>
      <w:r>
        <w:t xml:space="preserve"> </w:t>
      </w:r>
      <w:r>
        <w:t>ZZ</w:t>
      </w:r>
      <w:r>
        <w:t xml:space="preserve"> </w:t>
      </w:r>
      <w:r>
        <w:t>）并通过随后对单组件器件的光伏性能测量确定，AQx-2F是从130种具有优异的体光电荷生成能力的NFA中选出的。通过顺序沉积 (SD) 结合 SEEPS 赋予高断裂应变 (ε</w:t>
      </w:r>
      <w:r>
        <w:t xml:space="preserve"> </w:t>
      </w:r>
      <w:r>
        <w:t>f</w:t>
      </w:r>
      <w:r>
        <w:t xml:space="preserve"> </w:t>
      </w:r>
      <w:r>
        <w:t>）在光活性层中为185%。利用这一优势，s-OSC 的功率转换效率 (PCE) 达到 9.8%，并具有创纪录的光伏稳健性。无论是在 90% 的高拉伸应变下，还是在 30% 应变下进行 1000 次拉伸-释放循环后，它都保留了超过 80% 的初始 PCE。这种光敏层还可以实现柔性半透明OSC（FST-OSC），其光利用效率（LUE）可与刚性器件相媲美，同时保持机械稳定性。这项工作植根于有机光伏材料的新兴光物理学，为光伏稳健的 s-OSC 建立了一种新策略。</w:t>
      </w:r>
    </w:p>
    <w:p>
      <w:pPr>
        <w:spacing w:before="0" w:after="200" w:lineRule="auto" w:line="276"/>
      </w:pPr>
      <w:r>
        <w:rPr>
          <w:b/>
        </w:rPr>
        <w:t xml:space="preserve">Abstract (EN): </w:t>
      </w:r>
      <w:r>
        <w:t>Stretchable organic solar cells (s‐OSCs) are promising for wearable electronics but suffer from performance degradation under deformation. We improve this situation by leveraging the property of bulk photo‐charge generation in non‐fullerene acceptors (NFAs). Due to its weak dependence on blend morphology, the bulk photo‐charge generation pathway helps alleviate the exciton utilization loss in elastomer‐diluted photoactive layer. Screened by the molecular descriptor of π‐π quadrupole moment (Q</w:t>
      </w:r>
      <w:r>
        <w:t xml:space="preserve"> </w:t>
      </w:r>
      <w:r>
        <w:t>ZZ</w:t>
      </w:r>
      <w:r>
        <w:t xml:space="preserve"> </w:t>
      </w:r>
      <w:r>
        <w:t>) and identified by the subsequent photovoltaic performance measurements on single‐component device, AQx‐2F is selected from 130 NFAs with superior bulk photo‐charge generation capability. Incorporating SEEPS via sequential deposition (SD) confers a high fracture strain (ε</w:t>
      </w:r>
      <w:r>
        <w:t xml:space="preserve"> </w:t>
      </w:r>
      <w:r>
        <w:t>f</w:t>
      </w:r>
      <w:r>
        <w:t xml:space="preserve"> </w:t>
      </w:r>
      <w:r>
        <w:t>) of 185% in the photoactive layer. Taking advantage of it, the s‐OSC exhibits a power conversion efficiency (PCE) of 9.8% with record photovoltaic robustness. It retains over 80% of its initial PCE both under a high tensile strain of 90% and after 1000 stretching‐releasing cycles at 30% strain. This photoactive layer also enables a flexible semi‐transparent OSC (FST‐OSC) that achieves the light utilization efficiency (LUE) comparable to rigid devices while maintaining mechanical stability. Rooted in emerging photo‐physics of organic photovoltaic materials, this work establishes a new strategy for photovoltaic robust s‐OSCs.</w:t>
      </w:r>
    </w:p>
    <w:p>
      <w:pPr>
        <w:spacing w:before="120" w:after="120"/>
      </w:pPr>
      <w:r>
        <w:rPr>
          <w:sz w:val="18"/>
        </w:rPr>
        <w:t>——————————————————————————————————————————————————————————————————————</w:t>
      </w:r>
    </w:p>
    <w:p>
      <w:pPr>
        <w:spacing w:before="160" w:after="40" w:line="240" w:lineRule="auto"/>
      </w:pPr>
      <w:r>
        <w:rPr>
          <w:b/>
        </w:rPr>
        <w:t xml:space="preserve">[456] </w:t>
      </w:r>
      <w:hyperlink r:id="rId1093">
        <w:r>
          <w:rPr>
            <w:color w:val="1155CC"/>
            <w:u w:val="single"/>
          </w:rPr>
          <w:t>不对称氧桥：增强催化的统一设计框架</w:t>
        </w:r>
      </w:hyperlink>
    </w:p>
    <w:p>
      <w:pPr>
        <w:spacing w:before="0" w:after="80"/>
      </w:pPr>
      <w:r>
        <w:rPr>
          <w:i/>
          <w:sz w:val="20"/>
        </w:rPr>
        <w:t>EN: Asymmetric Oxygen Bridges: A Unified Design Framework for Enhanced Catalysis</w:t>
      </w:r>
    </w:p>
    <w:p>
      <w:pPr>
        <w:spacing w:before="0" w:after="120"/>
      </w:pPr>
      <w:r>
        <w:rPr>
          <w:b/>
        </w:rPr>
        <w:t xml:space="preserve">Source: </w:t>
      </w:r>
      <w:r>
        <w:t>Wiley: Advanced Materials: Table of Contents</w:t>
      </w:r>
      <w:r>
        <w:t xml:space="preserve">    </w:t>
      </w:r>
      <w:r>
        <w:rPr>
          <w:b/>
        </w:rPr>
        <w:t xml:space="preserve">Pub date: </w:t>
      </w:r>
      <w:r>
        <w:t>2026-06-04 07:45:45+00:00</w:t>
      </w:r>
      <w:r>
        <w:t xml:space="preserve">    </w:t>
      </w:r>
      <w:r>
        <w:rPr>
          <w:b/>
        </w:rPr>
        <w:t xml:space="preserve">DOI: </w:t>
      </w:r>
      <w:hyperlink r:id="rId1094">
        <w:r>
          <w:rPr>
            <w:color w:val="1155CC"/>
            <w:u w:val="single"/>
          </w:rPr>
          <w:t>10.1002/adma.73596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由不对称金属组成的不对称氧桥（AOB）</w:t>
      </w:r>
      <w:r>
        <w:rPr>
          <w:vertAlign w:val="subscript"/>
        </w:rPr>
        <w:t>1</w:t>
      </w:r>
      <w:r>
        <w:t>-氧-金属</w:t>
      </w:r>
      <w:r>
        <w:rPr>
          <w:vertAlign w:val="subscript"/>
        </w:rPr>
        <w:t>2</w:t>
      </w:r>
      <w:r>
        <w:t>（米</w:t>
      </w:r>
      <w:r>
        <w:rPr>
          <w:vertAlign w:val="subscript"/>
        </w:rPr>
        <w:t>1</w:t>
      </w:r>
      <w:r>
        <w:t>‐O‐M</w:t>
      </w:r>
      <w:r>
        <w:rPr>
          <w:vertAlign w:val="subscript"/>
        </w:rPr>
        <w:t>2</w:t>
      </w:r>
      <w:r>
        <w:t>）具有内在的电子和几何不对称性，在多相催化领域引起了广泛关注。内在的不对称配位会引起独特且可控的界面电荷极化，这最近激发了新颖的设计概念，以实现改善的结构-活性关系。然而，充分发挥它们的潜力需要一个系统的框架来统一设计原则。本综述系统地介绍了由氧桥金属位点的不同价态、离子半径和电负性产生的 AOB 的独特特性。通过宏观功能分析原子尺度电荷极化与晶格应变之间的构效关系，阐明了异核AOB、同核异价AOB、杂原子修饰AOB和动态可调AOB等类别的AOB的增强机制。这些见解将为理解催化机制、高效催化剂的设计和开发更高效的能源转换技术提供新的机会。</w:t>
      </w:r>
    </w:p>
    <w:p>
      <w:pPr>
        <w:spacing w:before="0" w:after="200" w:lineRule="auto" w:line="276"/>
      </w:pPr>
      <w:r>
        <w:rPr>
          <w:b/>
        </w:rPr>
        <w:t xml:space="preserve">Abstract (EN): </w:t>
      </w:r>
      <w:r>
        <w:t>The asymmetric oxygen bridges (AOBs), composed of asymmetric Metal</w:t>
      </w:r>
      <w:r>
        <w:rPr>
          <w:vertAlign w:val="subscript"/>
        </w:rPr>
        <w:t>1</w:t>
      </w:r>
      <w:r>
        <w:t>‐Oxygen‐Metal</w:t>
      </w:r>
      <w:r>
        <w:rPr>
          <w:vertAlign w:val="subscript"/>
        </w:rPr>
        <w:t>2</w:t>
      </w:r>
      <w:r>
        <w:t>(M</w:t>
      </w:r>
      <w:r>
        <w:rPr>
          <w:vertAlign w:val="subscript"/>
        </w:rPr>
        <w:t>1</w:t>
      </w:r>
      <w:r>
        <w:t>‐O‐M</w:t>
      </w:r>
      <w:r>
        <w:rPr>
          <w:vertAlign w:val="subscript"/>
        </w:rPr>
        <w:t>2</w:t>
      </w:r>
      <w:r>
        <w:t>) with intrinsic electronic and geometric asymmetry, have gained significant attention in heterogeneous catalysis. The intrinsic asymmetric coordination induces unique and controllable interfacial charge polarization, which have recently inspired novel design concepts to achieve improved structure‐activity relationships. However, fully exploiting their potential requires a systematic framework to unify design principles. This review systematically presents the unique characteristics of AOBs originated by the different valence states, ionic radius and electronegativities of oxygen bridged metal sites. By analyzing the structure‐activity relationship between atomic‐scale charge polarization and lattice strain with macroscopic functionality, the enhancing mechanisms of AOBs from categories including heteronuclear AOBs, homonuclear hetero‐valent AOBs, heteroatoms modified AOBs and dynamically tunable AOBs is illustrated. These insights will provide new opportunities for understanding of catalytic mechanisms, the design of highly efficient catalysts and the development of more efficient energy conversion technologies.</w:t>
      </w:r>
    </w:p>
    <w:p>
      <w:pPr>
        <w:spacing w:before="120" w:after="120"/>
      </w:pPr>
      <w:r>
        <w:rPr>
          <w:sz w:val="18"/>
        </w:rPr>
        <w:t>——————————————————————————————————————————————————————————————————————</w:t>
      </w:r>
    </w:p>
    <w:p>
      <w:pPr>
        <w:spacing w:before="160" w:after="40" w:line="240" w:lineRule="auto"/>
      </w:pPr>
      <w:r>
        <w:rPr>
          <w:b/>
        </w:rPr>
        <w:t xml:space="preserve">[457] </w:t>
      </w:r>
      <w:hyperlink r:id="rId1095">
        <w:r>
          <w:rPr>
            <w:color w:val="1155CC"/>
            <w:u w:val="single"/>
          </w:rPr>
          <w:t>镁基热电学的进展：批判性评论</w:t>
        </w:r>
      </w:hyperlink>
    </w:p>
    <w:p>
      <w:pPr>
        <w:spacing w:before="0" w:after="80"/>
      </w:pPr>
      <w:r>
        <w:rPr>
          <w:i/>
          <w:sz w:val="20"/>
        </w:rPr>
        <w:t>EN: Advances in Magnesium‐Based Thermoelectrics: A Critical Review</w:t>
      </w:r>
    </w:p>
    <w:p>
      <w:pPr>
        <w:spacing w:before="0" w:after="120"/>
      </w:pPr>
      <w:r>
        <w:rPr>
          <w:b/>
        </w:rPr>
        <w:t xml:space="preserve">Source: </w:t>
      </w:r>
      <w:r>
        <w:t>Wiley: Advanced Materials: Table of Contents</w:t>
      </w:r>
      <w:r>
        <w:t xml:space="preserve">    </w:t>
      </w:r>
      <w:r>
        <w:rPr>
          <w:b/>
        </w:rPr>
        <w:t xml:space="preserve">Pub date: </w:t>
      </w:r>
      <w:r>
        <w:t>2026-06-04 07:45:48+00:00</w:t>
      </w:r>
      <w:r>
        <w:t xml:space="preserve">    </w:t>
      </w:r>
      <w:r>
        <w:rPr>
          <w:b/>
        </w:rPr>
        <w:t xml:space="preserve">DOI: </w:t>
      </w:r>
      <w:hyperlink r:id="rId1096">
        <w:r>
          <w:rPr>
            <w:color w:val="1155CC"/>
            <w:u w:val="single"/>
          </w:rPr>
          <w:t>10.1002/adma.73493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镁基热电材料因其元素丰富、材料成本低、环境相容性好以及在中低温度范围内具有竞争力的热电性能而成为大规模应用的重点研究方向。鉴于该领域取得的快速进展，本文系统地调查了三类代表性镁基热电材料的最新进展：</w:t>
      </w:r>
      <w:r>
        <w:rPr>
          <w:vertAlign w:val="subscript"/>
        </w:rPr>
        <w:t>3</w:t>
      </w:r>
      <w:r>
        <w:t>X</w:t>
      </w:r>
      <w:r>
        <w:rPr>
          <w:vertAlign w:val="subscript"/>
        </w:rPr>
        <w:t>2</w:t>
      </w:r>
      <w:r>
        <w:t>(X = Sb、Bi)、MgAgSb 和 Mg</w:t>
      </w:r>
      <w:r>
        <w:rPr>
          <w:vertAlign w:val="subscript"/>
        </w:rPr>
        <w:t>2</w:t>
      </w:r>
      <w:r>
        <w:t>X（X=Si、Ge、Sn）。重点放在它们的晶体结构和电子能带特征、声子传输行为和载流子散射机制上，同时讨论了体和薄膜制造策略及其对热电性能的影响。总结了通过载流子浓度调节、能带工程、微观结构设计和界面工程进行性能优化的共性和独特特征。此外，还严格评估了与化学和热稳定性以及器件集成相关的关键挑战，并系统地审查了器件级设计原则，例如电极接触、扩散阻挡层和衬底选择。最后，考虑到目前的物理和工程瓶颈，镁基热电毡未来发展的几个关键方向</w:t>
      </w:r>
    </w:p>
    <w:p>
      <w:pPr>
        <w:spacing w:before="0" w:after="200" w:lineRule="auto" w:line="276"/>
      </w:pPr>
      <w:r>
        <w:rPr>
          <w:b/>
        </w:rPr>
        <w:t xml:space="preserve">Abstract (EN): </w:t>
      </w:r>
      <w:r>
        <w:t>In recent years, magnesium‐based thermoelectric materials have emerged as a key research direction toward large‐scale applications, owing to their elemental abundance, low material cost, good environmental compatibility, and competitive thermoelectric performance in the low‐to‐mid temperature range. Given the rapid progress achieved in this field, this review systematically surveys the latest advances in three representative classes of magnesium‐based thermoelectric materials: Mg</w:t>
      </w:r>
      <w:r>
        <w:rPr>
          <w:vertAlign w:val="subscript"/>
        </w:rPr>
        <w:t>3</w:t>
      </w:r>
      <w:r>
        <w:t>X</w:t>
      </w:r>
      <w:r>
        <w:rPr>
          <w:vertAlign w:val="subscript"/>
        </w:rPr>
        <w:t>2</w:t>
      </w:r>
      <w:r>
        <w:t>(X = Sb, Bi), MgAgSb, and Mg</w:t>
      </w:r>
      <w:r>
        <w:rPr>
          <w:vertAlign w:val="subscript"/>
        </w:rPr>
        <w:t>2</w:t>
      </w:r>
      <w:r>
        <w:t>X (X = Si, Ge, Sn). Emphasis is placed on their crystal structures and electronic band features, phonon transport behavior, and carrier scattering mechanisms, together with a discussion of bulk and thin‐film fabrication strategies and their impacts on thermoelectric performance. Commonalities and distinct characteristics of performance optimization through carrier concentration tuning, band engineering, microstructural design, and interface engineering are summarized. Furthermore, key challenges associated with chemical and thermal stability as well as device integration are critically assessed, and device‐level design principles such as electrode contacting, diffusion barrier layers, and substrate selection are systematically reviewed. Finally, considering the current physical and engineering bottlenecks, several critical directions for the future development of magnesium‐based thermoelectric materials are proposed, highlighting the importance of a paradigm shift from “material‐level performance optimization” toward “material‐device‐system co‐design” to accelerate their practical deployment.</w:t>
      </w:r>
    </w:p>
    <w:p>
      <w:pPr>
        <w:spacing w:before="120" w:after="120"/>
      </w:pPr>
      <w:r>
        <w:rPr>
          <w:sz w:val="18"/>
        </w:rPr>
        <w:t>——————————————————————————————————————————————————————————————————————</w:t>
      </w:r>
    </w:p>
    <w:p>
      <w:pPr>
        <w:spacing w:before="160" w:after="40" w:line="240" w:lineRule="auto"/>
      </w:pPr>
      <w:r>
        <w:rPr>
          <w:b/>
        </w:rPr>
        <w:t xml:space="preserve">[458] </w:t>
      </w:r>
      <w:hyperlink r:id="rId1097">
        <w:r>
          <w:rPr>
            <w:color w:val="1155CC"/>
            <w:u w:val="single"/>
          </w:rPr>
          <w:t>NiOx 上超声辅助两性离子接枝抑制钙钛矿太阳能电池中自组装单层迁移</w:t>
        </w:r>
      </w:hyperlink>
    </w:p>
    <w:p>
      <w:pPr>
        <w:spacing w:before="0" w:after="80"/>
      </w:pPr>
      <w:r>
        <w:rPr>
          <w:i/>
          <w:sz w:val="20"/>
        </w:rPr>
        <w:t>EN: Ultrasound‐Assisted Zwitterion Grafting on NiOx for Suppressing Self‐Assembled Monolayer Migration in Perovskite Solar Cells</w:t>
      </w:r>
    </w:p>
    <w:p>
      <w:pPr>
        <w:spacing w:before="0" w:after="120"/>
      </w:pPr>
      <w:r>
        <w:rPr>
          <w:b/>
        </w:rPr>
        <w:t xml:space="preserve">Source: </w:t>
      </w:r>
      <w:r>
        <w:t>Wiley: Advanced Materials: Table of Contents</w:t>
      </w:r>
      <w:r>
        <w:t xml:space="preserve">    </w:t>
      </w:r>
      <w:r>
        <w:rPr>
          <w:b/>
        </w:rPr>
        <w:t xml:space="preserve">Pub date: </w:t>
      </w:r>
      <w:r>
        <w:t>2026-06-04 07:46:37+00:00</w:t>
      </w:r>
      <w:r>
        <w:t xml:space="preserve">    </w:t>
      </w:r>
      <w:r>
        <w:rPr>
          <w:b/>
        </w:rPr>
        <w:t xml:space="preserve">DOI: </w:t>
      </w:r>
      <w:hyperlink r:id="rId1098">
        <w:r>
          <w:rPr>
            <w:color w:val="1155CC"/>
            <w:u w:val="single"/>
          </w:rPr>
          <w:t>10.1002/adma.73572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自组装单层（SAM）广泛用作倒置钙钛矿太阳能电池（PSC）中的空穴选择性材料，但其性能和稳定性往往受到分子有序性差和界面不相容性的限制。在这里，我们提出了一种新颖的超声化学策略来功能化 NiO</w:t>
      </w:r>
      <w:r>
        <w:t xml:space="preserve"> </w:t>
      </w:r>
      <w:r>
        <w:t>x</w:t>
      </w:r>
      <w:r>
        <w:t xml:space="preserve"> </w:t>
      </w:r>
      <w:r>
        <w:t>通过锚定哌嗪-1,4-二乙磺酸（PIPES）两性离子分子来形成纳米颗粒。超声波空化产生羟基自由基，氧化镍</w:t>
      </w:r>
      <w:r>
        <w:rPr>
          <w:vertAlign w:val="subscript"/>
        </w:rPr>
        <w:t>2</w:t>
      </w:r>
      <w:r>
        <w:t>+</w:t>
      </w:r>
      <w:r>
        <w:t xml:space="preserve"> </w:t>
      </w:r>
      <w:r>
        <w:t>对尼</w:t>
      </w:r>
      <w:r>
        <w:rPr>
          <w:vertAlign w:val="subscript"/>
        </w:rPr>
        <w:t>3</w:t>
      </w:r>
      <w:r>
        <w:t>+</w:t>
      </w:r>
      <w:r>
        <w:t xml:space="preserve"> </w:t>
      </w:r>
      <w:r>
        <w:t>，增强NiO的导电性和空穴迁移率</w:t>
      </w:r>
      <w:r>
        <w:t xml:space="preserve"> </w:t>
      </w:r>
      <w:r>
        <w:t>x</w:t>
      </w:r>
      <w:r>
        <w:t xml:space="preserve"> </w:t>
      </w:r>
      <w:r>
        <w:t>。 PIPES暴露的磺酸基团进一步促进后续SAM层的均匀组装和氢键锚定[(4-(9'-苯基-9H,9'H-[3,3'-联咔唑]-9-基)丁基)膦酸，4PABCz]。这种集成的 NiO</w:t>
      </w:r>
      <w:r>
        <w:t xml:space="preserve"> </w:t>
      </w:r>
      <w:r>
        <w:t>x</w:t>
      </w:r>
      <w:r>
        <w:t xml:space="preserve"> </w:t>
      </w:r>
      <w:r>
        <w:t>+PIPES/4PABCz 空穴传输层促进更强的偶极子形成和界面极化，促进电荷分离和传输。因此，优化后的器件实现了 27.03% 的冠军功率转换效率 (PCE)（经认证的稳态效率为 26.47%）。值得注意的是，这些器件表现出卓越的工作稳定性和热稳定性，在 85°C 下连续照明 1000 小时后，其初始 PCE 保持在 88.2%；在 85°C 下热老化 1200 小时后，保持了 91.0%。这w</w:t>
      </w:r>
    </w:p>
    <w:p>
      <w:pPr>
        <w:spacing w:before="0" w:after="200" w:lineRule="auto" w:line="276"/>
      </w:pPr>
      <w:r>
        <w:rPr>
          <w:b/>
        </w:rPr>
        <w:t xml:space="preserve">Abstract (EN): </w:t>
      </w:r>
      <w:r>
        <w:t>Self‐assembled monolayers (SAMs) are widely used as hole‐selective materials in inverted perovskite solar cells (PSCs), yet their performance and stability are often limited by poor molecular ordering and interfacial incompatibility. Here, we present a novel ultrasonic chemical strategy to functionalize NiO</w:t>
      </w:r>
      <w:r>
        <w:t xml:space="preserve"> </w:t>
      </w:r>
      <w:r>
        <w:t>x</w:t>
      </w:r>
      <w:r>
        <w:t xml:space="preserve"> </w:t>
      </w:r>
      <w:r>
        <w:t>nanoparticles via anchoring the piperazine‐1,4‐bisethanesulfonic acid (PIPES) zwitterionic molecule. Ultrasonic cavitation generates hydroxyl radicals that oxidize Ni</w:t>
      </w:r>
      <w:r>
        <w:rPr>
          <w:vertAlign w:val="subscript"/>
        </w:rPr>
        <w:t>2</w:t>
      </w:r>
      <w:r>
        <w:t>+</w:t>
      </w:r>
      <w:r>
        <w:t xml:space="preserve"> </w:t>
      </w:r>
      <w:r>
        <w:t>to Ni</w:t>
      </w:r>
      <w:r>
        <w:rPr>
          <w:vertAlign w:val="subscript"/>
        </w:rPr>
        <w:t>3</w:t>
      </w:r>
      <w:r>
        <w:t>+</w:t>
      </w:r>
      <w:r>
        <w:t xml:space="preserve"> </w:t>
      </w:r>
      <w:r>
        <w:t>, enhancing the electrical conductivity and hole mobility of NiO</w:t>
      </w:r>
      <w:r>
        <w:t xml:space="preserve"> </w:t>
      </w:r>
      <w:r>
        <w:t>x</w:t>
      </w:r>
      <w:r>
        <w:t xml:space="preserve"> </w:t>
      </w:r>
      <w:r>
        <w:t>. The exposed sulfonate groups of PIPES further promote the uniform assembly and hydrogen bonding anchoring of the subsequent SAM layer [(4‐(9'‐phenyl‐9H,9'H‐[3,3'‐bicarbazole]‐9‐yl)butyl)phosphonic acid, 4PABCz]. This integrated NiO</w:t>
      </w:r>
      <w:r>
        <w:t xml:space="preserve"> </w:t>
      </w:r>
      <w:r>
        <w:t>x</w:t>
      </w:r>
      <w:r>
        <w:t xml:space="preserve"> </w:t>
      </w:r>
      <w:r>
        <w:t>+PIPES/4PABCz hole transport layer fosters stronger dipole formation and interfacial polarization, facilitating charge separation and transport. Consequently, the optimized devices achieve a champion power conversion efficiency (PCE) of 27.03% (with a certified steady‐state efficiency of 26.47%). Remarkably, the devices exhibit exceptional operational and thermal stability, retaining 88.2% of their initial PCE after 1000 h of continuous illumination at 85°C and 91.0% after 1200 h of thermal aging at 85°C. This work introduces a robust and effective NiO</w:t>
      </w:r>
      <w:r>
        <w:t xml:space="preserve"> </w:t>
      </w:r>
      <w:r>
        <w:t>x</w:t>
      </w:r>
      <w:r>
        <w:t xml:space="preserve"> </w:t>
      </w:r>
      <w:r>
        <w:t>modification strategy, providing profound insights into interfacial design for high‐performance, stable inverted PSCs.</w:t>
      </w:r>
    </w:p>
    <w:p>
      <w:pPr>
        <w:spacing w:before="120" w:after="120"/>
      </w:pPr>
      <w:r>
        <w:rPr>
          <w:sz w:val="18"/>
        </w:rPr>
        <w:t>——————————————————————————————————————————————————————————————————————</w:t>
      </w:r>
    </w:p>
    <w:p>
      <w:pPr>
        <w:spacing w:before="160" w:after="40" w:line="240" w:lineRule="auto"/>
      </w:pPr>
      <w:r>
        <w:rPr>
          <w:b/>
        </w:rPr>
        <w:t xml:space="preserve">[459] </w:t>
      </w:r>
      <w:hyperlink r:id="rId1099">
        <w:r>
          <w:rPr>
            <w:color w:val="1155CC"/>
            <w:u w:val="single"/>
          </w:rPr>
          <w:t>工程亲和体内无螯合剂的放射性金属标记</w:t>
        </w:r>
      </w:hyperlink>
    </w:p>
    <w:p>
      <w:pPr>
        <w:spacing w:before="0" w:after="80"/>
      </w:pPr>
      <w:r>
        <w:rPr>
          <w:i/>
          <w:sz w:val="20"/>
        </w:rPr>
        <w:t>EN: Chelator‐Free Radiometal Labeling Inside Engineered Affibodies</w:t>
      </w:r>
    </w:p>
    <w:p>
      <w:pPr>
        <w:spacing w:before="0" w:after="120"/>
      </w:pPr>
      <w:r>
        <w:rPr>
          <w:b/>
        </w:rPr>
        <w:t xml:space="preserve">Source: </w:t>
      </w:r>
      <w:r>
        <w:t>Wiley: Angewandte Chemie International Edition: Table of Contents</w:t>
      </w:r>
      <w:r>
        <w:t xml:space="preserve">    </w:t>
      </w:r>
      <w:r>
        <w:rPr>
          <w:b/>
        </w:rPr>
        <w:t xml:space="preserve">Pub date: </w:t>
      </w:r>
      <w:r>
        <w:t>2026-06-04 08:49:00+00:00</w:t>
      </w:r>
      <w:r>
        <w:t xml:space="preserve">    </w:t>
      </w:r>
      <w:r>
        <w:rPr>
          <w:b/>
        </w:rPr>
        <w:t xml:space="preserve">DOI: </w:t>
      </w:r>
      <w:hyperlink r:id="rId1100">
        <w:r>
          <w:rPr>
            <w:color w:val="1155CC"/>
            <w:u w:val="single"/>
          </w:rPr>
          <w:t>10.1002/anie.6657079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亲和体是非常稳定的三螺旋束蛋白，可以被工程改造以选择性地结合靶蛋白。当与放射性金属结合时，它们可用作显像剂或癌症治疗剂，具体取决于所使用的金属。传统上，这涉及双功能连接体，通过反应基团将大螯合剂连接到亲和体上。在这里，我们提出了一种替代方法，通过将金属埋在亲和体的核心内，并被其三个螺旋包围，从而消除了对此类连接体的需要。一种简单的工程化三重半胱氨酸基序，每个螺旋中有一个半胱氨酸，可稳定结合常用于成像和放射治疗的 Bi(III)、Pb(II)、In(III) 和 Ga(III)。在室温和生理 pH 值下，金属的定量吸收是瞬时的，并且所有金属亲和体复合物在 4°C 下可保持完整完整一周。当受到细胞浓度的谷胱甘肽的挑战时，所有这些都保留了它们的金属货物，而只有铋亲和体复合物能够承受 100 当量的强螯合剂的挑战，甚至超过两周。我们证明，负载铋的亲和体保留了与野生型亲和体相当的 HER2 受体结合亲和力，同时选择性结合并保留</w:t>
      </w:r>
      <w:r>
        <w:rPr>
          <w:vertAlign w:val="subscript"/>
        </w:rPr>
        <w:t>213</w:t>
      </w:r>
      <w:r>
        <w:t>Bi 是一种很有前景的放射性同位素，可用于靶向 α 疗法，从而能够靶向 HER2 过表达的 SKBR3 癌细胞。</w:t>
      </w:r>
    </w:p>
    <w:p>
      <w:pPr>
        <w:spacing w:before="0" w:after="200" w:lineRule="auto" w:line="276"/>
      </w:pPr>
      <w:r>
        <w:rPr>
          <w:b/>
        </w:rPr>
        <w:t xml:space="preserve">Abstract (EN): </w:t>
      </w:r>
      <w:r>
        <w:t>Affibodies are remarkably stable three‐helix bundle proteins that can be engineered to selectively bind target proteins. When combined with radioactive metals, they serve as imaging agents or cancer therapeutics, depending on the metal used. Traditionally, this involves bifunctional linkers that attach large chelators to the affibody via reactive groups. Here, we present an alternative approach that eliminates the need for such linkers by burying the metal within the core of the affibody, surrounded by its three helices. A simple engineered triple cysteine motif, with one cysteine in each helix, stably binds Bi(III), Pb(II), In(III), and Ga(III), which are commonly used in imaging and radiotherapy. Quantitative metal uptake is instantaneous at room temperature and physiological pH, and all metal‐affibody complexes remain fully intact for one week at 4 °C. All retain their metal cargo when challenged with cellular concentrations of glutathione, while only the bismuth‐affibody complex withstands a challenge with 100 equivalents of strong chelators, even over two weeks. We demonstrate that, a bismuth‑loaded affibody retains binding affinity to the HER2 receptor comparable to the wildtype affibody, while selectively binding and retaining</w:t>
      </w:r>
      <w:r>
        <w:rPr>
          <w:vertAlign w:val="subscript"/>
        </w:rPr>
        <w:t>213</w:t>
      </w:r>
      <w:r>
        <w:t>Bi, a promising radioisotope for targeted alpha therapy, thereby enabling targeting of HER2‑overexpressing SKBR3 cancer cells.</w:t>
      </w:r>
    </w:p>
    <w:p>
      <w:pPr>
        <w:spacing w:before="120" w:after="120"/>
      </w:pPr>
      <w:r>
        <w:rPr>
          <w:sz w:val="18"/>
        </w:rPr>
        <w:t>——————————————————————————————————————————————————————————————————————</w:t>
      </w:r>
    </w:p>
    <w:p>
      <w:pPr>
        <w:spacing w:before="160" w:after="40" w:line="240" w:lineRule="auto"/>
      </w:pPr>
      <w:r>
        <w:rPr>
          <w:b/>
        </w:rPr>
        <w:t xml:space="preserve">[460] </w:t>
      </w:r>
      <w:hyperlink r:id="rId1101">
        <w:r>
          <w:rPr>
            <w:color w:val="1155CC"/>
            <w:u w:val="single"/>
          </w:rPr>
          <w:t>打破一维共价有机框架中的 π-π 堆积</w:t>
        </w:r>
      </w:hyperlink>
    </w:p>
    <w:p>
      <w:pPr>
        <w:spacing w:before="0" w:after="80"/>
      </w:pPr>
      <w:r>
        <w:rPr>
          <w:i/>
          <w:sz w:val="20"/>
        </w:rPr>
        <w:t>EN: Breaking π–π Stacking in One‐Dimensional Covalent Organic Frameworks</w:t>
      </w:r>
    </w:p>
    <w:p>
      <w:pPr>
        <w:spacing w:before="0" w:after="120"/>
      </w:pPr>
      <w:r>
        <w:rPr>
          <w:b/>
        </w:rPr>
        <w:t xml:space="preserve">Source: </w:t>
      </w:r>
      <w:r>
        <w:t>Wiley: Angewandte Chemie International Edition: Table of Contents</w:t>
      </w:r>
      <w:r>
        <w:t xml:space="preserve">    </w:t>
      </w:r>
      <w:r>
        <w:rPr>
          <w:b/>
        </w:rPr>
        <w:t xml:space="preserve">Pub date: </w:t>
      </w:r>
      <w:r>
        <w:t>2026-06-04 08:51:56+00:00</w:t>
      </w:r>
      <w:r>
        <w:t xml:space="preserve">    </w:t>
      </w:r>
      <w:r>
        <w:rPr>
          <w:b/>
        </w:rPr>
        <w:t xml:space="preserve">DOI: </w:t>
      </w:r>
      <w:hyperlink r:id="rId1102">
        <w:r>
          <w:rPr>
            <w:color w:val="1155CC"/>
            <w:u w:val="single"/>
          </w:rPr>
          <w:t>10.1002/anie.3547091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由芳香族结构单元构建的共价有机框架（COF）通常包含特定的官能团以实现目标特性；然而，由于层间 π-π 堆叠通常限制其可及性，因此内在芳香主链的积极作用仍未得到充分研究。在此，我们报告了由空间强制的非共面单体构建的一维（1D）COF中的空间位阻驱动的层间π-π堆积的破坏，从而使芳香域可接近并实现优异的吸附性能，如I所示</w:t>
      </w:r>
      <w:r>
        <w:rPr>
          <w:vertAlign w:val="subscript"/>
        </w:rPr>
        <w:t>2</w:t>
      </w:r>
      <w:r>
        <w:t>吸收。两种COF，TFPE-MDA和TFPB-MDA，通过层间范德华堆积组装而成，其中芳香族部分朝向暴露主链π电子的孔道；电子布居分析验证了这种堆积不会扰乱 π 电子分布。碘蒸气吸附测量显示高 I</w:t>
      </w:r>
      <w:r>
        <w:rPr>
          <w:vertAlign w:val="subscript"/>
        </w:rPr>
        <w:t>2</w:t>
      </w:r>
      <w:r>
        <w:t>吸收能力为 4.80 和 5.61 g·g</w:t>
      </w:r>
      <w:r>
        <w:t xml:space="preserve"> </w:t>
      </w:r>
      <w:r>
        <w:t>−1</w:t>
      </w:r>
      <w:r>
        <w:t xml:space="preserve"> </w:t>
      </w:r>
      <w:r>
        <w:t>分别为 TFPE-MDA 和 TFPB-MDA。 FTIR、拉曼和 XPS 表征结合理论计算证实了 I·π 之间的相互作用</w:t>
      </w:r>
      <w:r>
        <w:rPr>
          <w:vertAlign w:val="subscript"/>
        </w:rPr>
        <w:t>2</w:t>
      </w:r>
      <w:r>
        <w:t>以及 COF 骨架中芳香族部分的可接近 π 电子。这项研究通过利用空间强化的非共面单体来打破常见的相互作用，为高性能COF材料提供了一种新颖的设计策略。</w:t>
      </w:r>
    </w:p>
    <w:p>
      <w:pPr>
        <w:spacing w:before="0" w:after="200" w:lineRule="auto" w:line="276"/>
      </w:pPr>
      <w:r>
        <w:rPr>
          <w:b/>
        </w:rPr>
        <w:t xml:space="preserve">Abstract (EN): </w:t>
      </w:r>
      <w:r>
        <w:t>Covalent organic frameworks (COFs) constructed from aromatic building blocks typically incorporate specific functional groups to achieve target properties; however, the active role of intrinsic aromatic backbones remains underexplored due to their limited accessibility usually imposed by interlayer π–π stacking. Herein, we report a steric‐hindrance‐driven breaking of interlayer π–π stacking in one‐dimensional (1D) COFs built from sterically enforced non‐coplanar monomers, thereby rendering the accessibility of aromatic domains and enabling superior adsorption performance, as exemplified by I</w:t>
      </w:r>
      <w:r>
        <w:rPr>
          <w:vertAlign w:val="subscript"/>
        </w:rPr>
        <w:t>2</w:t>
      </w:r>
      <w:r>
        <w:t>uptake. Two COFs, TFPE‐MDA, and TFPB‐MDA, are assembled via interlayer van der Waals stacking, where the aromatic moieties orient toward the pore channels exposing the backbone π electrons; electron population analysis verifies that this packing does not perturb the π‐electron distribution. Iodine‐vapor adsorption measurements show high I</w:t>
      </w:r>
      <w:r>
        <w:rPr>
          <w:vertAlign w:val="subscript"/>
        </w:rPr>
        <w:t>2</w:t>
      </w:r>
      <w:r>
        <w:t>uptake capacities of 4.80 and 5.61 g·g</w:t>
      </w:r>
      <w:r>
        <w:t xml:space="preserve"> </w:t>
      </w:r>
      <w:r>
        <w:t>−1</w:t>
      </w:r>
      <w:r>
        <w:t xml:space="preserve"> </w:t>
      </w:r>
      <w:r>
        <w:t>for TFPE‐MDA and TFPB‐MDA, respectively. FTIR, Raman, and XPS characterizations combined with theoretical calculations confirm I···π interactions between I</w:t>
      </w:r>
      <w:r>
        <w:rPr>
          <w:vertAlign w:val="subscript"/>
        </w:rPr>
        <w:t>2</w:t>
      </w:r>
      <w:r>
        <w:t>and the accessible π electrons of aromatic moieties in the COF frameworks. This study provides a novel design strategy for high‐performance COF materials by utilizing sterically enforced non‐coplanar monomers for breaking the commonly observed interlayer π–π stacking, thus enabling the access and utilization of the intrinsic π electrons in COF backbones.</w:t>
      </w:r>
    </w:p>
    <w:p>
      <w:pPr>
        <w:spacing w:before="120" w:after="120"/>
      </w:pPr>
      <w:r>
        <w:rPr>
          <w:sz w:val="18"/>
        </w:rPr>
        <w:t>——————————————————————————————————————————————————————————————————————</w:t>
      </w:r>
    </w:p>
    <w:p>
      <w:pPr>
        <w:spacing w:before="160" w:after="40" w:line="240" w:lineRule="auto"/>
      </w:pPr>
      <w:r>
        <w:rPr>
          <w:b/>
        </w:rPr>
        <w:t xml:space="preserve">[461] </w:t>
      </w:r>
      <w:hyperlink r:id="rId1103">
        <w:r>
          <w:rPr>
            <w:color w:val="1155CC"/>
            <w:u w:val="single"/>
          </w:rPr>
          <w:t>使用立体刷在表面上进行 DNA 折纸的可调图案</w:t>
        </w:r>
      </w:hyperlink>
    </w:p>
    <w:p>
      <w:pPr>
        <w:spacing w:before="0" w:after="80"/>
      </w:pPr>
      <w:r>
        <w:rPr>
          <w:i/>
          <w:sz w:val="20"/>
        </w:rPr>
        <w:t>EN: Tunable Patterning of DNA Origami on Surfaces Using Steric Brushes</w:t>
      </w:r>
    </w:p>
    <w:p>
      <w:pPr>
        <w:spacing w:before="0" w:after="120"/>
      </w:pPr>
      <w:r>
        <w:rPr>
          <w:b/>
        </w:rPr>
        <w:t xml:space="preserve">Source: </w:t>
      </w:r>
      <w:r>
        <w:t>Wiley: Angewandte Chemie International Edition: Table of Contents</w:t>
      </w:r>
      <w:r>
        <w:t xml:space="preserve">    </w:t>
      </w:r>
      <w:r>
        <w:rPr>
          <w:b/>
        </w:rPr>
        <w:t xml:space="preserve">Pub date: </w:t>
      </w:r>
      <w:r>
        <w:t>2026-06-04 08:52:01+00:00</w:t>
      </w:r>
      <w:r>
        <w:t xml:space="preserve">    </w:t>
      </w:r>
      <w:r>
        <w:rPr>
          <w:b/>
        </w:rPr>
        <w:t xml:space="preserve">DOI: </w:t>
      </w:r>
      <w:hyperlink r:id="rId1104">
        <w:r>
          <w:rPr>
            <w:color w:val="1155CC"/>
            <w:u w:val="single"/>
          </w:rPr>
          <w:t>10.1002/anie.8367703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通过精确控制表面的局部排列和长程有序来定制二维材料的特性仍然是材料科学中的一个核心挑战。虽然对称、非相互作用的 DNA 折纸纳米结构的表面辅助组装为二维超晶格提供了简便的途径，但现有方法通常会产生密排阵列，对折纸间距的控制有限。在这里，我们提出了一种可调且可重复的策略，用于在自组装成宏观二维晶格图案期间调节 DNA 折纸的横向间距。通过控制 DNA 折纸表面均匀单链多核苷酸刷的生长，我们通过引入更远距离的熵斥力来调节其有效几何形状，从而能够精确且可调节地控制宏观区域内折纸间的距离。通过综合实验和模拟，我们演示了刷子长度、表面吸附强度和刷子密度的系统变化如何导致不同折纸形状的可调节表面图案。总体而言，这种简单的方法通过提供具有精确空间控制的高度可编程模板，推动了 DNA 模板纳米制造领域的发展。该平台为未来功能纳米材料的集成和有序纳米结构的开发提供了坚实的基础。</w:t>
      </w:r>
    </w:p>
    <w:p>
      <w:pPr>
        <w:spacing w:before="0" w:after="200" w:lineRule="auto" w:line="276"/>
      </w:pPr>
      <w:r>
        <w:rPr>
          <w:b/>
        </w:rPr>
        <w:t xml:space="preserve">Abstract (EN): </w:t>
      </w:r>
      <w:r>
        <w:t>Tailoring the properties of 2D materials through precise control of both local arrangement and long‐range order on surfaces remains a central challenge in materials science. While surface‐assisted assembly of symmetric, non‐interacting DNA origami nanostructures offers a facile route to 2D superlattices, existing approaches typically yield close‐packed arrays with limited control over inter‐origami spacing. Here, we present a tunable and reproducible strategy for regulating the lateral spacing of DNA origami during self‐assembly into macroscopic 2D lattice patterns. By controlling the growth of uniform single‐stranded polynucleotide brushes from the surface of DNA origami, we modulate their effective geometry by introducing longer‐ranged entropic repulsion, which enables precise and adjustable control over inter‐origami distances across macroscopic areas. Using integrated experiments and simulations, we demonstrate how systematic variation of brush length, surface adsorption strength, and brush density can lead to tunable surface patterns across different origami shapes. Overall, this straightforward approach advances the field of DNA‐templated nanofabrication by providing highly programmable templates with precise spatial control. This platform offers a robust foundation for the future integration of functional nanomaterials and the development of organized nanostructures.</w:t>
      </w:r>
    </w:p>
    <w:p>
      <w:pPr>
        <w:spacing w:before="120" w:after="120"/>
      </w:pPr>
      <w:r>
        <w:rPr>
          <w:sz w:val="18"/>
        </w:rPr>
        <w:t>——————————————————————————————————————————————————————————————————————</w:t>
      </w:r>
    </w:p>
    <w:p>
      <w:pPr>
        <w:spacing w:before="160" w:after="40" w:line="240" w:lineRule="auto"/>
      </w:pPr>
      <w:r>
        <w:rPr>
          <w:b/>
        </w:rPr>
        <w:t xml:space="preserve">[462] </w:t>
      </w:r>
      <w:hyperlink r:id="rId1105">
        <w:r>
          <w:rPr>
            <w:color w:val="1155CC"/>
            <w:u w:val="single"/>
          </w:rPr>
          <w:t>高压无钴全固态电池界面电位和阴离子共价的协同调节</w:t>
        </w:r>
      </w:hyperlink>
    </w:p>
    <w:p>
      <w:pPr>
        <w:spacing w:before="0" w:after="80"/>
      </w:pPr>
      <w:r>
        <w:rPr>
          <w:i/>
          <w:sz w:val="20"/>
        </w:rPr>
        <w:t>EN: Synergistic Regulation of Interfacial Potential and Anionic Covalency for High‐Voltage Cobalt‐Free All‐Solid‐State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2026-06-04 08:55:04+00:00</w:t>
      </w:r>
      <w:r>
        <w:t xml:space="preserve">    </w:t>
      </w:r>
      <w:r>
        <w:rPr>
          <w:b/>
        </w:rPr>
        <w:t xml:space="preserve">DOI: </w:t>
      </w:r>
      <w:hyperlink r:id="rId1106">
        <w:r>
          <w:rPr>
            <w:color w:val="1155CC"/>
            <w:u w:val="single"/>
          </w:rPr>
          <w:t>10.1002/anie.9550345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压无钴全固态锂电池（ASSLB）代表了实现高能量密度和可持续能源存储的一条有前途的途径。然而，它们的实际可行性从根本上受到耦合界面失效机制的阻碍，该机制涉及空间电荷层（SCL）的动力学瓶颈和界面晶格氧的电化学不稳定性。在这里，我们提出了一种协同调节来解耦 5 V 级 LiNi 中的这些约束</w:t>
      </w:r>
      <w:r>
        <w:t xml:space="preserve"> </w:t>
      </w:r>
      <w:r>
        <w:t>0.5</w:t>
      </w:r>
      <w:r>
        <w:t xml:space="preserve"> </w:t>
      </w:r>
      <w:r>
        <w:t>锰</w:t>
      </w:r>
      <w:r>
        <w:t xml:space="preserve"> </w:t>
      </w:r>
      <w:r>
        <w:t>1.5</w:t>
      </w:r>
      <w:r>
        <w:t xml:space="preserve"> </w:t>
      </w:r>
      <w:r>
        <w:t>氧</w:t>
      </w:r>
      <w:r>
        <w:rPr>
          <w:vertAlign w:val="subscript"/>
        </w:rPr>
        <w:t>4</w:t>
      </w:r>
      <w:r>
        <w:t>(LNMO) ASSLB。我们发现，LNMO/电解质界面处的大锂（Li）化学势不匹配会驱动缺锂的SCL，而高电压会触发界面氧释放，导致严重的界面结构退化。为了解决这个问题，构建了一个稳定的界面，其中界面电位和阴离子共价性得到协同调节。具体而言，高介电 BaTiO</w:t>
      </w:r>
      <w:r>
        <w:rPr>
          <w:vertAlign w:val="subscript"/>
        </w:rPr>
        <w:t>3</w:t>
      </w:r>
      <w:r>
        <w:t>引入（BTO）涂层来调节界面电位并抑制SCL形成，而硫酸盐衍生的S─O共价键则稳定了界面晶格氧。因此，BTO-S-LNMO ASSLB 的可逆容量从 52 mAh g 显着增加到 116 mAh g</w:t>
      </w:r>
      <w:r>
        <w:t xml:space="preserve"> </w:t>
      </w:r>
      <w:r>
        <w:t>−1</w:t>
      </w:r>
      <w:r>
        <w:t xml:space="preserve"> </w:t>
      </w:r>
      <w:r>
        <w:t>在 0.1 C 下实现高达 3 C 的高倍率容量，并在 1 C 下表现出长期耐久性。这项工作建立了耦合双极的范例</w:t>
      </w:r>
    </w:p>
    <w:p>
      <w:pPr>
        <w:spacing w:before="0" w:after="200" w:lineRule="auto" w:line="276"/>
      </w:pPr>
      <w:r>
        <w:rPr>
          <w:b/>
        </w:rPr>
        <w:t xml:space="preserve">Abstract (EN): </w:t>
      </w:r>
      <w:r>
        <w:t>High‐voltage cobalt‐free all‐solid‐state lithium batteries (ASSLBs) represent a promising pathway toward high‐energy‐density and sustainable energy storage. However, their practical viability is fundamentally hindered by a coupled interfacial failure mechanism involving kinetic bottlenecks at the space‐charge layer (SCL) and the electrochemical instability of interfacial lattice oxygen. Here, we propose a synergistic regulation to decouple these constraints in 5 V‐class LiNi</w:t>
      </w:r>
      <w:r>
        <w:t xml:space="preserve"> </w:t>
      </w:r>
      <w:r>
        <w:t>0.5</w:t>
      </w:r>
      <w:r>
        <w:t xml:space="preserve"> </w:t>
      </w:r>
      <w:r>
        <w:t>Mn</w:t>
      </w:r>
      <w:r>
        <w:t xml:space="preserve"> </w:t>
      </w:r>
      <w:r>
        <w:t>1.5</w:t>
      </w:r>
      <w:r>
        <w:t xml:space="preserve"> </w:t>
      </w:r>
      <w:r>
        <w:t>O</w:t>
      </w:r>
      <w:r>
        <w:rPr>
          <w:vertAlign w:val="subscript"/>
        </w:rPr>
        <w:t>4</w:t>
      </w:r>
      <w:r>
        <w:t>(LNMO) ASSLBs. We reveal that the large lithium (Li) chemical potential mismatch at the LNMO/electrolyte interface drives a Li‐deficient SCL, while the high voltage triggers interfacial oxygen release, causing severe interfacial structural degradation. To address this, a stable interface was constructed where interfacial potential and anion covalency are regulated synergistically. Specifically, a high‐dielectric BaTiO</w:t>
      </w:r>
      <w:r>
        <w:rPr>
          <w:vertAlign w:val="subscript"/>
        </w:rPr>
        <w:t>3</w:t>
      </w:r>
      <w:r>
        <w:t>(BTO) coating layer was introduced to regulate interfacial potential and suppress SCL formation, while sulfate‐derived S─O covalent bonds stabilized the interfacial lattice oxygen. Consequently, the BTO‐S‐LNMO ASSLB achieves a notable increase in reversible capacity from 52 to 116 mAh g</w:t>
      </w:r>
      <w:r>
        <w:t xml:space="preserve"> </w:t>
      </w:r>
      <w:r>
        <w:t>−1</w:t>
      </w:r>
      <w:r>
        <w:t xml:space="preserve"> </w:t>
      </w:r>
      <w:r>
        <w:t>at 0.1 C and enables high‐rate capacity up to 3 C and exhibits long‐term durability at 1 C. This work establishes a paradigm of coupling dielectric regulation and anion‐chemistry stabilization to unlock the potential of high‐voltage LNMO ASSLBs.</w:t>
      </w:r>
    </w:p>
    <w:p>
      <w:pPr>
        <w:spacing w:before="120" w:after="120"/>
      </w:pPr>
      <w:r>
        <w:rPr>
          <w:sz w:val="18"/>
        </w:rPr>
        <w:t>——————————————————————————————————————————————————————————————————————</w:t>
      </w:r>
    </w:p>
    <w:p>
      <w:pPr>
        <w:spacing w:before="160" w:after="40" w:line="240" w:lineRule="auto"/>
      </w:pPr>
      <w:r>
        <w:rPr>
          <w:b/>
        </w:rPr>
        <w:t xml:space="preserve">[463] </w:t>
      </w:r>
      <w:hyperlink r:id="rId1107">
        <w:r>
          <w:rPr>
            <w:color w:val="1155CC"/>
            <w:u w:val="single"/>
          </w:rPr>
          <w:t>较重的炔-Ni0 配合物，[R2E2·Ni] (E = Sn, Pb)，表现出 σ-配合物特征</w:t>
        </w:r>
      </w:hyperlink>
    </w:p>
    <w:p>
      <w:pPr>
        <w:spacing w:before="0" w:after="80"/>
      </w:pPr>
      <w:r>
        <w:rPr>
          <w:i/>
          <w:sz w:val="20"/>
        </w:rPr>
        <w:t>EN: Heavier Alkyne‐Ni0 Complexes, [R2E2·Ni] (E = Sn, Pb), Exhibiting σ‐Complex Character</w:t>
      </w:r>
    </w:p>
    <w:p>
      <w:pPr>
        <w:spacing w:before="0" w:after="120"/>
      </w:pPr>
      <w:r>
        <w:rPr>
          <w:b/>
        </w:rPr>
        <w:t xml:space="preserve">Source: </w:t>
      </w:r>
      <w:r>
        <w:t>Wiley: Angewandte Chemie International Edition: Table of Contents</w:t>
      </w:r>
      <w:r>
        <w:t xml:space="preserve">    </w:t>
      </w:r>
      <w:r>
        <w:rPr>
          <w:b/>
        </w:rPr>
        <w:t xml:space="preserve">Pub date: </w:t>
      </w:r>
      <w:r>
        <w:t>2026-06-04 08:56:05+00:00</w:t>
      </w:r>
      <w:r>
        <w:t xml:space="preserve">    </w:t>
      </w:r>
      <w:r>
        <w:rPr>
          <w:b/>
        </w:rPr>
        <w:t xml:space="preserve">DOI: </w:t>
      </w:r>
      <w:hyperlink r:id="rId1108">
        <w:r>
          <w:rPr>
            <w:color w:val="1155CC"/>
            <w:u w:val="single"/>
          </w:rPr>
          <w:t>10.1002/anie.6734116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尽管炔-过渡金属配合物在合成和催化中普遍存在，但较重的第 14 族元素的类似例子却极为罕见。在这里，我们描述了在镍 (0) 络合物中获得第一个这样的 Sn 和 Pb 物种的方法，[(</w:t>
      </w:r>
      <w:r>
        <w:t xml:space="preserve"> </w:t>
      </w:r>
      <w:r>
        <w:t>CY</w:t>
      </w:r>
      <w:r>
        <w:t xml:space="preserve"> </w:t>
      </w:r>
      <w:r>
        <w:t>LE)</w:t>
      </w:r>
      <w:r>
        <w:rPr>
          <w:vertAlign w:val="subscript"/>
        </w:rPr>
        <w:t>2</w:t>
      </w:r>
      <w:r>
        <w:t>·镍](</w:t>
      </w:r>
      <w:r>
        <w:rPr>
          <w:vertAlign w:val="subscript"/>
        </w:rPr>
        <w:t>5</w:t>
      </w:r>
      <w:r>
        <w:t>和</w:t>
      </w:r>
      <w:r>
        <w:rPr>
          <w:vertAlign w:val="subscript"/>
        </w:rPr>
        <w:t>6</w:t>
      </w:r>
      <w:r>
        <w:t>;</w:t>
      </w:r>
      <w:r>
        <w:t xml:space="preserve"> </w:t>
      </w:r>
      <w:r>
        <w:t>CY</w:t>
      </w:r>
      <w:r>
        <w:t xml:space="preserve"> </w:t>
      </w:r>
      <w:r>
        <w:t>L = [{Cy</w:t>
      </w:r>
      <w:r>
        <w:rPr>
          <w:vertAlign w:val="subscript"/>
        </w:rPr>
        <w:t>2</w:t>
      </w:r>
      <w:r>
        <w:t>聚氯乙烯</w:t>
      </w:r>
      <w:r>
        <w:rPr>
          <w:vertAlign w:val="subscript"/>
        </w:rPr>
        <w:t>2</w:t>
      </w:r>
      <w:r>
        <w:t>硅（</w:t>
      </w:r>
      <w:r>
        <w:t xml:space="preserve"> </w:t>
      </w:r>
      <w:r>
        <w:t>我</w:t>
      </w:r>
      <w:r>
        <w:t xml:space="preserve"> </w:t>
      </w:r>
      <w:r>
        <w:t>）</w:t>
      </w:r>
      <w:r>
        <w:rPr>
          <w:vertAlign w:val="subscript"/>
        </w:rPr>
        <w:t>2</w:t>
      </w:r>
      <w:r>
        <w:t>}（迪普）N]</w:t>
      </w:r>
      <w:r>
        <w:t xml:space="preserve"> </w:t>
      </w:r>
      <w:r>
        <w:t>-</w:t>
      </w:r>
      <w:r>
        <w:t>;迪普 = 2,6‐</w:t>
      </w:r>
      <w:r>
        <w:t xml:space="preserve"> </w:t>
      </w:r>
      <w:r>
        <w:t>我</w:t>
      </w:r>
      <w:r>
        <w:t xml:space="preserve"> </w:t>
      </w:r>
      <w:r>
        <w:t>普罗</w:t>
      </w:r>
      <w:r>
        <w:rPr>
          <w:vertAlign w:val="subscript"/>
        </w:rPr>
        <w:t>2</w:t>
      </w:r>
      <w:r>
        <w:t>C</w:t>
      </w:r>
      <w:r>
        <w:rPr>
          <w:vertAlign w:val="subscript"/>
        </w:rPr>
        <w:t>6</w:t>
      </w:r>
      <w:r>
        <w:t>H</w:t>
      </w:r>
      <w:r>
        <w:rPr>
          <w:vertAlign w:val="subscript"/>
        </w:rPr>
        <w:t>3</w:t>
      </w:r>
      <w:r>
        <w:t>）。虽然这些系统不能通过直接添加E来访问</w:t>
      </w:r>
      <w:r>
        <w:t xml:space="preserve"> </w:t>
      </w:r>
      <w:r>
        <w:t>我</w:t>
      </w:r>
      <w:r>
        <w:t xml:space="preserve"> </w:t>
      </w:r>
      <w:r>
        <w:t>Ni二聚体</w:t>
      </w:r>
      <w:r>
        <w:rPr>
          <w:vertAlign w:val="subscript"/>
        </w:rPr>
        <w:t>0</w:t>
      </w:r>
      <w:r>
        <w:t>合成子（即 Ni(cod)</w:t>
      </w:r>
      <w:r>
        <w:rPr>
          <w:vertAlign w:val="subscript"/>
        </w:rPr>
        <w:t>2</w:t>
      </w:r>
      <w:r>
        <w:t>; cod = 1,5-环辛二烯），我们报告了一种新的还原基团消除途径，形成E</w:t>
      </w:r>
      <w:r>
        <w:t xml:space="preserve"> </w:t>
      </w:r>
      <w:r>
        <w:t>我</w:t>
      </w:r>
      <w:r>
        <w:t xml:space="preserve"> </w:t>
      </w:r>
      <w:r>
        <w:t>来自E的二聚体</w:t>
      </w:r>
      <w:r>
        <w:t xml:space="preserve"> </w:t>
      </w:r>
      <w:r>
        <w:t>二</w:t>
      </w:r>
      <w:r>
        <w:t xml:space="preserve"> </w:t>
      </w:r>
      <w:r>
        <w:t>Ni配位层中的合成子，例如通过H</w:t>
      </w:r>
      <w:r>
        <w:rPr>
          <w:vertAlign w:val="subscript"/>
        </w:rPr>
        <w:t>2</w:t>
      </w:r>
      <w:r>
        <w:t>从 Sn 中消除</w:t>
      </w:r>
      <w:r>
        <w:t xml:space="preserve"> </w:t>
      </w:r>
      <w:r>
        <w:t>二</w:t>
      </w:r>
      <w:r>
        <w:t xml:space="preserve"> </w:t>
      </w:r>
      <w:r>
        <w:t>氢化物。结构性</w:t>
      </w:r>
    </w:p>
    <w:p>
      <w:pPr>
        <w:spacing w:before="0" w:after="200" w:lineRule="auto" w:line="276"/>
      </w:pPr>
      <w:r>
        <w:rPr>
          <w:b/>
        </w:rPr>
        <w:t xml:space="preserve">Abstract (EN): </w:t>
      </w:r>
      <w:r>
        <w:t>Despite the ubiquitous nature of alkyne‐transition metal complexes in synthesis and catalysis, analogous examples for the heavier group 14 elements are extremely rare. Here, we describe access to the first such species for Sn and Pb in nickel(0) complexes, [(</w:t>
      </w:r>
      <w:r>
        <w:t xml:space="preserve"> </w:t>
      </w:r>
      <w:r>
        <w:t>Cy</w:t>
      </w:r>
      <w:r>
        <w:t xml:space="preserve"> </w:t>
      </w:r>
      <w:r>
        <w:t>LE)</w:t>
      </w:r>
      <w:r>
        <w:rPr>
          <w:vertAlign w:val="subscript"/>
        </w:rPr>
        <w:t>2</w:t>
      </w:r>
      <w:r>
        <w:t>·Ni] (</w:t>
      </w:r>
      <w:r>
        <w:rPr>
          <w:vertAlign w:val="subscript"/>
        </w:rPr>
        <w:t>5</w:t>
      </w:r>
      <w:r>
        <w:t>and</w:t>
      </w:r>
      <w:r>
        <w:rPr>
          <w:vertAlign w:val="subscript"/>
        </w:rPr>
        <w:t>6</w:t>
      </w:r>
      <w:r>
        <w:t>;</w:t>
      </w:r>
      <w:r>
        <w:t xml:space="preserve"> </w:t>
      </w:r>
      <w:r>
        <w:t>Cy</w:t>
      </w:r>
      <w:r>
        <w:t xml:space="preserve"> </w:t>
      </w:r>
      <w:r>
        <w:t>L = [{Cy</w:t>
      </w:r>
      <w:r>
        <w:rPr>
          <w:vertAlign w:val="subscript"/>
        </w:rPr>
        <w:t>2</w:t>
      </w:r>
      <w:r>
        <w:t>PCH</w:t>
      </w:r>
      <w:r>
        <w:rPr>
          <w:vertAlign w:val="subscript"/>
        </w:rPr>
        <w:t>2</w:t>
      </w:r>
      <w:r>
        <w:t>Si(</w:t>
      </w:r>
      <w:r>
        <w:t xml:space="preserve"> </w:t>
      </w:r>
      <w:r>
        <w:t>i</w:t>
      </w:r>
      <w:r>
        <w:t xml:space="preserve"> </w:t>
      </w:r>
      <w:r>
        <w:t>Pr)</w:t>
      </w:r>
      <w:r>
        <w:rPr>
          <w:vertAlign w:val="subscript"/>
        </w:rPr>
        <w:t>2</w:t>
      </w:r>
      <w:r>
        <w:t>}(Dipp)N]</w:t>
      </w:r>
      <w:r>
        <w:t xml:space="preserve"> </w:t>
      </w:r>
      <w:r>
        <w:t>−</w:t>
      </w:r>
      <w:r>
        <w:t>; Dipp = 2,6‐</w:t>
      </w:r>
      <w:r>
        <w:t xml:space="preserve"> </w:t>
      </w:r>
      <w:r>
        <w:t>i</w:t>
      </w:r>
      <w:r>
        <w:t xml:space="preserve"> </w:t>
      </w:r>
      <w:r>
        <w:t>Pr</w:t>
      </w:r>
      <w:r>
        <w:rPr>
          <w:vertAlign w:val="subscript"/>
        </w:rPr>
        <w:t>2</w:t>
      </w:r>
      <w:r>
        <w:t>C</w:t>
      </w:r>
      <w:r>
        <w:rPr>
          <w:vertAlign w:val="subscript"/>
        </w:rPr>
        <w:t>6</w:t>
      </w:r>
      <w:r>
        <w:t>H</w:t>
      </w:r>
      <w:r>
        <w:rPr>
          <w:vertAlign w:val="subscript"/>
        </w:rPr>
        <w:t>3</w:t>
      </w:r>
      <w:r>
        <w:t>). Although these systems cannot be accessed by direct addition of the E</w:t>
      </w:r>
      <w:r>
        <w:t xml:space="preserve"> </w:t>
      </w:r>
      <w:r>
        <w:t>I</w:t>
      </w:r>
      <w:r>
        <w:t xml:space="preserve"> </w:t>
      </w:r>
      <w:r>
        <w:t>dimers to a Ni</w:t>
      </w:r>
      <w:r>
        <w:rPr>
          <w:vertAlign w:val="subscript"/>
        </w:rPr>
        <w:t>0</w:t>
      </w:r>
      <w:r>
        <w:t>synthon (i.e. Ni(cod)</w:t>
      </w:r>
      <w:r>
        <w:rPr>
          <w:vertAlign w:val="subscript"/>
        </w:rPr>
        <w:t>2</w:t>
      </w:r>
      <w:r>
        <w:t>; cod = 1,5‐cyclooctadiene), we report a novel reductive group elimination pathway, forming the E</w:t>
      </w:r>
      <w:r>
        <w:t xml:space="preserve"> </w:t>
      </w:r>
      <w:r>
        <w:t>I</w:t>
      </w:r>
      <w:r>
        <w:t xml:space="preserve"> </w:t>
      </w:r>
      <w:r>
        <w:t>dimers from E</w:t>
      </w:r>
      <w:r>
        <w:t xml:space="preserve"> </w:t>
      </w:r>
      <w:r>
        <w:t>II</w:t>
      </w:r>
      <w:r>
        <w:t xml:space="preserve"> </w:t>
      </w:r>
      <w:r>
        <w:t>synthons in the coordination sphere of Ni, for example, through H</w:t>
      </w:r>
      <w:r>
        <w:rPr>
          <w:vertAlign w:val="subscript"/>
        </w:rPr>
        <w:t>2</w:t>
      </w:r>
      <w:r>
        <w:t>elimination from Sn</w:t>
      </w:r>
      <w:r>
        <w:t xml:space="preserve"> </w:t>
      </w:r>
      <w:r>
        <w:t>II</w:t>
      </w:r>
      <w:r>
        <w:t xml:space="preserve"> </w:t>
      </w:r>
      <w:r>
        <w:t>hydride compounds. Structural analyses in combination with computational studies indicate that these species are best described as σ‐complexes of E</w:t>
      </w:r>
      <w:r>
        <w:t xml:space="preserve"> </w:t>
      </w:r>
      <w:r>
        <w:t>I</w:t>
      </w:r>
      <w:r>
        <w:t xml:space="preserve"> </w:t>
      </w:r>
      <w:r>
        <w:t>dimers with a transition metal centre, representing a new bonding mode in organometallic coordination chemistry.</w:t>
      </w:r>
    </w:p>
    <w:p>
      <w:pPr>
        <w:spacing w:before="120" w:after="120"/>
      </w:pPr>
      <w:r>
        <w:rPr>
          <w:sz w:val="18"/>
        </w:rPr>
        <w:t>——————————————————————————————————————————————————————————————————————</w:t>
      </w:r>
    </w:p>
    <w:p>
      <w:pPr>
        <w:spacing w:before="160" w:after="40" w:line="240" w:lineRule="auto"/>
      </w:pPr>
      <w:r>
        <w:rPr>
          <w:b/>
        </w:rPr>
        <w:t xml:space="preserve">[464] </w:t>
      </w:r>
      <w:hyperlink r:id="rId1109">
        <w:r>
          <w:rPr>
            <w:color w:val="1155CC"/>
            <w:u w:val="single"/>
          </w:rPr>
          <w:t>蛋白质-DNA 框架纳米结构的组装：用适配体在结构上定义蛋白质-DNA 界面</w:t>
        </w:r>
      </w:hyperlink>
    </w:p>
    <w:p>
      <w:pPr>
        <w:spacing w:before="0" w:after="80"/>
      </w:pPr>
      <w:r>
        <w:rPr>
          <w:i/>
          <w:sz w:val="20"/>
        </w:rPr>
        <w:t>EN: Assembly of Protein‐DNA Framework Nanostructures: Structurally Defining Protein‐DNA Interfaces With Aptamer</w:t>
      </w:r>
    </w:p>
    <w:p>
      <w:pPr>
        <w:spacing w:before="0" w:after="120"/>
      </w:pPr>
      <w:r>
        <w:rPr>
          <w:b/>
        </w:rPr>
        <w:t xml:space="preserve">Source: </w:t>
      </w:r>
      <w:r>
        <w:t>Wiley: Angewandte Chemie International Edition: Table of Contents</w:t>
      </w:r>
      <w:r>
        <w:t xml:space="preserve">    </w:t>
      </w:r>
      <w:r>
        <w:rPr>
          <w:b/>
        </w:rPr>
        <w:t xml:space="preserve">Pub date: </w:t>
      </w:r>
      <w:r>
        <w:t>2026-06-04 08:57:06+00:00</w:t>
      </w:r>
      <w:r>
        <w:t xml:space="preserve">    </w:t>
      </w:r>
      <w:r>
        <w:rPr>
          <w:b/>
        </w:rPr>
        <w:t xml:space="preserve">DOI: </w:t>
      </w:r>
      <w:hyperlink r:id="rId1110">
        <w:r>
          <w:rPr>
            <w:color w:val="1155CC"/>
            <w:u w:val="single"/>
          </w:rPr>
          <w:t>10.1002/anie.9624043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DNA 和蛋白质已被广泛探索用于纳米结构的自组装。每个都有其自身的优点和局限性。通过将它们整合在一起，蛋白质-DNA框架（PDF）可以结合它们的优势，同时克服与每个组件相关的限制；因此，在结构、功能、装配多功能性和响应能力方面提供了巨大的多样性。尽管每一种都已被证明可以自组装成大型结构，但为 PDF 组装设计结构良好的蛋白质-DNA 界面仍然是一个巨大的挑战。在此，我们报告了解决此问题的强大且通用的方法。特异性和高亲和力的蛋白质-适体结合可以通过结构控制很好地连接蛋白质和 DNA。一系列二价凝血酶适体被设计用于与凝血酶共同组装成一系列 PDF，包括离散三角形和 3D 棱柱、线性和圆形低聚物、1D 链/梯和 2D 阵列。这种策略的多功能性通过自组装得到了进一步证明</w:t>
      </w:r>
      <w:r>
        <w:t xml:space="preserve"> </w:t>
      </w:r>
      <w:r>
        <w:t>恶性疟原虫</w:t>
      </w:r>
      <w:r>
        <w:t xml:space="preserve"> </w:t>
      </w:r>
      <w:r>
        <w:t>乳酸脱氢酶（</w:t>
      </w:r>
      <w:r>
        <w:t xml:space="preserve"> </w:t>
      </w:r>
      <w:r>
        <w:t>普夫</w:t>
      </w:r>
      <w:r>
        <w:t xml:space="preserve"> </w:t>
      </w:r>
      <w:r>
        <w:t>LDH)—包含 PDF。在这项工作中，通用建模程序 AlphaFold 3 极大地促进了结构建模并帮助设计。我们相信，这种合理的 PDF 设计将作为集成蛋白质的多种功能和 DNA 的易于组装可编程性的多模态生物材料得到广泛的应用。</w:t>
      </w:r>
    </w:p>
    <w:p>
      <w:pPr>
        <w:spacing w:before="0" w:after="200" w:lineRule="auto" w:line="276"/>
      </w:pPr>
      <w:r>
        <w:rPr>
          <w:b/>
        </w:rPr>
        <w:t xml:space="preserve">Abstract (EN): </w:t>
      </w:r>
      <w:r>
        <w:t>DNA and proteins have been extensively explored for self‐assembly of nanostructures. Each has its own advantages and limitations. By integrating them together, protein‐DNA frameworks (PDFs) could potentially combine their advantages while overcoming the limitations associated with each component; thus, providing a huge diversity in terms of structures, functionalities, assembly versatilities, and responsiveness. Though each has been demonstrated to self‐assemble into large structures, it remains a great challenge to engineer well‐structured protein‐DNA interfaces for PDF assembly. Herein, we report a robust and versatile approach to this problem. Specific and high‐affinity protein‐aptamer binding can nicely interface protein and DNA with structural control. A series of bivalent thrombin aptamers were designed to co‐assemble with thrombin into a range of PDFs including discrete triangles and 3D prisms, linear and circular oligomers, 1D chains/ladders, and 2D arrays. The versatility of such a strategy was further demonstrated by the self‐assembly of</w:t>
      </w:r>
      <w:r>
        <w:t xml:space="preserve"> </w:t>
      </w:r>
      <w:r>
        <w:t>Plasmodium falciparum</w:t>
      </w:r>
      <w:r>
        <w:t xml:space="preserve"> </w:t>
      </w:r>
      <w:r>
        <w:t>lactate dehydrogenase (</w:t>
      </w:r>
      <w:r>
        <w:t xml:space="preserve"> </w:t>
      </w:r>
      <w:r>
        <w:t>Pf</w:t>
      </w:r>
      <w:r>
        <w:t xml:space="preserve"> </w:t>
      </w:r>
      <w:r>
        <w:t>LDH)—containing PDFs. In this work, AlphaFold 3, a universal modeling program, dramatically facilitates structural modeling and helps the designs. We believe that such a rational PDF design will find wide applications as multimodal biomaterials integrating the diverse functionalities of proteins and the ease of assembly programmability of DNA.</w:t>
      </w:r>
    </w:p>
    <w:p>
      <w:pPr>
        <w:spacing w:before="120" w:after="120"/>
      </w:pPr>
      <w:r>
        <w:rPr>
          <w:sz w:val="18"/>
        </w:rPr>
        <w:t>——————————————————————————————————————————————————————————————————————</w:t>
      </w:r>
    </w:p>
    <w:p>
      <w:pPr>
        <w:spacing w:before="160" w:after="40" w:line="240" w:lineRule="auto"/>
      </w:pPr>
      <w:r>
        <w:rPr>
          <w:b/>
        </w:rPr>
        <w:t xml:space="preserve">[465] </w:t>
      </w:r>
      <w:hyperlink r:id="rId1111">
        <w:r>
          <w:rPr>
            <w:color w:val="1155CC"/>
            <w:u w:val="single"/>
          </w:rPr>
          <w:t>Al-MOF 中的形状识别可实现 C3F6 的高吸附和 C3F6/C3F8 的尺寸筛分分离</w:t>
        </w:r>
      </w:hyperlink>
    </w:p>
    <w:p>
      <w:pPr>
        <w:spacing w:before="0" w:after="80"/>
      </w:pPr>
      <w:r>
        <w:rPr>
          <w:i/>
          <w:sz w:val="20"/>
        </w:rPr>
        <w:t>EN: Shape‐Recognition in an Al‐MOF Enables High C3F6 Adsorption and Size‐Sieving Separation of C3F6/C3F8</w:t>
      </w:r>
    </w:p>
    <w:p>
      <w:pPr>
        <w:spacing w:before="0" w:after="120"/>
      </w:pPr>
      <w:r>
        <w:rPr>
          <w:b/>
        </w:rPr>
        <w:t xml:space="preserve">Source: </w:t>
      </w:r>
      <w:r>
        <w:t>Wiley: Advanced Materials: Table of Contents</w:t>
      </w:r>
      <w:r>
        <w:t xml:space="preserve">    </w:t>
      </w:r>
      <w:r>
        <w:rPr>
          <w:b/>
        </w:rPr>
        <w:t xml:space="preserve">Pub date: </w:t>
      </w:r>
      <w:r>
        <w:t>2026-06-04 10:32:26+00:00</w:t>
      </w:r>
      <w:r>
        <w:t xml:space="preserve">    </w:t>
      </w:r>
      <w:r>
        <w:rPr>
          <w:b/>
        </w:rPr>
        <w:t xml:space="preserve">DOI: </w:t>
      </w:r>
      <w:hyperlink r:id="rId1112">
        <w:r>
          <w:rPr>
            <w:color w:val="1155CC"/>
            <w:u w:val="single"/>
          </w:rPr>
          <w:t>10.1002/adma.73609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全氟丙烷（C</w:t>
      </w:r>
      <w:r>
        <w:rPr>
          <w:vertAlign w:val="subscript"/>
        </w:rPr>
        <w:t>3</w:t>
      </w:r>
      <w:r>
        <w:t>F</w:t>
      </w:r>
      <w:r>
        <w:rPr>
          <w:vertAlign w:val="subscript"/>
        </w:rPr>
        <w:t>8</w:t>
      </w:r>
      <w:r>
        <w:t>）依赖于选择性去除痕量全氟丙烯（C</w:t>
      </w:r>
      <w:r>
        <w:rPr>
          <w:vertAlign w:val="subscript"/>
        </w:rPr>
        <w:t>3</w:t>
      </w:r>
      <w:r>
        <w:t>F</w:t>
      </w:r>
      <w:r>
        <w:rPr>
          <w:vertAlign w:val="subscript"/>
        </w:rPr>
        <w:t>6</w:t>
      </w:r>
      <w:r>
        <w:t>），由于它们相似的物理化学性质，这仍然具有挑战性。在此，我们报道了一种刚性铝基 MOF，HIAM-344，具有硝酸盐调节的窄孔窗和大空腔，可以同时对 C 进行分子筛分。</w:t>
      </w:r>
      <w:r>
        <w:rPr>
          <w:vertAlign w:val="subscript"/>
        </w:rPr>
        <w:t>3</w:t>
      </w:r>
      <w:r>
        <w:t>F</w:t>
      </w:r>
      <w:r>
        <w:rPr>
          <w:vertAlign w:val="subscript"/>
        </w:rPr>
        <w:t>6</w:t>
      </w:r>
      <w:r>
        <w:t>/C</w:t>
      </w:r>
      <w:r>
        <w:rPr>
          <w:vertAlign w:val="subscript"/>
        </w:rPr>
        <w:t>3</w:t>
      </w:r>
      <w:r>
        <w:t>F</w:t>
      </w:r>
      <w:r>
        <w:rPr>
          <w:vertAlign w:val="subscript"/>
        </w:rPr>
        <w:t>8</w:t>
      </w:r>
      <w:r>
        <w:t>和高C</w:t>
      </w:r>
      <w:r>
        <w:rPr>
          <w:vertAlign w:val="subscript"/>
        </w:rPr>
        <w:t>3</w:t>
      </w:r>
      <w:r>
        <w:t>F</w:t>
      </w:r>
      <w:r>
        <w:rPr>
          <w:vertAlign w:val="subscript"/>
        </w:rPr>
        <w:t>6</w:t>
      </w:r>
      <w:r>
        <w:t>低压吸附。 HIAM-344 表现出创纪录的高 C</w:t>
      </w:r>
      <w:r>
        <w:rPr>
          <w:vertAlign w:val="subscript"/>
        </w:rPr>
        <w:t>3</w:t>
      </w:r>
      <w:r>
        <w:t>F</w:t>
      </w:r>
      <w:r>
        <w:rPr>
          <w:vertAlign w:val="subscript"/>
        </w:rPr>
        <w:t>6</w:t>
      </w:r>
      <w:r>
        <w:t>吸收78.8厘米</w:t>
      </w:r>
      <w:r>
        <w:rPr>
          <w:vertAlign w:val="subscript"/>
        </w:rPr>
        <w:t>3</w:t>
      </w:r>
      <w:r>
        <w:t>克</w:t>
      </w:r>
      <w:r>
        <w:t xml:space="preserve"> </w:t>
      </w:r>
      <w:r>
        <w:t>−1</w:t>
      </w:r>
      <w:r>
        <w:t xml:space="preserve"> </w:t>
      </w:r>
      <w:r>
        <w:t>在 298 K 和 1 bar 下，并保持 59.2 cm 的极高容量</w:t>
      </w:r>
      <w:r>
        <w:rPr>
          <w:vertAlign w:val="subscript"/>
        </w:rPr>
        <w:t>3</w:t>
      </w:r>
      <w:r>
        <w:t>克</w:t>
      </w:r>
      <w:r>
        <w:t xml:space="preserve"> </w:t>
      </w:r>
      <w:r>
        <w:t>−1</w:t>
      </w:r>
      <w:r>
        <w:t xml:space="preserve"> </w:t>
      </w:r>
      <w:r>
        <w:t>在 0.01 bar 的低压下。动态突破实验证明 C 的完全分裂</w:t>
      </w:r>
      <w:r>
        <w:rPr>
          <w:vertAlign w:val="subscript"/>
        </w:rPr>
        <w:t>3</w:t>
      </w:r>
      <w:r>
        <w:t>F</w:t>
      </w:r>
      <w:r>
        <w:rPr>
          <w:vertAlign w:val="subscript"/>
        </w:rPr>
        <w:t>6</w:t>
      </w:r>
      <w:r>
        <w:t>和C</w:t>
      </w:r>
      <w:r>
        <w:rPr>
          <w:vertAlign w:val="subscript"/>
        </w:rPr>
        <w:t>3</w:t>
      </w:r>
      <w:r>
        <w:t>F</w:t>
      </w:r>
      <w:r>
        <w:rPr>
          <w:vertAlign w:val="subscript"/>
        </w:rPr>
        <w:t>8</w:t>
      </w:r>
      <w:r>
        <w:t>，直接生产电子级C</w:t>
      </w:r>
      <w:r>
        <w:rPr>
          <w:vertAlign w:val="subscript"/>
        </w:rPr>
        <w:t>3</w:t>
      </w:r>
    </w:p>
    <w:p>
      <w:pPr>
        <w:spacing w:before="0" w:after="200" w:lineRule="auto" w:line="276"/>
      </w:pPr>
      <w:r>
        <w:rPr>
          <w:b/>
        </w:rPr>
        <w:t xml:space="preserve">Abstract (EN): </w:t>
      </w:r>
      <w:r>
        <w:t>The purification of perfluoropropane (C</w:t>
      </w:r>
      <w:r>
        <w:rPr>
          <w:vertAlign w:val="subscript"/>
        </w:rPr>
        <w:t>3</w:t>
      </w:r>
      <w:r>
        <w:t>F</w:t>
      </w:r>
      <w:r>
        <w:rPr>
          <w:vertAlign w:val="subscript"/>
        </w:rPr>
        <w:t>8</w:t>
      </w:r>
      <w:r>
        <w:t>) relies on the selective removal of trace perfluoropropylene (C</w:t>
      </w:r>
      <w:r>
        <w:rPr>
          <w:vertAlign w:val="subscript"/>
        </w:rPr>
        <w:t>3</w:t>
      </w:r>
      <w:r>
        <w:t>F</w:t>
      </w:r>
      <w:r>
        <w:rPr>
          <w:vertAlign w:val="subscript"/>
        </w:rPr>
        <w:t>6</w:t>
      </w:r>
      <w:r>
        <w:t>), which remains challenging due to their similar physicochemical properties. Herein, we report a rigid Al‐based MOF, HIAM‐344, featuring nitrate‐regulated narrow pore windows and large cavities that enable simultaneous molecular sieving of C</w:t>
      </w:r>
      <w:r>
        <w:rPr>
          <w:vertAlign w:val="subscript"/>
        </w:rPr>
        <w:t>3</w:t>
      </w:r>
      <w:r>
        <w:t>F</w:t>
      </w:r>
      <w:r>
        <w:rPr>
          <w:vertAlign w:val="subscript"/>
        </w:rPr>
        <w:t>6</w:t>
      </w:r>
      <w:r>
        <w:t>/C</w:t>
      </w:r>
      <w:r>
        <w:rPr>
          <w:vertAlign w:val="subscript"/>
        </w:rPr>
        <w:t>3</w:t>
      </w:r>
      <w:r>
        <w:t>F</w:t>
      </w:r>
      <w:r>
        <w:rPr>
          <w:vertAlign w:val="subscript"/>
        </w:rPr>
        <w:t>8</w:t>
      </w:r>
      <w:r>
        <w:t>and high C</w:t>
      </w:r>
      <w:r>
        <w:rPr>
          <w:vertAlign w:val="subscript"/>
        </w:rPr>
        <w:t>3</w:t>
      </w:r>
      <w:r>
        <w:t>F</w:t>
      </w:r>
      <w:r>
        <w:rPr>
          <w:vertAlign w:val="subscript"/>
        </w:rPr>
        <w:t>6</w:t>
      </w:r>
      <w:r>
        <w:t>adsorption at low pressure. HIAM‐344 exhibits a record‐high C</w:t>
      </w:r>
      <w:r>
        <w:rPr>
          <w:vertAlign w:val="subscript"/>
        </w:rPr>
        <w:t>3</w:t>
      </w:r>
      <w:r>
        <w:t>F</w:t>
      </w:r>
      <w:r>
        <w:rPr>
          <w:vertAlign w:val="subscript"/>
        </w:rPr>
        <w:t>6</w:t>
      </w:r>
      <w:r>
        <w:t>uptake of 78.8 cm</w:t>
      </w:r>
      <w:r>
        <w:rPr>
          <w:vertAlign w:val="subscript"/>
        </w:rPr>
        <w:t>3</w:t>
      </w:r>
      <w:r>
        <w:t>g</w:t>
      </w:r>
      <w:r>
        <w:t xml:space="preserve"> </w:t>
      </w:r>
      <w:r>
        <w:t>−1</w:t>
      </w:r>
      <w:r>
        <w:t xml:space="preserve"> </w:t>
      </w:r>
      <w:r>
        <w:t>at 298 K and 1 bar, and maintains a remarkably high capacity of 59.2 cm</w:t>
      </w:r>
      <w:r>
        <w:rPr>
          <w:vertAlign w:val="subscript"/>
        </w:rPr>
        <w:t>3</w:t>
      </w:r>
      <w:r>
        <w:t>g</w:t>
      </w:r>
      <w:r>
        <w:t xml:space="preserve"> </w:t>
      </w:r>
      <w:r>
        <w:t>−1</w:t>
      </w:r>
      <w:r>
        <w:t xml:space="preserve"> </w:t>
      </w:r>
      <w:r>
        <w:t>at a low pressure of 0.01 bar. Dynamic breakthrough experiments demonstrate complete splitting of C</w:t>
      </w:r>
      <w:r>
        <w:rPr>
          <w:vertAlign w:val="subscript"/>
        </w:rPr>
        <w:t>3</w:t>
      </w:r>
      <w:r>
        <w:t>F</w:t>
      </w:r>
      <w:r>
        <w:rPr>
          <w:vertAlign w:val="subscript"/>
        </w:rPr>
        <w:t>6</w:t>
      </w:r>
      <w:r>
        <w:t>and C</w:t>
      </w:r>
      <w:r>
        <w:rPr>
          <w:vertAlign w:val="subscript"/>
        </w:rPr>
        <w:t>3</w:t>
      </w:r>
      <w:r>
        <w:t>F</w:t>
      </w:r>
      <w:r>
        <w:rPr>
          <w:vertAlign w:val="subscript"/>
        </w:rPr>
        <w:t>8</w:t>
      </w:r>
      <w:r>
        <w:t>, and direct production of electronic‐grade C</w:t>
      </w:r>
      <w:r>
        <w:rPr>
          <w:vertAlign w:val="subscript"/>
        </w:rPr>
        <w:t>3</w:t>
      </w:r>
      <w:r>
        <w:t>F</w:t>
      </w:r>
      <w:r>
        <w:rPr>
          <w:vertAlign w:val="subscript"/>
        </w:rPr>
        <w:t>8</w:t>
      </w:r>
      <w:r>
        <w:t>(&amp;gt;99.999%). Computational studies reveal that the outstanding separation performance originates from the synergistic size and shape recognition, as well as the favorable adsorbate‐adsorbent interactions.</w:t>
      </w:r>
    </w:p>
    <w:p>
      <w:pPr>
        <w:spacing w:before="120" w:after="120"/>
      </w:pPr>
      <w:r>
        <w:rPr>
          <w:sz w:val="18"/>
        </w:rPr>
        <w:t>——————————————————————————————————————————————————————————————————————</w:t>
      </w:r>
    </w:p>
    <w:p>
      <w:pPr>
        <w:spacing w:before="160" w:after="40" w:line="240" w:lineRule="auto"/>
      </w:pPr>
      <w:r>
        <w:rPr>
          <w:b/>
        </w:rPr>
        <w:t xml:space="preserve">[466] </w:t>
      </w:r>
      <w:hyperlink r:id="rId1113">
        <w:r>
          <w:rPr>
            <w:color w:val="1155CC"/>
            <w:u w:val="single"/>
          </w:rPr>
          <w:t>氨基四唑-金纳米复合物可分流电子来消灭细菌，且不会产生 ROS 诱导的耐药性</w:t>
        </w:r>
      </w:hyperlink>
    </w:p>
    <w:p>
      <w:pPr>
        <w:spacing w:before="0" w:after="80"/>
      </w:pPr>
      <w:r>
        <w:rPr>
          <w:i/>
          <w:sz w:val="20"/>
        </w:rPr>
        <w:t>EN: Aminotetrazole–Gold Nanocomplexes Shunt Electrons to Eradicate Bacteria Without ROS‐Induced Resistance</w:t>
      </w:r>
    </w:p>
    <w:p>
      <w:pPr>
        <w:spacing w:before="0" w:after="120"/>
      </w:pPr>
      <w:r>
        <w:rPr>
          <w:b/>
        </w:rPr>
        <w:t xml:space="preserve">Source: </w:t>
      </w:r>
      <w:r>
        <w:t>Wiley: Advanced Materials: Table of Contents</w:t>
      </w:r>
      <w:r>
        <w:t xml:space="preserve">    </w:t>
      </w:r>
      <w:r>
        <w:rPr>
          <w:b/>
        </w:rPr>
        <w:t xml:space="preserve">Pub date: </w:t>
      </w:r>
      <w:r>
        <w:t>2026-06-04 13:27:03+00:00</w:t>
      </w:r>
      <w:r>
        <w:t xml:space="preserve">    </w:t>
      </w:r>
      <w:r>
        <w:rPr>
          <w:b/>
        </w:rPr>
        <w:t xml:space="preserve">DOI: </w:t>
      </w:r>
      <w:hyperlink r:id="rId1114">
        <w:r>
          <w:rPr>
            <w:color w:val="1155CC"/>
            <w:u w:val="single"/>
          </w:rPr>
          <w:t>10.1002/adma.73611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大多数杀菌剂直接或间接破坏电子传递链（ETC）介导的能量代谢以发挥抗菌作用。然而，随之而来的电子转移状态的扰动（例如通量过载或阻塞）会导致电子积累，从而增强活性氧（ROS）的产生。高浓度的 ROS 会杀死细菌，而亚致死浓度则会引起 DNA 损伤，从而增加抗生素耐药性风险。在这项研究中，我们发现在关键的 ETC 节点分流电子能够扰乱细菌的能量代谢，在不产生 ROS 的情况下破坏细菌。为了利用无ROS机制来控制感染，我们合成了5-氨基四唑功能化金纳米复合物（ATZ-Au），它可以拦截从电子供体到下游载体的电子转移。这会迅速耗尽还原型烟酰胺腺嘌呤二核苷酸 (NADH)，破坏质子动力 (PMF)，损害 ATP 合成，并阻断细菌代偿性代谢途径，最终导致致命的细胞内酸中毒和代谢崩溃。这种效应阻止了氧对电子的捕获，从而阻止了 ROS 的产生。 ATZ-Au 可有效消除复杂感染中的致病菌，为解决抗生素耐药性提供了一种有前途的策略。</w:t>
      </w:r>
    </w:p>
    <w:p>
      <w:pPr>
        <w:spacing w:before="0" w:after="200" w:lineRule="auto" w:line="276"/>
      </w:pPr>
      <w:r>
        <w:rPr>
          <w:b/>
        </w:rPr>
        <w:t xml:space="preserve">Abstract (EN): </w:t>
      </w:r>
      <w:r>
        <w:t>Most bactericides directly or indirectly disrupt the electron transport chain (ETC)‐mediated energy metabolism to exert antibacterial effects. However, the consequent perturbation of electron transfer states (e.g., flux overload or blockade) leads to electron accumulation, which enhances reactive oxygen species (ROS) generation. High ROS concentrations kill bacteria, while sublethal levels induce DNA damage, thereby elevating antibiotic resistance risk. In this study, we found that shunting electrons at critical ETC nodes is able to disrupt bacterial energy metabolism, damaging bacteria without ROS generation. To leverage the ROS‐free mechanism for infection control, we synthesized 5‐aminotetrazole‐functionalized gold nanocomplexes (ATZ‐Au) that intercept electron transfer from electron donors to downstream carriers. This rapidly depletes reduced nicotinamide adenine dinucleotide (NADH), disrupts the proton motive force (PMF), impairs ATP synthesis, and blocks bacterial compensatory metabolic pathways, ultimately leading to lethal intracellular acidosis and metabolic collapse. This effect blocks the capture of electrons by oxygen, thereby preventing the generation of ROS. The ATZ‐Au efficiently eliminates pathogenic bacteria in complex infections, providing a promising strategy to address antibiotic resistance.</w:t>
      </w:r>
    </w:p>
    <w:p>
      <w:pPr>
        <w:spacing w:before="120" w:after="120"/>
      </w:pPr>
      <w:r>
        <w:rPr>
          <w:sz w:val="18"/>
        </w:rPr>
        <w:t>——————————————————————————————————————————————————————————————————————</w:t>
      </w:r>
    </w:p>
    <w:p>
      <w:pPr>
        <w:spacing w:before="160" w:after="40" w:line="240" w:lineRule="auto"/>
      </w:pPr>
      <w:r>
        <w:rPr>
          <w:b/>
        </w:rPr>
        <w:t xml:space="preserve">[467] </w:t>
      </w:r>
      <w:hyperlink r:id="rId1115">
        <w:r>
          <w:rPr>
            <w:color w:val="1155CC"/>
            <w:u w:val="single"/>
          </w:rPr>
          <w:t>光诱导钯催化吡啶的位点选择性间烷基化</w:t>
        </w:r>
      </w:hyperlink>
    </w:p>
    <w:p>
      <w:pPr>
        <w:spacing w:before="0" w:after="80"/>
      </w:pPr>
      <w:r>
        <w:rPr>
          <w:i/>
          <w:sz w:val="20"/>
        </w:rPr>
        <w:t>EN: Photoinduced Palladium‐Catalyzed Site‐Selective Meta‐Alkylation of Pyridines</w:t>
      </w:r>
    </w:p>
    <w:p>
      <w:pPr>
        <w:spacing w:before="0" w:after="120"/>
      </w:pPr>
      <w:r>
        <w:rPr>
          <w:b/>
        </w:rPr>
        <w:t xml:space="preserve">Source: </w:t>
      </w:r>
      <w:r>
        <w:t>Wiley: Angewandte Chemie International Edition: Table of Contents</w:t>
      </w:r>
      <w:r>
        <w:t xml:space="preserve">    </w:t>
      </w:r>
      <w:r>
        <w:rPr>
          <w:b/>
        </w:rPr>
        <w:t xml:space="preserve">Pub date: </w:t>
      </w:r>
      <w:r>
        <w:t>2026-06-04 16:17:14+00:00</w:t>
      </w:r>
      <w:r>
        <w:t xml:space="preserve">    </w:t>
      </w:r>
      <w:r>
        <w:rPr>
          <w:b/>
        </w:rPr>
        <w:t xml:space="preserve">DOI: </w:t>
      </w:r>
      <w:hyperlink r:id="rId1116">
        <w:r>
          <w:rPr>
            <w:color w:val="1155CC"/>
            <w:u w:val="single"/>
          </w:rPr>
          <w:t>10.1002/anie.5426146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实现区域选择性</w:t>
      </w:r>
      <w:r>
        <w:t xml:space="preserve"> </w:t>
      </w:r>
      <w:r>
        <w:t>元</w:t>
      </w:r>
      <w:r>
        <w:t xml:space="preserve"> </w:t>
      </w:r>
      <w:r>
        <w:t>由于吡啶固有的电子偏压以及缺乏与简单烷基亲电子试剂兼容的通用策略，吡啶的-C-H烷基化仍然是一个长期存在的挑战。与优先功能化缺电子位置的 Minisci 型烷基化相反，</w:t>
      </w:r>
      <w:r>
        <w:t xml:space="preserve"> </w:t>
      </w:r>
      <w:r>
        <w:t>元</w:t>
      </w:r>
      <w:r>
        <w:t xml:space="preserve"> </w:t>
      </w:r>
      <w:r>
        <w:t>‐使用烷基溴对无偏吡啶进行烷基化仍然难以捉摸。在此，我们报告了一种光诱导钯催化策略，该策略能够实现区域选择性</w:t>
      </w:r>
      <w:r>
        <w:t xml:space="preserve"> </w:t>
      </w:r>
      <w:r>
        <w:t>元</w:t>
      </w:r>
      <w:r>
        <w:t xml:space="preserve"> </w:t>
      </w:r>
      <w:r>
        <w:t>‐通过氧化还原中性脱芳构化途径用市售烷基溴对吡啶进行烷基化。钯的可见光激发产生杂化烷基-Pd(I)自由基物质，尽管存在固有的极性不匹配，但该自由基物质仍会区域选择性加成到恶嗪基-吡啶中间体上，形成稳定的</w:t>
      </w:r>
      <w:r>
        <w:t xml:space="preserve"> </w:t>
      </w:r>
      <w:r>
        <w:t>π</w:t>
      </w:r>
      <w:r>
        <w:t xml:space="preserve"> </w:t>
      </w:r>
      <w:r>
        <w:t>重芳构化前的-烯丙基 Pd(I) 自由基。该方法表现出广泛的底物范围，包括各种吡啶、喹啉和烷基溴，并且能够进行一锅法和连续法</w:t>
      </w:r>
      <w:r>
        <w:t xml:space="preserve"> </w:t>
      </w:r>
      <w:r>
        <w:t>元</w:t>
      </w:r>
      <w:r>
        <w:t xml:space="preserve"> </w:t>
      </w:r>
      <w:r>
        <w:t>‐功能化策略。 DFT 计算支持外球自由基加成机制，并使观察到的区域选择性合理化。这项工作为 Pd 催化建立了新的范式</w:t>
      </w:r>
      <w:r>
        <w:t xml:space="preserve"> </w:t>
      </w:r>
      <w:r>
        <w:t>元</w:t>
      </w:r>
      <w:r>
        <w:t xml:space="preserve"> </w:t>
      </w:r>
      <w:r>
        <w:t>吖嗪的-C-H烷基化，传统和重要的补充概念方法</w:t>
      </w:r>
    </w:p>
    <w:p>
      <w:pPr>
        <w:spacing w:before="0" w:after="200" w:lineRule="auto" w:line="276"/>
      </w:pPr>
      <w:r>
        <w:rPr>
          <w:b/>
        </w:rPr>
        <w:t xml:space="preserve">Abstract (EN): </w:t>
      </w:r>
      <w:r>
        <w:t>Achieving regioselective</w:t>
      </w:r>
      <w:r>
        <w:t xml:space="preserve"> </w:t>
      </w:r>
      <w:r>
        <w:t>meta</w:t>
      </w:r>
      <w:r>
        <w:t xml:space="preserve"> </w:t>
      </w:r>
      <w:r>
        <w:t>‐C–H alkylation of pyridines remains a long‐standing challenge due to their intrinsic electronic bias and the lack of general strategies compatible with simple alkyl electrophiles. In contrast to Minisci‐type alkylations, which preferentially functionalize electron‐deficient positions,</w:t>
      </w:r>
      <w:r>
        <w:t xml:space="preserve"> </w:t>
      </w:r>
      <w:r>
        <w:t>meta</w:t>
      </w:r>
      <w:r>
        <w:t xml:space="preserve"> </w:t>
      </w:r>
      <w:r>
        <w:t>‐alkylation of unbiased pyridines using alkyl bromides has remained elusive. Herein, we report a photoinduced palladium‐catalyzed strategy that enables regioselective</w:t>
      </w:r>
      <w:r>
        <w:t xml:space="preserve"> </w:t>
      </w:r>
      <w:r>
        <w:t>meta</w:t>
      </w:r>
      <w:r>
        <w:t xml:space="preserve"> </w:t>
      </w:r>
      <w:r>
        <w:t>‐alkylation of pyridines with commercially available alkyl bromides via a redox‐neutral dearomatization pathway. Visible‐light excitation of palladium generates a hybrid alkyl–Pd(I) radical species that undergoes regioselective addition to oxazino‐pyridine intermediates despite inherent polarity mismatch, forming a stabilized</w:t>
      </w:r>
      <w:r>
        <w:t xml:space="preserve"> </w:t>
      </w:r>
      <w:r>
        <w:t>π</w:t>
      </w:r>
      <w:r>
        <w:t xml:space="preserve"> </w:t>
      </w:r>
      <w:r>
        <w:t>‐allyl Pd(I) radical prior to rearomatization. The method exhibits a broad substrate scope encompassing diverse pyridines, quinolines, and alkyl bromides, and enables one‐pot and sequential</w:t>
      </w:r>
      <w:r>
        <w:t xml:space="preserve"> </w:t>
      </w:r>
      <w:r>
        <w:t>meta</w:t>
      </w:r>
      <w:r>
        <w:t xml:space="preserve"> </w:t>
      </w:r>
      <w:r>
        <w:t>‐functionalization strategies. DFT calculations support an outer‐sphere radical addition mechanism and rationalize the observed regioselectivity. This work establishes a new paradigm for Pd‐catalyzed</w:t>
      </w:r>
      <w:r>
        <w:t xml:space="preserve"> </w:t>
      </w:r>
      <w:r>
        <w:t>meta</w:t>
      </w:r>
      <w:r>
        <w:t xml:space="preserve"> </w:t>
      </w:r>
      <w:r>
        <w:t>‐C–H alkylation of azines, a complementary conceptual approach to conventional and important Minisci chemistry.</w:t>
      </w:r>
    </w:p>
    <w:p>
      <w:pPr>
        <w:spacing w:before="120" w:after="120"/>
      </w:pPr>
      <w:r>
        <w:rPr>
          <w:sz w:val="18"/>
        </w:rPr>
        <w:t>——————————————————————————————————————————————————————————————————————</w:t>
      </w:r>
    </w:p>
    <w:p>
      <w:pPr>
        <w:spacing w:before="160" w:after="40" w:line="240" w:lineRule="auto"/>
      </w:pPr>
      <w:r>
        <w:rPr>
          <w:b/>
        </w:rPr>
        <w:t xml:space="preserve">[468] </w:t>
      </w:r>
      <w:hyperlink r:id="rId1117">
        <w:r>
          <w:rPr>
            <w:color w:val="1155CC"/>
            <w:u w:val="single"/>
          </w:rPr>
          <w:t>勘误表：通过多价适体药物缀合物自组装纳米胶束增强抗 PD-1 免疫治疗</w:t>
        </w:r>
      </w:hyperlink>
    </w:p>
    <w:p>
      <w:pPr>
        <w:spacing w:before="0" w:after="80"/>
      </w:pPr>
      <w:r>
        <w:rPr>
          <w:i/>
          <w:sz w:val="20"/>
        </w:rPr>
        <w:t>EN: Corrigendum: Enhancing antiPD‐1 Immunotherapy by Nanomicelles Self‐Assembled from Multivalent Aptamer Drug Conjugates</w:t>
      </w:r>
    </w:p>
    <w:p>
      <w:pPr>
        <w:spacing w:before="0" w:after="120"/>
      </w:pPr>
      <w:r>
        <w:rPr>
          <w:b/>
        </w:rPr>
        <w:t xml:space="preserve">Source: </w:t>
      </w:r>
      <w:r>
        <w:t>Wiley: Angewandte Chemie International Edition: Table of Contents</w:t>
      </w:r>
      <w:r>
        <w:t xml:space="preserve">    </w:t>
      </w:r>
      <w:r>
        <w:rPr>
          <w:b/>
        </w:rPr>
        <w:t xml:space="preserve">Pub date: </w:t>
      </w:r>
      <w:r>
        <w:t>2026-06-04 16:19:32+00:00</w:t>
      </w:r>
      <w:r>
        <w:t xml:space="preserve">    </w:t>
      </w:r>
      <w:r>
        <w:rPr>
          <w:b/>
        </w:rPr>
        <w:t xml:space="preserve">DOI: </w:t>
      </w:r>
      <w:hyperlink r:id="rId1118">
        <w:r>
          <w:rPr>
            <w:color w:val="1155CC"/>
            <w:u w:val="single"/>
          </w:rPr>
          <w:t>10.1002/anie.9343292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[469] </w:t>
      </w:r>
      <w:hyperlink r:id="rId1119">
        <w:r>
          <w:rPr>
            <w:color w:val="1155CC"/>
            <w:u w:val="single"/>
          </w:rPr>
          <w:t>通过后期配体修饰实现 β-Borylenamides 与醛的高度立体选择性加成</w:t>
        </w:r>
      </w:hyperlink>
    </w:p>
    <w:p>
      <w:pPr>
        <w:spacing w:before="0" w:after="80"/>
      </w:pPr>
      <w:r>
        <w:rPr>
          <w:i/>
          <w:sz w:val="20"/>
        </w:rPr>
        <w:t>EN: Highly Stereoselective Addition of β‐Borylenamides to Aldehydes Enabled by Late‑Stage Ligand Modification</w:t>
      </w:r>
    </w:p>
    <w:p>
      <w:pPr>
        <w:spacing w:before="0" w:after="120"/>
      </w:pPr>
      <w:r>
        <w:rPr>
          <w:b/>
        </w:rPr>
        <w:t xml:space="preserve">Source: </w:t>
      </w:r>
      <w:r>
        <w:t>Wiley: Angewandte Chemie International Edition: Table of Contents</w:t>
      </w:r>
      <w:r>
        <w:t xml:space="preserve">    </w:t>
      </w:r>
      <w:r>
        <w:rPr>
          <w:b/>
        </w:rPr>
        <w:t xml:space="preserve">Pub date: </w:t>
      </w:r>
      <w:r>
        <w:t>2026-06-04 16:21:45+00:00</w:t>
      </w:r>
      <w:r>
        <w:t xml:space="preserve">    </w:t>
      </w:r>
      <w:r>
        <w:rPr>
          <w:b/>
        </w:rPr>
        <w:t xml:space="preserve">DOI: </w:t>
      </w:r>
      <w:hyperlink r:id="rId1120">
        <w:r>
          <w:rPr>
            <w:color w:val="1155CC"/>
            <w:u w:val="single"/>
          </w:rPr>
          <w:t>10.1002/anie.4808522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具有羟基立构中心和特定烯烃几何形状的烯丙醇的立体选择性合成仍然是一个重大挑战。虽然传统方法主要提供热力学优势（</w:t>
      </w:r>
      <w:r>
        <w:t xml:space="preserve"> </w:t>
      </w:r>
      <w:r>
        <w:t>乙</w:t>
      </w:r>
      <w:r>
        <w:t xml:space="preserve"> </w:t>
      </w:r>
      <w:r>
        <w:t>)-异构体，有效获得对映体富集的(</w:t>
      </w:r>
      <w:r>
        <w:t xml:space="preserve"> </w:t>
      </w:r>
      <w:r>
        <w:t>Z</w:t>
      </w:r>
      <w:r>
        <w:t xml:space="preserve"> </w:t>
      </w:r>
      <w:r>
        <w:t>）配置的对应项严重不发达。在此，我们报道了通过铑催化将 β-硼酰基酰胺不对称加成到醛上，从而合成了（</w:t>
      </w:r>
      <w:r>
        <w:t xml:space="preserve"> </w:t>
      </w:r>
      <w:r>
        <w:t>Z</w:t>
      </w:r>
      <w:r>
        <w:t xml:space="preserve"> </w:t>
      </w:r>
      <w:r>
        <w:t>)-羟基烯酰胺具有优异的立体控制性。所需的 β-亚硼基酰胺是由混合烯烃起始材料通过直接亲电 C-H 硼酸化立体会聚制备的。一项关键的创新在于后期修饰配体的开发，可以通过亚磷酰胺的直接芳基化轻松获得。这种模块化策略规避了传统的从头配体合成，从而显着加速了特权配体的发现和优化。所得烯丙醇产物经过平稳还原，为 γ-氨基醇提供出色的对映体和非对映体控制。通过密度泛函理论（DFT）计算阐明了修饰配体对对映选择性的影响。</w:t>
      </w:r>
    </w:p>
    <w:p>
      <w:pPr>
        <w:spacing w:before="0" w:after="200" w:lineRule="auto" w:line="276"/>
      </w:pPr>
      <w:r>
        <w:rPr>
          <w:b/>
        </w:rPr>
        <w:t xml:space="preserve">Abstract (EN): </w:t>
      </w:r>
      <w:r>
        <w:t>The stereoselective synthesis of allylic alcohols bearing both a hydroxyl stereocenter and defined olefin geometry remains a significant challenge. While traditional methods predominantly furnish thermodynamically favored (</w:t>
      </w:r>
      <w:r>
        <w:t xml:space="preserve"> </w:t>
      </w:r>
      <w:r>
        <w:t>E</w:t>
      </w:r>
      <w:r>
        <w:t xml:space="preserve"> </w:t>
      </w:r>
      <w:r>
        <w:t>)‐isomers, efficient access to enantiomerically enriched (</w:t>
      </w:r>
      <w:r>
        <w:t xml:space="preserve"> </w:t>
      </w:r>
      <w:r>
        <w:t>Z</w:t>
      </w:r>
      <w:r>
        <w:t xml:space="preserve"> </w:t>
      </w:r>
      <w:r>
        <w:t>)‐configured counterparts is severely underdeveloped. Herein, we report an asymmetric addition of β‐borylenamides to aldehydes by rhodium catalysis, enabling the synthesis of (</w:t>
      </w:r>
      <w:r>
        <w:t xml:space="preserve"> </w:t>
      </w:r>
      <w:r>
        <w:t>Z</w:t>
      </w:r>
      <w:r>
        <w:t xml:space="preserve"> </w:t>
      </w:r>
      <w:r>
        <w:t>)‐hydroxy enamides with excellent stereocontrol. The requisite β‐borylenamides are stereoconvergently prepared from mixed‐olefin starting materials through directed electrophilic C−H borylation. A key innovation lies in the development of late‑stage modified ligands, readily accessible via direct arylation of phosphoramidites. This modular strategy circumvents traditional de novo ligand synthesis, thereby significantly accelerating the discovery and optimization of privileged ligands. The resulting allylic alcohol products undergo smooth reduction to furnish γ‐amino alcohols with exceptional enantio‐ and diastereocontrol. The influence of the modified ligands on enantioselectivity was elucidated through density functional theory (DFT) calculations.</w:t>
      </w:r>
    </w:p>
    <w:p>
      <w:pPr>
        <w:spacing w:before="120" w:after="120"/>
      </w:pPr>
      <w:r>
        <w:rPr>
          <w:sz w:val="18"/>
        </w:rPr>
        <w:t>——————————————————————————————————————————————————————————————————————</w:t>
      </w:r>
    </w:p>
    <w:p>
      <w:pPr>
        <w:spacing w:before="160" w:after="40" w:line="240" w:lineRule="auto"/>
      </w:pPr>
      <w:r>
        <w:rPr>
          <w:b/>
        </w:rPr>
        <w:t xml:space="preserve">[470] </w:t>
      </w:r>
      <w:hyperlink r:id="rId1121">
        <w:r>
          <w:rPr>
            <w:color w:val="1155CC"/>
            <w:u w:val="single"/>
          </w:rPr>
          <w:t>通过碱性磷酸酶反应原位激活蛋白质复合物淬灭探针，用于细胞焦亡介导的癌症免疫治疗</w:t>
        </w:r>
      </w:hyperlink>
    </w:p>
    <w:p>
      <w:pPr>
        <w:spacing w:before="0" w:after="80"/>
      </w:pPr>
      <w:r>
        <w:rPr>
          <w:i/>
          <w:sz w:val="20"/>
        </w:rPr>
        <w:t>EN: In Situ Activating a Protein‐Complexed Quenched Probe via Alkaline Phosphatase Response for Pyroptosis‐Mediated Cancer Immunotherapy</w:t>
      </w:r>
    </w:p>
    <w:p>
      <w:pPr>
        <w:spacing w:before="0" w:after="120"/>
      </w:pPr>
      <w:r>
        <w:rPr>
          <w:b/>
        </w:rPr>
        <w:t xml:space="preserve">Source: </w:t>
      </w:r>
      <w:r>
        <w:t>Wiley: Angewandte Chemie International Edition: Table of Contents</w:t>
      </w:r>
      <w:r>
        <w:t xml:space="preserve">    </w:t>
      </w:r>
      <w:r>
        <w:rPr>
          <w:b/>
        </w:rPr>
        <w:t xml:space="preserve">Pub date: </w:t>
      </w:r>
      <w:r>
        <w:t>2026-06-04 16:21:50+00:00</w:t>
      </w:r>
      <w:r>
        <w:t xml:space="preserve">    </w:t>
      </w:r>
      <w:r>
        <w:rPr>
          <w:b/>
        </w:rPr>
        <w:t xml:space="preserve">DOI: </w:t>
      </w:r>
      <w:hyperlink r:id="rId1122">
        <w:r>
          <w:rPr>
            <w:color w:val="1155CC"/>
            <w:u w:val="single"/>
          </w:rPr>
          <w:t>10.1002/anie.8976820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治疗剂的原位合成和肿瘤细胞内免疫效应的激活对于精确的癌症治疗诊断来说是非常需要的。由肿瘤特异性生物标志物引发的细胞内反应和聚集代表了激活治疗和调节免疫反应的有效策略。在这里，我们设计了一种蛋白质复合物猝灭探针，它能够特异性、灵敏地响应肿瘤中异常过度表达的生物标志物碱性磷酸酶（ALP），从而实现原位激活以诱导细胞焦亡和免疫激活。与其单磷酸盐类似物 (TdVPy-P) 相比，二磷酸盐探针 (TdVPy-PP) 表现出更快的 ALP 响应性和更强的荧光输出，信噪比增加了四倍，从而能够在亚细胞细胞器膜（线粒体和内质网）上进行特异性靶向和聚集。这一过程进一步促进了局部ROS的生成并激活了GSDME介导的细胞焦亡，导致免疫原性抗原的释放，从而促进树突状细胞成熟和毒性T细胞激活。与蛋白质复合后，TdVPy-PP 可以通过尾静脉注射来靶向和荧光可视化肿瘤组织。通过原位激活的化学动力学/光动力学效应与全身免疫激活相结合，原发性、远处和转移性肿瘤的生长得到显着抑制，同时保持良好的生物相容性。这种蛋白质辅助的原位激活策略为精确有效的肿瘤治疗提供了一种有前途的工具</w:t>
      </w:r>
    </w:p>
    <w:p>
      <w:pPr>
        <w:spacing w:before="0" w:after="200" w:lineRule="auto" w:line="276"/>
      </w:pPr>
      <w:r>
        <w:rPr>
          <w:b/>
        </w:rPr>
        <w:t xml:space="preserve">Abstract (EN): </w:t>
      </w:r>
      <w:r>
        <w:t>In situ synthesis of therapeutic agents and activation of immune effect within tumor cells are highly desired for precision cancer theranostics. Intracellular reaction and aggregation triggered by tumor‐specific biomarkers represent a potent strategy to activate therapeutics and modulate immune responses. Here, we designed a protein‐complexed quenched probe that specifically and sensitively responded to the abnormally overexpressed biomarker alkaline phosphatase (ALP) in tumors, enabling in situ activation to induce cell pyroptosis and immunoactivation. Compared to its monophosphate analog (TdVPy‐P), the diphosphate probe (TdVPy‐PP) demonstrated faster ALP responsiveness and stronger fluorescence output with a fourfold increase in signal‐to‐noise ratio, enabling specific targeting and aggregation on subcellular organelle membranes (mitochondria and endoplasmic reticulum). This process further boosted localized ROS generation and activated GSDME‐mediated pyroptosis, leading to the release of immunogenic antigens that promoted dendritic cell maturation and toxic T cell activation. After complexation with protein, TdVPy‐PP can be administered via tail vein injection to target and fluorescently visualize tumor tissue. The growth of primary, distant, and metastatic tumors was significantly suppressed through in situ activated chemodynamic/photodynamic effects combined with systemic immune activation, all while maintaining excellent biocompatibility. This protein‐assisted in situ activation strategy offers a promising tool for precise and efficient tumor therapy.</w:t>
      </w:r>
    </w:p>
    <w:p>
      <w:pPr>
        <w:spacing w:before="120" w:after="120"/>
      </w:pPr>
      <w:r>
        <w:rPr>
          <w:sz w:val="18"/>
        </w:rPr>
        <w:t>——————————————————————————————————————————————————————————————————————</w:t>
      </w:r>
    </w:p>
    <w:p>
      <w:pPr>
        <w:spacing w:before="160" w:after="40" w:line="240" w:lineRule="auto"/>
      </w:pPr>
      <w:r>
        <w:rPr>
          <w:b/>
        </w:rPr>
        <w:t xml:space="preserve">[471] </w:t>
      </w:r>
      <w:hyperlink r:id="rId1123">
        <w:r>
          <w:rPr>
            <w:color w:val="1155CC"/>
            <w:u w:val="single"/>
          </w:rPr>
          <w:t>普拉森吉特·蒙达尔</w:t>
        </w:r>
      </w:hyperlink>
    </w:p>
    <w:p>
      <w:pPr>
        <w:spacing w:before="0" w:after="80"/>
      </w:pPr>
      <w:r>
        <w:rPr>
          <w:i/>
          <w:sz w:val="20"/>
        </w:rPr>
        <w:t>EN: Prasenjit Mondal</w:t>
      </w:r>
    </w:p>
    <w:p>
      <w:pPr>
        <w:spacing w:before="0" w:after="120"/>
      </w:pPr>
      <w:r>
        <w:rPr>
          <w:b/>
        </w:rPr>
        <w:t xml:space="preserve">Source: </w:t>
      </w:r>
      <w:r>
        <w:t>Wiley: Angewandte Chemie International Edition: Table of Contents</w:t>
      </w:r>
      <w:r>
        <w:t xml:space="preserve">    </w:t>
      </w:r>
      <w:r>
        <w:rPr>
          <w:b/>
        </w:rPr>
        <w:t xml:space="preserve">Pub date: </w:t>
      </w:r>
      <w:r>
        <w:t>2026-06-04 16:26:25+00:00</w:t>
      </w:r>
      <w:r>
        <w:t xml:space="preserve">    </w:t>
      </w:r>
      <w:r>
        <w:rPr>
          <w:b/>
        </w:rPr>
        <w:t xml:space="preserve">DOI: </w:t>
      </w:r>
      <w:hyperlink r:id="rId1124">
        <w:r>
          <w:rPr>
            <w:color w:val="1155CC"/>
            <w:u w:val="single"/>
          </w:rPr>
          <w:t>10.1002/anie.3804009</w:t>
        </w:r>
      </w:hyperlink>
    </w:p>
    <w:p>
      <w:pPr>
        <w:spacing w:before="0" w:after="120"/>
      </w:pPr>
      <w:r>
        <w:rPr>
          <w:b/>
        </w:rPr>
        <w:t xml:space="preserve">Notes: </w:t>
      </w:r>
      <w:r>
        <w:t>abstract_source=pubmed</w:t>
      </w:r>
    </w:p>
    <w:p>
      <w:pPr>
        <w:spacing w:before="0" w:after="80" w:lineRule="auto" w:line="276"/>
      </w:pPr>
      <w:r>
        <w:rPr>
          <w:b/>
        </w:rPr>
        <w:t xml:space="preserve">摘要（ZH）: </w:t>
      </w:r>
      <w:r>
        <w:t>“如果我不是一名科学家，我会成为一名学校老师……我得到的最好建议是：“永不放弃”……”在他的简介……简介中了解有关 Prasenjit Mondal 的更多信息。</w:t>
      </w:r>
    </w:p>
    <w:p>
      <w:pPr>
        <w:spacing w:before="0" w:after="200" w:lineRule="auto" w:line="276"/>
      </w:pPr>
      <w:r>
        <w:rPr>
          <w:b/>
        </w:rPr>
        <w:t xml:space="preserve">Abstract (EN): </w:t>
      </w:r>
      <w:r>
        <w:t>"If I were not a scientist, I would be a school teacher… The best advice I have ever been given is: "Never give up"…" Find out more about Prasenjit Mondal in his Introducing… Profile.</w:t>
      </w:r>
    </w:p>
    <w:p>
      <w:pPr>
        <w:spacing w:before="120" w:after="120"/>
      </w:pPr>
      <w:r>
        <w:rPr>
          <w:sz w:val="18"/>
        </w:rPr>
        <w:t>——————————————————————————————————————————————————————————————————————</w:t>
      </w:r>
    </w:p>
    <w:p>
      <w:pPr>
        <w:spacing w:before="160" w:after="40" w:line="240" w:lineRule="auto"/>
      </w:pPr>
      <w:r>
        <w:rPr>
          <w:b/>
        </w:rPr>
        <w:t xml:space="preserve">[472] </w:t>
      </w:r>
      <w:hyperlink r:id="rId1125">
        <w:r>
          <w:rPr>
            <w:color w:val="1155CC"/>
            <w:u w:val="single"/>
          </w:rPr>
          <w:t>用于选择性抗坏血酸运输和生物正交信号转导的人工跨膜通道</w:t>
        </w:r>
      </w:hyperlink>
    </w:p>
    <w:p>
      <w:pPr>
        <w:spacing w:before="0" w:after="80"/>
      </w:pPr>
      <w:r>
        <w:rPr>
          <w:i/>
          <w:sz w:val="20"/>
        </w:rPr>
        <w:t>EN: Artificial Transmembrane Channels for Selective Ascorbic Acid Transport and Bioorthogonal Signal Transduction</w:t>
      </w:r>
    </w:p>
    <w:p>
      <w:pPr>
        <w:spacing w:before="0" w:after="120"/>
      </w:pPr>
      <w:r>
        <w:rPr>
          <w:b/>
        </w:rPr>
        <w:t xml:space="preserve">Source: </w:t>
      </w:r>
      <w:r>
        <w:t>Wiley: Angewandte Chemie International Edition: Table of Contents</w:t>
      </w:r>
      <w:r>
        <w:t xml:space="preserve">    </w:t>
      </w:r>
      <w:r>
        <w:rPr>
          <w:b/>
        </w:rPr>
        <w:t xml:space="preserve">Pub date: </w:t>
      </w:r>
      <w:r>
        <w:t>2026-06-04 16:27:54+00:00</w:t>
      </w:r>
      <w:r>
        <w:t xml:space="preserve">    </w:t>
      </w:r>
      <w:r>
        <w:rPr>
          <w:b/>
        </w:rPr>
        <w:t xml:space="preserve">DOI: </w:t>
      </w:r>
      <w:hyperlink r:id="rId1126">
        <w:r>
          <w:rPr>
            <w:color w:val="1155CC"/>
            <w:u w:val="single"/>
          </w:rPr>
          <w:t>10.1002/anie.8870673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抗坏血酸（AA）是一种重要的生物活性分子，在维持细胞和生物体的生理功能中发挥着关键作用，其细胞内稳态受到特定天然转运蛋白的调节。在此，我们报道了一类由离散共价有机纳米管构建的人工跨膜通道，可介导 AA 的选择性跨膜运输。 X 射线结构分析和基于囊泡的荧光测定证实，这些分子采用具有近纳米孔径的刚性管状结构，使其能够插入脂质双层中，形成稳定的跨膜通道，介导有效的 AA 转运。重要的是，这些分子介导的 AA 转运可以启动生物正交反应，从而将外部化学刺激转化为仿生系统内的荧光信号。</w:t>
      </w:r>
    </w:p>
    <w:p>
      <w:pPr>
        <w:spacing w:before="0" w:after="200" w:lineRule="auto" w:line="276"/>
      </w:pPr>
      <w:r>
        <w:rPr>
          <w:b/>
        </w:rPr>
        <w:t xml:space="preserve">Abstract (EN): </w:t>
      </w:r>
      <w:r>
        <w:t>Ascorbic acid (AA), an essential bioactive molecule, plays a pivotal part in maintaining physiological functions in cells and organisms, and its intracellular homeostasis is regulated by specific natural transporter proteins. Here we report a class of artificial transmembrane channels constructed from discrete covalent organic nanotubes that mediate the selective transmembrane transport of AA. X‐ray structural analysis and vesicle‐based fluorescence assays confirmed that these molecules adopt a rigid tubular architecture with a near‐nanometer pore size, enabling their insertion into lipid bilayers to form stable transmembrane channels that mediate efficient AA transport. Importantly, AA transport mediated by these molecules can initiate bioorthogonal reactions, thereby converting an external chemical stimulus into a fluorescent signal within a biomimetic system.</w:t>
      </w:r>
    </w:p>
    <w:p>
      <w:pPr>
        <w:spacing w:before="120" w:after="120"/>
      </w:pPr>
      <w:r>
        <w:rPr>
          <w:sz w:val="18"/>
        </w:rPr>
        <w:t>——————————————————————————————————————————————————————————————————————</w:t>
      </w:r>
    </w:p>
    <w:p>
      <w:pPr>
        <w:spacing w:before="160" w:after="40" w:line="240" w:lineRule="auto"/>
      </w:pPr>
      <w:r>
        <w:rPr>
          <w:b/>
        </w:rPr>
        <w:t xml:space="preserve">[473] </w:t>
      </w:r>
      <w:hyperlink r:id="rId1127">
        <w:r>
          <w:rPr>
            <w:color w:val="1155CC"/>
            <w:u w:val="single"/>
          </w:rPr>
          <w:t>用于肿瘤特异性去唾液酸化和免疫治疗的化学掩蔽 aPD-L1-唾液酸酶缀合物</w:t>
        </w:r>
      </w:hyperlink>
    </w:p>
    <w:p>
      <w:pPr>
        <w:spacing w:before="0" w:after="80"/>
      </w:pPr>
      <w:r>
        <w:rPr>
          <w:i/>
          <w:sz w:val="20"/>
        </w:rPr>
        <w:t>EN: Chemically Masked aPD‐L1‐Sialidase Conjugate for Tumor‐Specific Desialylation and Immunotherapy</w:t>
      </w:r>
    </w:p>
    <w:p>
      <w:pPr>
        <w:spacing w:before="0" w:after="120"/>
      </w:pPr>
      <w:r>
        <w:rPr>
          <w:b/>
        </w:rPr>
        <w:t xml:space="preserve">Source: </w:t>
      </w:r>
      <w:r>
        <w:t>Wiley: Angewandte Chemie International Edition: Table of Contents</w:t>
      </w:r>
      <w:r>
        <w:t xml:space="preserve">    </w:t>
      </w:r>
      <w:r>
        <w:rPr>
          <w:b/>
        </w:rPr>
        <w:t xml:space="preserve">Pub date: </w:t>
      </w:r>
      <w:r>
        <w:t>2026-06-04 16:32:23+00:00</w:t>
      </w:r>
      <w:r>
        <w:t xml:space="preserve">    </w:t>
      </w:r>
      <w:r>
        <w:rPr>
          <w:b/>
        </w:rPr>
        <w:t xml:space="preserve">DOI: </w:t>
      </w:r>
      <w:hyperlink r:id="rId1128">
        <w:r>
          <w:rPr>
            <w:color w:val="1155CC"/>
            <w:u w:val="single"/>
          </w:rPr>
          <w:t>10.1002/anie.8361803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免疫检查点抑制剂（ICIs）彻底改变了癌症免疫疗法，但其临床疗效仍然受到低反应率和频繁的由靶向脱瘤毒性引起的免疫相关不良事件的限制。在这项研究中，我们开发了一种化学掩蔽的抗PD-L1纳米抗体-唾液酸酶缀合物（CAPS），以实现蛋白质功能的精确控制。该化学掩模是在掺入基因编码的非规范氨基酸后通过位点特异性聚乙二醇化安装的，并被肿瘤微环境中的 MMP2 选择性去除以恢复局部功能。该设计通过同时控制纳米抗体亲和力、去唾液酸化活性和肿瘤组织渗透来实现“一个构建体，三个功能”，从而增强肿瘤特异性，同时破坏 PD-1/PD-L1 和 Sialoglycan/Siglec 轴。与未掩蔽的对照（抗PD-L1纳米抗体-唾液酸酶，APS）相比，CAPS的全身半衰期延长了144倍，肿瘤部位积累增加了9.3倍。总的来说，CAPS 在 ICI 耐药性结直肠癌小鼠模型中表现出卓越的抗肿瘤功效、增强的免疫激活和改善的安全性。这些发现支持 CAPS 作为一类新的糖基 ICI，并提供了一种有前途的治疗策略，通过增强治疗效果同时最大限度地减少靶向肿瘤外毒性来克服当前 ICI 的局限性。</w:t>
      </w:r>
    </w:p>
    <w:p>
      <w:pPr>
        <w:spacing w:before="0" w:after="200" w:lineRule="auto" w:line="276"/>
      </w:pPr>
      <w:r>
        <w:rPr>
          <w:b/>
        </w:rPr>
        <w:t xml:space="preserve">Abstract (EN): </w:t>
      </w:r>
      <w:r>
        <w:t>Immune checkpoint inhibitors (ICIs) have revolutionized cancer immunotherapy, yet their clinical efficacy remains limited by low response rates and frequent immune‐related adverse events caused by on‐target off‐tumor toxicity. In this study, we developed a chemically masked anti–PD‐L1 nanobody‐sialidase conjugate (CAPS) to achieve precise control of protein function. The chemical mask is installed via site‐specific PEGylation following the incorporation of a genetically encoded non‐canonical amino acid, and is selectively removed by MMP2 within the tumor microenvironment to restore function locally. This design achieves “one construct, three functions” by enabling simultaneous control over nanobody affinity, desialylation activity, and tumor tissue penetration, thereby enhancing tumor specificity and concurrently disrupting the PD‐1/PD‐L1 and Sialoglycan/Siglec axes. Compared to the unmasked control (anti–PD‐L1 nanobody–sialidase, APS), CAPS exhibited a 144‐fold extension in systemic half‐life and a 9.3‐fold increase in tumor‐site accumulation. Collectively, CAPS demonstrated superior antitumor efficacy, enhanced immune activation, and an improved safety profile in mouse models of ICI‐resistant colorectal cancer. These findings support CAPS as a new class of glyco‐ICIs and offer a promising therapeutic strategy to overcome the limitations of current ICIs by enhancing therapeutic efficacy while minimizing on‐target off‐tumor toxicity.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7452?dgcid=rss_sd_all" TargetMode="External"/><Relationship Id="rId10" Type="http://schemas.openxmlformats.org/officeDocument/2006/relationships/hyperlink" Target="https://www.sciencedirect.com/science/article/pii/S0306261926007622?dgcid=rss_sd_all" TargetMode="External"/><Relationship Id="rId11" Type="http://schemas.openxmlformats.org/officeDocument/2006/relationships/hyperlink" Target="https://onlinelibrary.wiley.com/doi/10.1002/anie.3920745?af=R" TargetMode="External"/><Relationship Id="rId12" Type="http://schemas.openxmlformats.org/officeDocument/2006/relationships/hyperlink" Target="https://doi.org/10.1002/anie.3920745" TargetMode="External"/><Relationship Id="rId13" Type="http://schemas.openxmlformats.org/officeDocument/2006/relationships/hyperlink" Target="https://www.sciencedirect.com/science/article/pii/S0306261926007609?dgcid=rss_sd_all" TargetMode="External"/><Relationship Id="rId14" Type="http://schemas.openxmlformats.org/officeDocument/2006/relationships/hyperlink" Target="https://www.sciencedirect.com/science/article/pii/S0306261926007439?dgcid=rss_sd_all" TargetMode="External"/><Relationship Id="rId15" Type="http://schemas.openxmlformats.org/officeDocument/2006/relationships/hyperlink" Target="https://advanced.onlinelibrary.wiley.com/doi/10.1002/aenm.71142?af=R" TargetMode="External"/><Relationship Id="rId16" Type="http://schemas.openxmlformats.org/officeDocument/2006/relationships/hyperlink" Target="https://doi.org/10.1002/aenm.71142" TargetMode="External"/><Relationship Id="rId17" Type="http://schemas.openxmlformats.org/officeDocument/2006/relationships/hyperlink" Target="https://advanced.onlinelibrary.wiley.com/doi/10.1002/adma.73432?af=R" TargetMode="External"/><Relationship Id="rId18" Type="http://schemas.openxmlformats.org/officeDocument/2006/relationships/hyperlink" Target="https://doi.org/10.1002/adma.73432" TargetMode="External"/><Relationship Id="rId19" Type="http://schemas.openxmlformats.org/officeDocument/2006/relationships/hyperlink" Target="https://advanced.onlinelibrary.wiley.com/doi/10.1002/adma.73585?af=R" TargetMode="External"/><Relationship Id="rId20" Type="http://schemas.openxmlformats.org/officeDocument/2006/relationships/hyperlink" Target="https://doi.org/10.1002/adma.73585" TargetMode="External"/><Relationship Id="rId21" Type="http://schemas.openxmlformats.org/officeDocument/2006/relationships/hyperlink" Target="https://www.cell.com/joule/fulltext/S2542-4351(26)00181-9?rss=yes" TargetMode="External"/><Relationship Id="rId22" Type="http://schemas.openxmlformats.org/officeDocument/2006/relationships/hyperlink" Target="https://doi.org/10.1016/j.joule.2026.102497" TargetMode="External"/><Relationship Id="rId23" Type="http://schemas.openxmlformats.org/officeDocument/2006/relationships/hyperlink" Target="https://www.sciencedirect.com/science/article/pii/S0306261926008111?dgcid=rss_sd_all" TargetMode="External"/><Relationship Id="rId24" Type="http://schemas.openxmlformats.org/officeDocument/2006/relationships/hyperlink" Target="https://www.sciencedirect.com/science/article/pii/S0306261926007658?dgcid=rss_sd_all" TargetMode="External"/><Relationship Id="rId25" Type="http://schemas.openxmlformats.org/officeDocument/2006/relationships/hyperlink" Target="https://www.nature.com/articles/s41467-026-73627-7" TargetMode="External"/><Relationship Id="rId26" Type="http://schemas.openxmlformats.org/officeDocument/2006/relationships/hyperlink" Target="https://onlinelibrary.wiley.com/doi/10.1002/anie.5004335?af=R" TargetMode="External"/><Relationship Id="rId27" Type="http://schemas.openxmlformats.org/officeDocument/2006/relationships/hyperlink" Target="https://doi.org/10.1002/anie.5004335" TargetMode="External"/><Relationship Id="rId28" Type="http://schemas.openxmlformats.org/officeDocument/2006/relationships/hyperlink" Target="https://advanced.onlinelibrary.wiley.com/doi/10.1002/adma.73370?af=R" TargetMode="External"/><Relationship Id="rId29" Type="http://schemas.openxmlformats.org/officeDocument/2006/relationships/hyperlink" Target="https://doi.org/10.1002/adma.73370" TargetMode="External"/><Relationship Id="rId30" Type="http://schemas.openxmlformats.org/officeDocument/2006/relationships/hyperlink" Target="https://onlinelibrary.wiley.com/doi/10.1002/anie.6746000?af=R" TargetMode="External"/><Relationship Id="rId31" Type="http://schemas.openxmlformats.org/officeDocument/2006/relationships/hyperlink" Target="https://doi.org/10.1002/anie.6746000" TargetMode="External"/><Relationship Id="rId32" Type="http://schemas.openxmlformats.org/officeDocument/2006/relationships/hyperlink" Target="https://advanced.onlinelibrary.wiley.com/doi/10.1002/adma.73535?af=R" TargetMode="External"/><Relationship Id="rId33" Type="http://schemas.openxmlformats.org/officeDocument/2006/relationships/hyperlink" Target="https://doi.org/10.1002/adma.73535" TargetMode="External"/><Relationship Id="rId34" Type="http://schemas.openxmlformats.org/officeDocument/2006/relationships/hyperlink" Target="https://onlinelibrary.wiley.com/doi/10.1002/anie.2412282?af=R" TargetMode="External"/><Relationship Id="rId35" Type="http://schemas.openxmlformats.org/officeDocument/2006/relationships/hyperlink" Target="https://doi.org/10.1002/anie.2412282" TargetMode="External"/><Relationship Id="rId36" Type="http://schemas.openxmlformats.org/officeDocument/2006/relationships/hyperlink" Target="https://www.nature.com/articles/s41467-026-73912-5" TargetMode="External"/><Relationship Id="rId37" Type="http://schemas.openxmlformats.org/officeDocument/2006/relationships/hyperlink" Target="https://doi.org/10.1038/s41467-026-73912-5" TargetMode="External"/><Relationship Id="rId38" Type="http://schemas.openxmlformats.org/officeDocument/2006/relationships/hyperlink" Target="https://advanced.onlinelibrary.wiley.com/doi/10.1002/adma.73554?af=R" TargetMode="External"/><Relationship Id="rId39" Type="http://schemas.openxmlformats.org/officeDocument/2006/relationships/hyperlink" Target="https://doi.org/10.1002/adma.73554" TargetMode="External"/><Relationship Id="rId40" Type="http://schemas.openxmlformats.org/officeDocument/2006/relationships/hyperlink" Target="https://advanced.onlinelibrary.wiley.com/doi/10.1002/aenm.71134?af=R" TargetMode="External"/><Relationship Id="rId41" Type="http://schemas.openxmlformats.org/officeDocument/2006/relationships/hyperlink" Target="https://doi.org/10.1002/aenm.71134" TargetMode="External"/><Relationship Id="rId42" Type="http://schemas.openxmlformats.org/officeDocument/2006/relationships/hyperlink" Target="https://onlinelibrary.wiley.com/doi/10.1002/anie.1383770?af=R" TargetMode="External"/><Relationship Id="rId43" Type="http://schemas.openxmlformats.org/officeDocument/2006/relationships/hyperlink" Target="https://doi.org/10.1002/anie.1383770" TargetMode="External"/><Relationship Id="rId44" Type="http://schemas.openxmlformats.org/officeDocument/2006/relationships/hyperlink" Target="https://onlinelibrary.wiley.com/doi/10.1002/anie.7702880?af=R" TargetMode="External"/><Relationship Id="rId45" Type="http://schemas.openxmlformats.org/officeDocument/2006/relationships/hyperlink" Target="https://doi.org/10.1002/anie.7702880" TargetMode="External"/><Relationship Id="rId46" Type="http://schemas.openxmlformats.org/officeDocument/2006/relationships/hyperlink" Target="https://onlinelibrary.wiley.com/doi/10.1002/anie.1818044?af=R" TargetMode="External"/><Relationship Id="rId47" Type="http://schemas.openxmlformats.org/officeDocument/2006/relationships/hyperlink" Target="https://doi.org/10.1002/anie.1818044" TargetMode="External"/><Relationship Id="rId48" Type="http://schemas.openxmlformats.org/officeDocument/2006/relationships/hyperlink" Target="https://www.nature.com/articles/s41565-026-02187-0" TargetMode="External"/><Relationship Id="rId49" Type="http://schemas.openxmlformats.org/officeDocument/2006/relationships/hyperlink" Target="https://doi.org/10.1038/s41565-026-02187-0" TargetMode="External"/><Relationship Id="rId50" Type="http://schemas.openxmlformats.org/officeDocument/2006/relationships/hyperlink" Target="http://pubs.rsc.org/en/Content/ArticleLanding/2026/EE/D6EE02250B" TargetMode="External"/><Relationship Id="rId51" Type="http://schemas.openxmlformats.org/officeDocument/2006/relationships/hyperlink" Target="https://www.nature.com/articles/s41467-026-73985-2" TargetMode="External"/><Relationship Id="rId52" Type="http://schemas.openxmlformats.org/officeDocument/2006/relationships/hyperlink" Target="https://www.nature.com/articles/s41467-026-73953-w" TargetMode="External"/><Relationship Id="rId53" Type="http://schemas.openxmlformats.org/officeDocument/2006/relationships/hyperlink" Target="https://advanced.onlinelibrary.wiley.com/doi/10.1002/aenm.71141?af=R" TargetMode="External"/><Relationship Id="rId54" Type="http://schemas.openxmlformats.org/officeDocument/2006/relationships/hyperlink" Target="https://doi.org/10.1002/aenm.71141" TargetMode="External"/><Relationship Id="rId55" Type="http://schemas.openxmlformats.org/officeDocument/2006/relationships/hyperlink" Target="https://advanced.onlinelibrary.wiley.com/doi/10.1002/aenm.71127?af=R" TargetMode="External"/><Relationship Id="rId56" Type="http://schemas.openxmlformats.org/officeDocument/2006/relationships/hyperlink" Target="https://doi.org/10.1002/aenm.71127" TargetMode="External"/><Relationship Id="rId57" Type="http://schemas.openxmlformats.org/officeDocument/2006/relationships/hyperlink" Target="https://advanced.onlinelibrary.wiley.com/doi/10.1002/aenm.71163?af=R" TargetMode="External"/><Relationship Id="rId58" Type="http://schemas.openxmlformats.org/officeDocument/2006/relationships/hyperlink" Target="https://doi.org/10.1002/aenm.71163" TargetMode="External"/><Relationship Id="rId59" Type="http://schemas.openxmlformats.org/officeDocument/2006/relationships/hyperlink" Target="https://advanced.onlinelibrary.wiley.com/doi/10.1002/aenm.70996?af=R" TargetMode="External"/><Relationship Id="rId60" Type="http://schemas.openxmlformats.org/officeDocument/2006/relationships/hyperlink" Target="https://doi.org/10.1002/aenm.70996" TargetMode="External"/><Relationship Id="rId61" Type="http://schemas.openxmlformats.org/officeDocument/2006/relationships/hyperlink" Target="https://onlinelibrary.wiley.com/doi/10.1002/anie.7078697?af=R" TargetMode="External"/><Relationship Id="rId62" Type="http://schemas.openxmlformats.org/officeDocument/2006/relationships/hyperlink" Target="https://doi.org/10.1002/anie.7078697" TargetMode="External"/><Relationship Id="rId63" Type="http://schemas.openxmlformats.org/officeDocument/2006/relationships/hyperlink" Target="http://pubs.rsc.org/en/Content/ArticleLanding/2026/EE/D6EE90051H" TargetMode="External"/><Relationship Id="rId64" Type="http://schemas.openxmlformats.org/officeDocument/2006/relationships/hyperlink" Target="http://pubs.rsc.org/en/Content/ArticleLanding/2026/EE/D5EE07341C" TargetMode="External"/><Relationship Id="rId65" Type="http://schemas.openxmlformats.org/officeDocument/2006/relationships/hyperlink" Target="https://advanced.onlinelibrary.wiley.com/doi/10.1002/aenm.71132?af=R" TargetMode="External"/><Relationship Id="rId66" Type="http://schemas.openxmlformats.org/officeDocument/2006/relationships/hyperlink" Target="https://doi.org/10.1002/aenm.71132" TargetMode="External"/><Relationship Id="rId67" Type="http://schemas.openxmlformats.org/officeDocument/2006/relationships/hyperlink" Target="https://advanced.onlinelibrary.wiley.com/doi/10.1002/adma.73556?af=R" TargetMode="External"/><Relationship Id="rId68" Type="http://schemas.openxmlformats.org/officeDocument/2006/relationships/hyperlink" Target="https://doi.org/10.1002/adma.73556" TargetMode="External"/><Relationship Id="rId69" Type="http://schemas.openxmlformats.org/officeDocument/2006/relationships/hyperlink" Target="https://advanced.onlinelibrary.wiley.com/doi/10.1002/adma.73553?af=R" TargetMode="External"/><Relationship Id="rId70" Type="http://schemas.openxmlformats.org/officeDocument/2006/relationships/hyperlink" Target="https://doi.org/10.1002/adma.73553" TargetMode="External"/><Relationship Id="rId71" Type="http://schemas.openxmlformats.org/officeDocument/2006/relationships/hyperlink" Target="https://advanced.onlinelibrary.wiley.com/doi/10.1002/aenm.71135?af=R" TargetMode="External"/><Relationship Id="rId72" Type="http://schemas.openxmlformats.org/officeDocument/2006/relationships/hyperlink" Target="https://doi.org/10.1002/aenm.71135" TargetMode="External"/><Relationship Id="rId73" Type="http://schemas.openxmlformats.org/officeDocument/2006/relationships/hyperlink" Target="https://advanced.onlinelibrary.wiley.com/doi/10.1002/aenm.71144?af=R" TargetMode="External"/><Relationship Id="rId74" Type="http://schemas.openxmlformats.org/officeDocument/2006/relationships/hyperlink" Target="https://doi.org/10.1002/aenm.71144" TargetMode="External"/><Relationship Id="rId75" Type="http://schemas.openxmlformats.org/officeDocument/2006/relationships/hyperlink" Target="https://advanced.onlinelibrary.wiley.com/doi/10.1002/adma.73590?af=R" TargetMode="External"/><Relationship Id="rId76" Type="http://schemas.openxmlformats.org/officeDocument/2006/relationships/hyperlink" Target="https://doi.org/10.1002/adma.73590" TargetMode="External"/><Relationship Id="rId77" Type="http://schemas.openxmlformats.org/officeDocument/2006/relationships/hyperlink" Target="https://advanced.onlinelibrary.wiley.com/doi/10.1002/aenm.71152?af=R" TargetMode="External"/><Relationship Id="rId78" Type="http://schemas.openxmlformats.org/officeDocument/2006/relationships/hyperlink" Target="https://doi.org/10.1002/aenm.71152" TargetMode="External"/><Relationship Id="rId79" Type="http://schemas.openxmlformats.org/officeDocument/2006/relationships/hyperlink" Target="https://advanced.onlinelibrary.wiley.com/doi/10.1002/aenm.71136?af=R" TargetMode="External"/><Relationship Id="rId80" Type="http://schemas.openxmlformats.org/officeDocument/2006/relationships/hyperlink" Target="https://doi.org/10.1002/aenm.71136" TargetMode="External"/><Relationship Id="rId81" Type="http://schemas.openxmlformats.org/officeDocument/2006/relationships/hyperlink" Target="https://advanced.onlinelibrary.wiley.com/doi/10.1002/adma.73568?af=R" TargetMode="External"/><Relationship Id="rId82" Type="http://schemas.openxmlformats.org/officeDocument/2006/relationships/hyperlink" Target="https://doi.org/10.1002/adma.73568" TargetMode="External"/><Relationship Id="rId83" Type="http://schemas.openxmlformats.org/officeDocument/2006/relationships/hyperlink" Target="https://advanced.onlinelibrary.wiley.com/doi/10.1002/aenm.71139?af=R" TargetMode="External"/><Relationship Id="rId84" Type="http://schemas.openxmlformats.org/officeDocument/2006/relationships/hyperlink" Target="https://doi.org/10.1002/aenm.71139" TargetMode="External"/><Relationship Id="rId85" Type="http://schemas.openxmlformats.org/officeDocument/2006/relationships/hyperlink" Target="https://advanced.onlinelibrary.wiley.com/doi/10.1002/adma.73551?af=R" TargetMode="External"/><Relationship Id="rId86" Type="http://schemas.openxmlformats.org/officeDocument/2006/relationships/hyperlink" Target="https://doi.org/10.1002/adma.73551" TargetMode="External"/><Relationship Id="rId87" Type="http://schemas.openxmlformats.org/officeDocument/2006/relationships/hyperlink" Target="http://pubs.rsc.org/en/Content/ArticleLanding/2026/EE/D6EE01805J" TargetMode="External"/><Relationship Id="rId88" Type="http://schemas.openxmlformats.org/officeDocument/2006/relationships/hyperlink" Target="http://pubs.rsc.org/en/Content/ArticleLanding/2026/EE/D6EE00867D" TargetMode="External"/><Relationship Id="rId89" Type="http://schemas.openxmlformats.org/officeDocument/2006/relationships/hyperlink" Target="https://onlinelibrary.wiley.com/doi/10.1002/anie.3780082?af=R" TargetMode="External"/><Relationship Id="rId90" Type="http://schemas.openxmlformats.org/officeDocument/2006/relationships/hyperlink" Target="https://doi.org/10.1002/anie.3780082" TargetMode="External"/><Relationship Id="rId91" Type="http://schemas.openxmlformats.org/officeDocument/2006/relationships/hyperlink" Target="https://advanced.onlinelibrary.wiley.com/doi/10.1002/adma.73537?af=R" TargetMode="External"/><Relationship Id="rId92" Type="http://schemas.openxmlformats.org/officeDocument/2006/relationships/hyperlink" Target="https://doi.org/10.1002/adma.73537" TargetMode="External"/><Relationship Id="rId93" Type="http://schemas.openxmlformats.org/officeDocument/2006/relationships/hyperlink" Target="https://advanced.onlinelibrary.wiley.com/doi/10.1002/aenm.71140?af=R" TargetMode="External"/><Relationship Id="rId94" Type="http://schemas.openxmlformats.org/officeDocument/2006/relationships/hyperlink" Target="https://doi.org/10.1002/aenm.71140" TargetMode="External"/><Relationship Id="rId95" Type="http://schemas.openxmlformats.org/officeDocument/2006/relationships/hyperlink" Target="https://academic.oup.com/nsr/advance-article/doi/10.1093/nsr/nwag307/8699198?rss=1" TargetMode="External"/><Relationship Id="rId96" Type="http://schemas.openxmlformats.org/officeDocument/2006/relationships/hyperlink" Target="https://doi.org/10.1093/nsr/nwag307" TargetMode="External"/><Relationship Id="rId97" Type="http://schemas.openxmlformats.org/officeDocument/2006/relationships/hyperlink" Target="https://advanced.onlinelibrary.wiley.com/doi/10.1002/aenm.71151?af=R" TargetMode="External"/><Relationship Id="rId98" Type="http://schemas.openxmlformats.org/officeDocument/2006/relationships/hyperlink" Target="https://doi.org/10.1002/aenm.71151" TargetMode="External"/><Relationship Id="rId99" Type="http://schemas.openxmlformats.org/officeDocument/2006/relationships/hyperlink" Target="https://advanced.onlinelibrary.wiley.com/doi/10.1002/adma.73548?af=R" TargetMode="External"/><Relationship Id="rId100" Type="http://schemas.openxmlformats.org/officeDocument/2006/relationships/hyperlink" Target="https://doi.org/10.1002/adma.73548" TargetMode="External"/><Relationship Id="rId101" Type="http://schemas.openxmlformats.org/officeDocument/2006/relationships/hyperlink" Target="https://www.pnas.org/doi/abs/10.1073/pnas.2604081123?mi=eymic2&amp;af=R&amp;access=on&amp;content=articlesChapters&amp;publication=pnas&amp;sortBy=Earliest&amp;target=default" TargetMode="External"/><Relationship Id="rId102" Type="http://schemas.openxmlformats.org/officeDocument/2006/relationships/hyperlink" Target="https://doi.org/10.1073/pnas.2604081123" TargetMode="External"/><Relationship Id="rId103" Type="http://schemas.openxmlformats.org/officeDocument/2006/relationships/hyperlink" Target="https://advanced.onlinelibrary.wiley.com/doi/10.1002/aenm.71155?af=R" TargetMode="External"/><Relationship Id="rId104" Type="http://schemas.openxmlformats.org/officeDocument/2006/relationships/hyperlink" Target="https://doi.org/10.1002/aenm.71155" TargetMode="External"/><Relationship Id="rId105" Type="http://schemas.openxmlformats.org/officeDocument/2006/relationships/hyperlink" Target="https://advanced.onlinelibrary.wiley.com/doi/10.1002/adma.73599?af=R" TargetMode="External"/><Relationship Id="rId106" Type="http://schemas.openxmlformats.org/officeDocument/2006/relationships/hyperlink" Target="https://doi.org/10.1002/adma.73599" TargetMode="External"/><Relationship Id="rId107" Type="http://schemas.openxmlformats.org/officeDocument/2006/relationships/hyperlink" Target="https://www.nature.com/articles/s41563-026-02604-8" TargetMode="External"/><Relationship Id="rId108" Type="http://schemas.openxmlformats.org/officeDocument/2006/relationships/hyperlink" Target="https://doi.org/10.1038/s41563-026-02604-8" TargetMode="External"/><Relationship Id="rId109" Type="http://schemas.openxmlformats.org/officeDocument/2006/relationships/hyperlink" Target="https://onlinelibrary.wiley.com/doi/10.1002/anie.7867809?af=R" TargetMode="External"/><Relationship Id="rId110" Type="http://schemas.openxmlformats.org/officeDocument/2006/relationships/hyperlink" Target="https://doi.org/10.1002/anie.7867809" TargetMode="External"/><Relationship Id="rId111" Type="http://schemas.openxmlformats.org/officeDocument/2006/relationships/hyperlink" Target="https://academic.oup.com/nsr/advance-article/doi/10.1093/nsr/nwag345/8702391?rss=1" TargetMode="External"/><Relationship Id="rId112" Type="http://schemas.openxmlformats.org/officeDocument/2006/relationships/hyperlink" Target="https://doi.org/10.1093/nsr/nwag345" TargetMode="External"/><Relationship Id="rId113" Type="http://schemas.openxmlformats.org/officeDocument/2006/relationships/hyperlink" Target="https://advanced.onlinelibrary.wiley.com/doi/10.1002/aenm.71124?af=R" TargetMode="External"/><Relationship Id="rId114" Type="http://schemas.openxmlformats.org/officeDocument/2006/relationships/hyperlink" Target="https://doi.org/10.1002/aenm.71124" TargetMode="External"/><Relationship Id="rId115" Type="http://schemas.openxmlformats.org/officeDocument/2006/relationships/hyperlink" Target="https://advanced.onlinelibrary.wiley.com/doi/10.1002/aenm.71093?af=R" TargetMode="External"/><Relationship Id="rId116" Type="http://schemas.openxmlformats.org/officeDocument/2006/relationships/hyperlink" Target="https://doi.org/10.1002/aenm.71093" TargetMode="External"/><Relationship Id="rId117" Type="http://schemas.openxmlformats.org/officeDocument/2006/relationships/hyperlink" Target="https://www.sciencedirect.com/science/article/pii/S0306261926007518?dgcid=rss_sd_all" TargetMode="External"/><Relationship Id="rId118" Type="http://schemas.openxmlformats.org/officeDocument/2006/relationships/hyperlink" Target="https://www.sciencedirect.com/science/article/pii/S0306261926007488?dgcid=rss_sd_all" TargetMode="External"/><Relationship Id="rId119" Type="http://schemas.openxmlformats.org/officeDocument/2006/relationships/hyperlink" Target="https://www.cell.com/matter/fulltext/S2590-2385(26)00217-1?rss=yes" TargetMode="External"/><Relationship Id="rId120" Type="http://schemas.openxmlformats.org/officeDocument/2006/relationships/hyperlink" Target="https://doi.org/10.1016/j.matt.2026.102854" TargetMode="External"/><Relationship Id="rId121" Type="http://schemas.openxmlformats.org/officeDocument/2006/relationships/hyperlink" Target="https://www.cell.com/joule/fulltext/S2542-4351(26)00180-7?rss=yes" TargetMode="External"/><Relationship Id="rId122" Type="http://schemas.openxmlformats.org/officeDocument/2006/relationships/hyperlink" Target="https://doi.org/10.1016/j.joule.2026.102496" TargetMode="External"/><Relationship Id="rId123" Type="http://schemas.openxmlformats.org/officeDocument/2006/relationships/hyperlink" Target="https://www.sciencedirect.com/science/article/pii/S0306261926008275?dgcid=rss_sd_all" TargetMode="External"/><Relationship Id="rId124" Type="http://schemas.openxmlformats.org/officeDocument/2006/relationships/hyperlink" Target="https://www.sciencedirect.com/science/article/pii/S0306261926007968?dgcid=rss_sd_all" TargetMode="External"/><Relationship Id="rId125" Type="http://schemas.openxmlformats.org/officeDocument/2006/relationships/hyperlink" Target="https://advanced.onlinelibrary.wiley.com/doi/10.1002/aenm.71130?af=R" TargetMode="External"/><Relationship Id="rId126" Type="http://schemas.openxmlformats.org/officeDocument/2006/relationships/hyperlink" Target="https://doi.org/10.1002/aenm.71130" TargetMode="External"/><Relationship Id="rId127" Type="http://schemas.openxmlformats.org/officeDocument/2006/relationships/hyperlink" Target="https://advanced.onlinelibrary.wiley.com/doi/10.1002/adma.73460?af=R" TargetMode="External"/><Relationship Id="rId128" Type="http://schemas.openxmlformats.org/officeDocument/2006/relationships/hyperlink" Target="https://doi.org/10.1002/adma.73460" TargetMode="External"/><Relationship Id="rId129" Type="http://schemas.openxmlformats.org/officeDocument/2006/relationships/hyperlink" Target="https://www.nature.com/articles/s41467-026-73926-z" TargetMode="External"/><Relationship Id="rId130" Type="http://schemas.openxmlformats.org/officeDocument/2006/relationships/hyperlink" Target="https://www.nature.com/articles/s41467-026-73651-7" TargetMode="External"/><Relationship Id="rId131" Type="http://schemas.openxmlformats.org/officeDocument/2006/relationships/hyperlink" Target="https://advanced.onlinelibrary.wiley.com/doi/10.1002/adma.73555?af=R" TargetMode="External"/><Relationship Id="rId132" Type="http://schemas.openxmlformats.org/officeDocument/2006/relationships/hyperlink" Target="https://doi.org/10.1002/adma.73555" TargetMode="External"/><Relationship Id="rId133" Type="http://schemas.openxmlformats.org/officeDocument/2006/relationships/hyperlink" Target="https://advanced.onlinelibrary.wiley.com/doi/10.1002/adma.73570?af=R" TargetMode="External"/><Relationship Id="rId134" Type="http://schemas.openxmlformats.org/officeDocument/2006/relationships/hyperlink" Target="https://doi.org/10.1002/adma.73570" TargetMode="External"/><Relationship Id="rId135" Type="http://schemas.openxmlformats.org/officeDocument/2006/relationships/hyperlink" Target="http://pubs.rsc.org/en/Content/ArticleLanding/2026/EE/D6EE00064A" TargetMode="External"/><Relationship Id="rId136" Type="http://schemas.openxmlformats.org/officeDocument/2006/relationships/hyperlink" Target="https://onlinelibrary.wiley.com/doi/10.1002/anie.4197481?af=R" TargetMode="External"/><Relationship Id="rId137" Type="http://schemas.openxmlformats.org/officeDocument/2006/relationships/hyperlink" Target="https://doi.org/10.1002/anie.4197481" TargetMode="External"/><Relationship Id="rId138" Type="http://schemas.openxmlformats.org/officeDocument/2006/relationships/hyperlink" Target="https://www.sciencedirect.com/science/article/pii/S0306261926007476?dgcid=rss_sd_all" TargetMode="External"/><Relationship Id="rId139" Type="http://schemas.openxmlformats.org/officeDocument/2006/relationships/hyperlink" Target="https://www.sciencedirect.com/science/article/pii/S0306261926007245?dgcid=rss_sd_all" TargetMode="External"/><Relationship Id="rId140" Type="http://schemas.openxmlformats.org/officeDocument/2006/relationships/hyperlink" Target="https://academic.oup.com/nsr/advance-article/doi/10.1093/nsr/nwag318/8698482?rss=1" TargetMode="External"/><Relationship Id="rId141" Type="http://schemas.openxmlformats.org/officeDocument/2006/relationships/hyperlink" Target="https://doi.org/10.1093/nsr/nwag318" TargetMode="External"/><Relationship Id="rId142" Type="http://schemas.openxmlformats.org/officeDocument/2006/relationships/hyperlink" Target="https://advanced.onlinelibrary.wiley.com/doi/10.1002/adma.73564?af=R" TargetMode="External"/><Relationship Id="rId143" Type="http://schemas.openxmlformats.org/officeDocument/2006/relationships/hyperlink" Target="https://doi.org/10.1002/adma.73564" TargetMode="External"/><Relationship Id="rId144" Type="http://schemas.openxmlformats.org/officeDocument/2006/relationships/hyperlink" Target="https://advanced.onlinelibrary.wiley.com/doi/10.1002/adma.73562?af=R" TargetMode="External"/><Relationship Id="rId145" Type="http://schemas.openxmlformats.org/officeDocument/2006/relationships/hyperlink" Target="https://doi.org/10.1002/adma.73562" TargetMode="External"/><Relationship Id="rId146" Type="http://schemas.openxmlformats.org/officeDocument/2006/relationships/hyperlink" Target="https://www.sciencedirect.com/science/article/pii/S0306261926007683?dgcid=rss_sd_all" TargetMode="External"/><Relationship Id="rId147" Type="http://schemas.openxmlformats.org/officeDocument/2006/relationships/hyperlink" Target="https://www.sciencedirect.com/science/article/pii/S0306261926007440?dgcid=rss_sd_all" TargetMode="External"/><Relationship Id="rId148" Type="http://schemas.openxmlformats.org/officeDocument/2006/relationships/hyperlink" Target="https://www.sciencedirect.com/science/article/pii/S0306261926007233?dgcid=rss_sd_all" TargetMode="External"/><Relationship Id="rId149" Type="http://schemas.openxmlformats.org/officeDocument/2006/relationships/hyperlink" Target="https://advanced.onlinelibrary.wiley.com/doi/10.1002/adma.73578?af=R" TargetMode="External"/><Relationship Id="rId150" Type="http://schemas.openxmlformats.org/officeDocument/2006/relationships/hyperlink" Target="https://doi.org/10.1002/adma.73578" TargetMode="External"/><Relationship Id="rId151" Type="http://schemas.openxmlformats.org/officeDocument/2006/relationships/hyperlink" Target="https://www.sciencedirect.com/science/article/pii/S030626192600783X?dgcid=rss_sd_all" TargetMode="External"/><Relationship Id="rId152" Type="http://schemas.openxmlformats.org/officeDocument/2006/relationships/hyperlink" Target="https://www.nature.com/articles/s41557-026-02141-6" TargetMode="External"/><Relationship Id="rId153" Type="http://schemas.openxmlformats.org/officeDocument/2006/relationships/hyperlink" Target="https://doi.org/10.1038/s41557-026-02141-6" TargetMode="External"/><Relationship Id="rId154" Type="http://schemas.openxmlformats.org/officeDocument/2006/relationships/hyperlink" Target="https://www.sciencedirect.com/science/article/pii/S0306261926008056?dgcid=rss_sd_all" TargetMode="External"/><Relationship Id="rId155" Type="http://schemas.openxmlformats.org/officeDocument/2006/relationships/hyperlink" Target="https://www.cell.com/one-earth/fulltext/S2590-3322(26)00117-X?rss=yes" TargetMode="External"/><Relationship Id="rId156" Type="http://schemas.openxmlformats.org/officeDocument/2006/relationships/hyperlink" Target="https://doi.org/10.1016/j.oneear.2026.101716" TargetMode="External"/><Relationship Id="rId157" Type="http://schemas.openxmlformats.org/officeDocument/2006/relationships/hyperlink" Target="https://www.science.org/doi/abs/10.1126/sciadv.aef9733?af=R" TargetMode="External"/><Relationship Id="rId158" Type="http://schemas.openxmlformats.org/officeDocument/2006/relationships/hyperlink" Target="https://doi.org/10.1126/sciadv.aef9733" TargetMode="External"/><Relationship Id="rId159" Type="http://schemas.openxmlformats.org/officeDocument/2006/relationships/hyperlink" Target="https://www.sciencedirect.com/science/article/pii/S0306261926008226?dgcid=rss_sd_all" TargetMode="External"/><Relationship Id="rId160" Type="http://schemas.openxmlformats.org/officeDocument/2006/relationships/hyperlink" Target="https://academic.oup.com/nsr/advance-article/doi/10.1093/nsr/nwag333/8702384?rss=1" TargetMode="External"/><Relationship Id="rId161" Type="http://schemas.openxmlformats.org/officeDocument/2006/relationships/hyperlink" Target="https://doi.org/10.1093/nsr/nwag333" TargetMode="External"/><Relationship Id="rId162" Type="http://schemas.openxmlformats.org/officeDocument/2006/relationships/hyperlink" Target="https://www.science.org/doi/abs/10.1126/science.aeg8963?af=R" TargetMode="External"/><Relationship Id="rId163" Type="http://schemas.openxmlformats.org/officeDocument/2006/relationships/hyperlink" Target="https://doi.org/10.1126/science.aeg8963" TargetMode="External"/><Relationship Id="rId164" Type="http://schemas.openxmlformats.org/officeDocument/2006/relationships/hyperlink" Target="https://www.sciencedirect.com/science/article/pii/S0306261926008135?dgcid=rss_sd_all" TargetMode="External"/><Relationship Id="rId165" Type="http://schemas.openxmlformats.org/officeDocument/2006/relationships/hyperlink" Target="https://www.nature.com/articles/s41467-026-73630-y" TargetMode="External"/><Relationship Id="rId166" Type="http://schemas.openxmlformats.org/officeDocument/2006/relationships/hyperlink" Target="https://www.sciencedirect.com/science/article/pii/S0306261926007257?dgcid=rss_sd_all" TargetMode="External"/><Relationship Id="rId167" Type="http://schemas.openxmlformats.org/officeDocument/2006/relationships/hyperlink" Target="https://www.sciencedirect.com/science/article/pii/S030626192600694X?dgcid=rss_sd_all" TargetMode="External"/><Relationship Id="rId168" Type="http://schemas.openxmlformats.org/officeDocument/2006/relationships/hyperlink" Target="https://www.sciencedirect.com/science/article/pii/S0306261926007208?dgcid=rss_sd_all" TargetMode="External"/><Relationship Id="rId169" Type="http://schemas.openxmlformats.org/officeDocument/2006/relationships/hyperlink" Target="https://www.sciencedirect.com/science/article/pii/S0306261926007130?dgcid=rss_sd_all" TargetMode="External"/><Relationship Id="rId170" Type="http://schemas.openxmlformats.org/officeDocument/2006/relationships/hyperlink" Target="https://www.sciencedirect.com/science/article/pii/S0306261926007427?dgcid=rss_sd_all" TargetMode="External"/><Relationship Id="rId171" Type="http://schemas.openxmlformats.org/officeDocument/2006/relationships/hyperlink" Target="https://www.sciencedirect.com/science/article/pii/S0306261926007270?dgcid=rss_sd_all" TargetMode="External"/><Relationship Id="rId172" Type="http://schemas.openxmlformats.org/officeDocument/2006/relationships/hyperlink" Target="https://www.sciencedirect.com/science/article/pii/S0306261926007269?dgcid=rss_sd_all" TargetMode="External"/><Relationship Id="rId173" Type="http://schemas.openxmlformats.org/officeDocument/2006/relationships/hyperlink" Target="https://advanced.onlinelibrary.wiley.com/doi/10.1002/adma.73521?af=R" TargetMode="External"/><Relationship Id="rId174" Type="http://schemas.openxmlformats.org/officeDocument/2006/relationships/hyperlink" Target="https://doi.org/10.1002/adma.73521" TargetMode="External"/><Relationship Id="rId175" Type="http://schemas.openxmlformats.org/officeDocument/2006/relationships/hyperlink" Target="https://advanced.onlinelibrary.wiley.com/doi/10.1002/aenm.71153?af=R" TargetMode="External"/><Relationship Id="rId176" Type="http://schemas.openxmlformats.org/officeDocument/2006/relationships/hyperlink" Target="https://doi.org/10.1002/aenm.71153" TargetMode="External"/><Relationship Id="rId177" Type="http://schemas.openxmlformats.org/officeDocument/2006/relationships/hyperlink" Target="https://onlinelibrary.wiley.com/doi/10.1002/anie.5294135?af=R" TargetMode="External"/><Relationship Id="rId178" Type="http://schemas.openxmlformats.org/officeDocument/2006/relationships/hyperlink" Target="https://doi.org/10.1002/anie.5294135" TargetMode="External"/><Relationship Id="rId179" Type="http://schemas.openxmlformats.org/officeDocument/2006/relationships/hyperlink" Target="https://onlinelibrary.wiley.com/doi/10.1002/anie.9440254?af=R" TargetMode="External"/><Relationship Id="rId180" Type="http://schemas.openxmlformats.org/officeDocument/2006/relationships/hyperlink" Target="https://doi.org/10.1002/anie.9440254" TargetMode="External"/><Relationship Id="rId181" Type="http://schemas.openxmlformats.org/officeDocument/2006/relationships/hyperlink" Target="https://www.sciencedirect.com/science/article/pii/S0301421526003356?dgcid=rss_sd_all" TargetMode="External"/><Relationship Id="rId182" Type="http://schemas.openxmlformats.org/officeDocument/2006/relationships/hyperlink" Target="https://www.sciencedirect.com/science/article/pii/S0306261926006835?dgcid=rss_sd_all" TargetMode="External"/><Relationship Id="rId183" Type="http://schemas.openxmlformats.org/officeDocument/2006/relationships/hyperlink" Target="https://onlinelibrary.wiley.com/doi/10.1002/anie.1664469?af=R" TargetMode="External"/><Relationship Id="rId184" Type="http://schemas.openxmlformats.org/officeDocument/2006/relationships/hyperlink" Target="https://doi.org/10.1002/anie.1664469" TargetMode="External"/><Relationship Id="rId185" Type="http://schemas.openxmlformats.org/officeDocument/2006/relationships/hyperlink" Target="https://onlinelibrary.wiley.com/doi/10.1002/anie.2263598?af=R" TargetMode="External"/><Relationship Id="rId186" Type="http://schemas.openxmlformats.org/officeDocument/2006/relationships/hyperlink" Target="https://doi.org/10.1002/anie.2263598" TargetMode="External"/><Relationship Id="rId187" Type="http://schemas.openxmlformats.org/officeDocument/2006/relationships/hyperlink" Target="https://onlinelibrary.wiley.com/doi/10.1002/anie.4908536?af=R" TargetMode="External"/><Relationship Id="rId188" Type="http://schemas.openxmlformats.org/officeDocument/2006/relationships/hyperlink" Target="https://doi.org/10.1002/anie.4908536" TargetMode="External"/><Relationship Id="rId189" Type="http://schemas.openxmlformats.org/officeDocument/2006/relationships/hyperlink" Target="https://onlinelibrary.wiley.com/doi/10.1002/anie.3902517?af=R" TargetMode="External"/><Relationship Id="rId190" Type="http://schemas.openxmlformats.org/officeDocument/2006/relationships/hyperlink" Target="https://doi.org/10.1002/anie.3902517" TargetMode="External"/><Relationship Id="rId191" Type="http://schemas.openxmlformats.org/officeDocument/2006/relationships/hyperlink" Target="https://www.nature.com/articles/s41557-026-02169-8" TargetMode="External"/><Relationship Id="rId192" Type="http://schemas.openxmlformats.org/officeDocument/2006/relationships/hyperlink" Target="https://doi.org/10.1038/s41557-026-02169-8" TargetMode="External"/><Relationship Id="rId193" Type="http://schemas.openxmlformats.org/officeDocument/2006/relationships/hyperlink" Target="https://www.sciencedirect.com/science/article/pii/S0306261926007920?dgcid=rss_sd_all" TargetMode="External"/><Relationship Id="rId194" Type="http://schemas.openxmlformats.org/officeDocument/2006/relationships/hyperlink" Target="https://www.sciencedirect.com/science/article/pii/S0306261926007592?dgcid=rss_sd_all" TargetMode="External"/><Relationship Id="rId195" Type="http://schemas.openxmlformats.org/officeDocument/2006/relationships/hyperlink" Target="https://onlinelibrary.wiley.com/doi/10.1002/anie.9720330?af=R" TargetMode="External"/><Relationship Id="rId196" Type="http://schemas.openxmlformats.org/officeDocument/2006/relationships/hyperlink" Target="https://doi.org/10.1002/anie.9720330" TargetMode="External"/><Relationship Id="rId197" Type="http://schemas.openxmlformats.org/officeDocument/2006/relationships/hyperlink" Target="https://advanced.onlinelibrary.wiley.com/doi/10.1002/adma.73592?af=R" TargetMode="External"/><Relationship Id="rId198" Type="http://schemas.openxmlformats.org/officeDocument/2006/relationships/hyperlink" Target="https://doi.org/10.1002/adma.73592" TargetMode="External"/><Relationship Id="rId199" Type="http://schemas.openxmlformats.org/officeDocument/2006/relationships/hyperlink" Target="https://advanced.onlinelibrary.wiley.com/doi/10.1002/adma.73273?af=R" TargetMode="External"/><Relationship Id="rId200" Type="http://schemas.openxmlformats.org/officeDocument/2006/relationships/hyperlink" Target="https://doi.org/10.1002/adma.73273" TargetMode="External"/><Relationship Id="rId201" Type="http://schemas.openxmlformats.org/officeDocument/2006/relationships/hyperlink" Target="https://advanced.onlinelibrary.wiley.com/doi/10.1002/aenm.71137?af=R" TargetMode="External"/><Relationship Id="rId202" Type="http://schemas.openxmlformats.org/officeDocument/2006/relationships/hyperlink" Target="https://doi.org/10.1002/aenm.71137" TargetMode="External"/><Relationship Id="rId203" Type="http://schemas.openxmlformats.org/officeDocument/2006/relationships/hyperlink" Target="http://pubs.rsc.org/en/Content/ArticleLanding/2026/EE/D6EE00598E" TargetMode="External"/><Relationship Id="rId204" Type="http://schemas.openxmlformats.org/officeDocument/2006/relationships/hyperlink" Target="https://www.nature.com/articles/s41467-026-73860-0" TargetMode="External"/><Relationship Id="rId205" Type="http://schemas.openxmlformats.org/officeDocument/2006/relationships/hyperlink" Target="https://www.sciencedirect.com/science/article/pii/S0306261926007385?dgcid=rss_sd_all" TargetMode="External"/><Relationship Id="rId206" Type="http://schemas.openxmlformats.org/officeDocument/2006/relationships/hyperlink" Target="https://advanced.onlinelibrary.wiley.com/doi/10.1002/aenm.71162?af=R" TargetMode="External"/><Relationship Id="rId207" Type="http://schemas.openxmlformats.org/officeDocument/2006/relationships/hyperlink" Target="https://doi.org/10.1002/aenm.71162" TargetMode="External"/><Relationship Id="rId208" Type="http://schemas.openxmlformats.org/officeDocument/2006/relationships/hyperlink" Target="https://advanced.onlinelibrary.wiley.com/doi/10.1002/aenm.71157?af=R" TargetMode="External"/><Relationship Id="rId209" Type="http://schemas.openxmlformats.org/officeDocument/2006/relationships/hyperlink" Target="https://doi.org/10.1002/aenm.71157" TargetMode="External"/><Relationship Id="rId210" Type="http://schemas.openxmlformats.org/officeDocument/2006/relationships/hyperlink" Target="https://www.nature.com/articles/s41893-026-01848-1" TargetMode="External"/><Relationship Id="rId211" Type="http://schemas.openxmlformats.org/officeDocument/2006/relationships/hyperlink" Target="https://doi.org/10.1038/s41893-026-01848-1" TargetMode="External"/><Relationship Id="rId212" Type="http://schemas.openxmlformats.org/officeDocument/2006/relationships/hyperlink" Target="https://www.sciencedirect.com/science/article/pii/S0306261926007828?dgcid=rss_sd_all" TargetMode="External"/><Relationship Id="rId213" Type="http://schemas.openxmlformats.org/officeDocument/2006/relationships/hyperlink" Target="https://www.nature.com/articles/s41467-026-73899-z" TargetMode="External"/><Relationship Id="rId214" Type="http://schemas.openxmlformats.org/officeDocument/2006/relationships/hyperlink" Target="https://advanced.onlinelibrary.wiley.com/doi/10.1002/aenm.71133?af=R" TargetMode="External"/><Relationship Id="rId215" Type="http://schemas.openxmlformats.org/officeDocument/2006/relationships/hyperlink" Target="https://doi.org/10.1002/aenm.71133" TargetMode="External"/><Relationship Id="rId216" Type="http://schemas.openxmlformats.org/officeDocument/2006/relationships/hyperlink" Target="https://advanced.onlinelibrary.wiley.com/doi/10.1002/aenm.71161?af=R" TargetMode="External"/><Relationship Id="rId217" Type="http://schemas.openxmlformats.org/officeDocument/2006/relationships/hyperlink" Target="https://doi.org/10.1002/aenm.71161" TargetMode="External"/><Relationship Id="rId218" Type="http://schemas.openxmlformats.org/officeDocument/2006/relationships/hyperlink" Target="https://onlinelibrary.wiley.com/doi/10.1002/anie.2623863?af=R" TargetMode="External"/><Relationship Id="rId219" Type="http://schemas.openxmlformats.org/officeDocument/2006/relationships/hyperlink" Target="https://doi.org/10.1002/anie.2623863" TargetMode="External"/><Relationship Id="rId220" Type="http://schemas.openxmlformats.org/officeDocument/2006/relationships/hyperlink" Target="https://onlinelibrary.wiley.com/doi/10.1002/anie.6570629?af=R" TargetMode="External"/><Relationship Id="rId221" Type="http://schemas.openxmlformats.org/officeDocument/2006/relationships/hyperlink" Target="https://doi.org/10.1002/anie.6570629" TargetMode="External"/><Relationship Id="rId222" Type="http://schemas.openxmlformats.org/officeDocument/2006/relationships/hyperlink" Target="https://onlinelibrary.wiley.com/doi/10.1002/anie.4927761?af=R" TargetMode="External"/><Relationship Id="rId223" Type="http://schemas.openxmlformats.org/officeDocument/2006/relationships/hyperlink" Target="https://doi.org/10.1002/anie.4927761" TargetMode="External"/><Relationship Id="rId224" Type="http://schemas.openxmlformats.org/officeDocument/2006/relationships/hyperlink" Target="https://advanced.onlinelibrary.wiley.com/doi/10.1002/adma.73582?af=R" TargetMode="External"/><Relationship Id="rId225" Type="http://schemas.openxmlformats.org/officeDocument/2006/relationships/hyperlink" Target="https://doi.org/10.1002/adma.73582" TargetMode="External"/><Relationship Id="rId226" Type="http://schemas.openxmlformats.org/officeDocument/2006/relationships/hyperlink" Target="https://advanced.onlinelibrary.wiley.com/doi/10.1002/adma.73588?af=R" TargetMode="External"/><Relationship Id="rId227" Type="http://schemas.openxmlformats.org/officeDocument/2006/relationships/hyperlink" Target="https://doi.org/10.1002/adma.73588" TargetMode="External"/><Relationship Id="rId228" Type="http://schemas.openxmlformats.org/officeDocument/2006/relationships/hyperlink" Target="https://advanced.onlinelibrary.wiley.com/doi/10.1002/adma.73454?af=R" TargetMode="External"/><Relationship Id="rId229" Type="http://schemas.openxmlformats.org/officeDocument/2006/relationships/hyperlink" Target="https://doi.org/10.1002/adma.73454" TargetMode="External"/><Relationship Id="rId230" Type="http://schemas.openxmlformats.org/officeDocument/2006/relationships/hyperlink" Target="https://onlinelibrary.wiley.com/doi/10.1002/anie.9937212?af=R" TargetMode="External"/><Relationship Id="rId231" Type="http://schemas.openxmlformats.org/officeDocument/2006/relationships/hyperlink" Target="https://doi.org/10.1002/anie.9937212" TargetMode="External"/><Relationship Id="rId232" Type="http://schemas.openxmlformats.org/officeDocument/2006/relationships/hyperlink" Target="https://onlinelibrary.wiley.com/doi/10.1002/anie.5448247?af=R" TargetMode="External"/><Relationship Id="rId233" Type="http://schemas.openxmlformats.org/officeDocument/2006/relationships/hyperlink" Target="https://doi.org/10.1002/anie.5448247" TargetMode="External"/><Relationship Id="rId234" Type="http://schemas.openxmlformats.org/officeDocument/2006/relationships/hyperlink" Target="https://onlinelibrary.wiley.com/doi/10.1002/anie.8218979?af=R" TargetMode="External"/><Relationship Id="rId235" Type="http://schemas.openxmlformats.org/officeDocument/2006/relationships/hyperlink" Target="https://doi.org/10.1002/anie.8218979" TargetMode="External"/><Relationship Id="rId236" Type="http://schemas.openxmlformats.org/officeDocument/2006/relationships/hyperlink" Target="https://onlinelibrary.wiley.com/doi/10.1002/anie.9504269?af=R" TargetMode="External"/><Relationship Id="rId237" Type="http://schemas.openxmlformats.org/officeDocument/2006/relationships/hyperlink" Target="https://doi.org/10.1002/anie.9504269" TargetMode="External"/><Relationship Id="rId238" Type="http://schemas.openxmlformats.org/officeDocument/2006/relationships/hyperlink" Target="http://pubs.rsc.org/en/Content/ArticleLanding/2026/EE/D6EE01604A" TargetMode="External"/><Relationship Id="rId239" Type="http://schemas.openxmlformats.org/officeDocument/2006/relationships/hyperlink" Target="https://www.cell.com/chem/fulltext/S2451-9294(26)00144-0?rss=yes" TargetMode="External"/><Relationship Id="rId240" Type="http://schemas.openxmlformats.org/officeDocument/2006/relationships/hyperlink" Target="https://doi.org/10.1016/j.chempr.2026.103078" TargetMode="External"/><Relationship Id="rId241" Type="http://schemas.openxmlformats.org/officeDocument/2006/relationships/hyperlink" Target="https://advanced.onlinelibrary.wiley.com/doi/10.1002/aenm.71166?af=R" TargetMode="External"/><Relationship Id="rId242" Type="http://schemas.openxmlformats.org/officeDocument/2006/relationships/hyperlink" Target="https://doi.org/10.1002/aenm.71166" TargetMode="External"/><Relationship Id="rId243" Type="http://schemas.openxmlformats.org/officeDocument/2006/relationships/hyperlink" Target="https://onlinelibrary.wiley.com/doi/10.1002/anie.9919359?af=R" TargetMode="External"/><Relationship Id="rId244" Type="http://schemas.openxmlformats.org/officeDocument/2006/relationships/hyperlink" Target="https://doi.org/10.1002/anie.9919359" TargetMode="External"/><Relationship Id="rId245" Type="http://schemas.openxmlformats.org/officeDocument/2006/relationships/hyperlink" Target="http://pubs.rsc.org/en/Content/ArticleLanding/2026/CS/D6CS00363J" TargetMode="External"/><Relationship Id="rId246" Type="http://schemas.openxmlformats.org/officeDocument/2006/relationships/hyperlink" Target="https://www.pnas.org/doi/abs/10.1073/pnas.2609606123?mi=eymic2&amp;af=R&amp;access=on&amp;content=articlesChapters&amp;publication=pnas&amp;sortBy=Earliest&amp;target=default" TargetMode="External"/><Relationship Id="rId247" Type="http://schemas.openxmlformats.org/officeDocument/2006/relationships/hyperlink" Target="https://doi.org/10.1073/pnas.2609606123" TargetMode="External"/><Relationship Id="rId248" Type="http://schemas.openxmlformats.org/officeDocument/2006/relationships/hyperlink" Target="https://advanced.onlinelibrary.wiley.com/doi/10.1002/adma.73579?af=R" TargetMode="External"/><Relationship Id="rId249" Type="http://schemas.openxmlformats.org/officeDocument/2006/relationships/hyperlink" Target="https://doi.org/10.1002/adma.73579" TargetMode="External"/><Relationship Id="rId250" Type="http://schemas.openxmlformats.org/officeDocument/2006/relationships/hyperlink" Target="https://www.sciencedirect.com/science/article/pii/S0306261926008044?dgcid=rss_sd_all" TargetMode="External"/><Relationship Id="rId251" Type="http://schemas.openxmlformats.org/officeDocument/2006/relationships/hyperlink" Target="https://www.nature.com/articles/s41467-026-73872-w" TargetMode="External"/><Relationship Id="rId252" Type="http://schemas.openxmlformats.org/officeDocument/2006/relationships/hyperlink" Target="https://www.sciencedirect.com/science/article/pii/S0306261926007907?dgcid=rss_sd_all" TargetMode="External"/><Relationship Id="rId253" Type="http://schemas.openxmlformats.org/officeDocument/2006/relationships/hyperlink" Target="https://www.sciencedirect.com/science/article/pii/S030626192600807X?dgcid=rss_sd_all" TargetMode="External"/><Relationship Id="rId254" Type="http://schemas.openxmlformats.org/officeDocument/2006/relationships/hyperlink" Target="https://www.sciencedirect.com/science/article/pii/S0306261926008019?dgcid=rss_sd_all" TargetMode="External"/><Relationship Id="rId255" Type="http://schemas.openxmlformats.org/officeDocument/2006/relationships/hyperlink" Target="https://www.nature.com/articles/s41467-026-73913-4" TargetMode="External"/><Relationship Id="rId256" Type="http://schemas.openxmlformats.org/officeDocument/2006/relationships/hyperlink" Target="https://www.nature.com/articles/s41467-026-73833-3" TargetMode="External"/><Relationship Id="rId257" Type="http://schemas.openxmlformats.org/officeDocument/2006/relationships/hyperlink" Target="https://www.sciencedirect.com/science/article/pii/S0306261926007646?dgcid=rss_sd_all" TargetMode="External"/><Relationship Id="rId258" Type="http://schemas.openxmlformats.org/officeDocument/2006/relationships/hyperlink" Target="https://www.nature.com/articles/s41467-026-73853-z" TargetMode="External"/><Relationship Id="rId259" Type="http://schemas.openxmlformats.org/officeDocument/2006/relationships/hyperlink" Target="https://www.sciencedirect.com/science/article/pii/S0306261926007956?dgcid=rss_sd_all" TargetMode="External"/><Relationship Id="rId260" Type="http://schemas.openxmlformats.org/officeDocument/2006/relationships/hyperlink" Target="https://www.sciencedirect.com/science/article/pii/S0306261926007294?dgcid=rss_sd_all" TargetMode="External"/><Relationship Id="rId261" Type="http://schemas.openxmlformats.org/officeDocument/2006/relationships/hyperlink" Target="https://www.sciencedirect.com/science/article/pii/S0306261926008159?dgcid=rss_sd_all" TargetMode="External"/><Relationship Id="rId262" Type="http://schemas.openxmlformats.org/officeDocument/2006/relationships/hyperlink" Target="https://www.science.org/doi/abs/10.1126/science.aea9058?af=R" TargetMode="External"/><Relationship Id="rId263" Type="http://schemas.openxmlformats.org/officeDocument/2006/relationships/hyperlink" Target="https://doi.org/10.1126/science.aea9058" TargetMode="External"/><Relationship Id="rId264" Type="http://schemas.openxmlformats.org/officeDocument/2006/relationships/hyperlink" Target="https://onlinelibrary.wiley.com/doi/10.1002/anie.5598898?af=R" TargetMode="External"/><Relationship Id="rId265" Type="http://schemas.openxmlformats.org/officeDocument/2006/relationships/hyperlink" Target="https://doi.org/10.1002/anie.5598898" TargetMode="External"/><Relationship Id="rId266" Type="http://schemas.openxmlformats.org/officeDocument/2006/relationships/hyperlink" Target="https://onlinelibrary.wiley.com/doi/10.1002/anie.8506641?af=R" TargetMode="External"/><Relationship Id="rId267" Type="http://schemas.openxmlformats.org/officeDocument/2006/relationships/hyperlink" Target="https://doi.org/10.1002/anie.8506641" TargetMode="External"/><Relationship Id="rId268" Type="http://schemas.openxmlformats.org/officeDocument/2006/relationships/hyperlink" Target="https://www.nature.com/articles/s41467-026-73935-y" TargetMode="External"/><Relationship Id="rId269" Type="http://schemas.openxmlformats.org/officeDocument/2006/relationships/hyperlink" Target="https://advanced.onlinelibrary.wiley.com/doi/10.1002/adma.73543?af=R" TargetMode="External"/><Relationship Id="rId270" Type="http://schemas.openxmlformats.org/officeDocument/2006/relationships/hyperlink" Target="https://doi.org/10.1002/adma.73543" TargetMode="External"/><Relationship Id="rId271" Type="http://schemas.openxmlformats.org/officeDocument/2006/relationships/hyperlink" Target="https://advanced.onlinelibrary.wiley.com/doi/10.1002/adma.73600?af=R" TargetMode="External"/><Relationship Id="rId272" Type="http://schemas.openxmlformats.org/officeDocument/2006/relationships/hyperlink" Target="https://doi.org/10.1002/adma.73600" TargetMode="External"/><Relationship Id="rId273" Type="http://schemas.openxmlformats.org/officeDocument/2006/relationships/hyperlink" Target="https://www.cell.com/chem/fulltext/S2451-9294(26)00145-2?rss=yes" TargetMode="External"/><Relationship Id="rId274" Type="http://schemas.openxmlformats.org/officeDocument/2006/relationships/hyperlink" Target="https://doi.org/10.1016/j.chempr.2026.103079" TargetMode="External"/><Relationship Id="rId275" Type="http://schemas.openxmlformats.org/officeDocument/2006/relationships/hyperlink" Target="https://www.nature.com/articles/s41467-026-73897-1" TargetMode="External"/><Relationship Id="rId276" Type="http://schemas.openxmlformats.org/officeDocument/2006/relationships/hyperlink" Target="http://pubs.rsc.org/en/Content/ArticleLanding/2026/CS/D6CS00501B" TargetMode="External"/><Relationship Id="rId277" Type="http://schemas.openxmlformats.org/officeDocument/2006/relationships/hyperlink" Target="https://www.science.org/doi/abs/10.1126/science.aed6068?af=R" TargetMode="External"/><Relationship Id="rId278" Type="http://schemas.openxmlformats.org/officeDocument/2006/relationships/hyperlink" Target="https://doi.org/10.1126/science.aed6068" TargetMode="External"/><Relationship Id="rId279" Type="http://schemas.openxmlformats.org/officeDocument/2006/relationships/hyperlink" Target="https://onlinelibrary.wiley.com/doi/10.1002/anie.6974259?af=R" TargetMode="External"/><Relationship Id="rId280" Type="http://schemas.openxmlformats.org/officeDocument/2006/relationships/hyperlink" Target="https://doi.org/10.1002/anie.6974259" TargetMode="External"/><Relationship Id="rId281" Type="http://schemas.openxmlformats.org/officeDocument/2006/relationships/hyperlink" Target="https://onlinelibrary.wiley.com/doi/10.1002/anie.1570414?af=R" TargetMode="External"/><Relationship Id="rId282" Type="http://schemas.openxmlformats.org/officeDocument/2006/relationships/hyperlink" Target="https://doi.org/10.1002/anie.1570414" TargetMode="External"/><Relationship Id="rId283" Type="http://schemas.openxmlformats.org/officeDocument/2006/relationships/hyperlink" Target="https://www.nature.com/articles/s41578-026-00927-1" TargetMode="External"/><Relationship Id="rId284" Type="http://schemas.openxmlformats.org/officeDocument/2006/relationships/hyperlink" Target="https://doi.org/10.1038/s41578-026-00927-1" TargetMode="External"/><Relationship Id="rId285" Type="http://schemas.openxmlformats.org/officeDocument/2006/relationships/hyperlink" Target="https://onlinelibrary.wiley.com/doi/10.1002/anie.6883410?af=R" TargetMode="External"/><Relationship Id="rId286" Type="http://schemas.openxmlformats.org/officeDocument/2006/relationships/hyperlink" Target="https://doi.org/10.1002/anie.6883410" TargetMode="External"/><Relationship Id="rId287" Type="http://schemas.openxmlformats.org/officeDocument/2006/relationships/hyperlink" Target="https://www.nature.com/articles/d41586-026-01775-3" TargetMode="External"/><Relationship Id="rId288" Type="http://schemas.openxmlformats.org/officeDocument/2006/relationships/hyperlink" Target="https://doi.org/10.1038/d41586-026-01775-3" TargetMode="External"/><Relationship Id="rId289" Type="http://schemas.openxmlformats.org/officeDocument/2006/relationships/hyperlink" Target="https://advanced.onlinelibrary.wiley.com/doi/10.1002/adma.73573?af=R" TargetMode="External"/><Relationship Id="rId290" Type="http://schemas.openxmlformats.org/officeDocument/2006/relationships/hyperlink" Target="https://doi.org/10.1002/adma.73573" TargetMode="External"/><Relationship Id="rId291" Type="http://schemas.openxmlformats.org/officeDocument/2006/relationships/hyperlink" Target="https://www.pnas.org/doi/abs/10.1073/pnas.2537088123?mi=eymic2&amp;af=R&amp;access=on&amp;content=articlesChapters&amp;publication=pnas&amp;sortBy=Earliest&amp;target=default" TargetMode="External"/><Relationship Id="rId292" Type="http://schemas.openxmlformats.org/officeDocument/2006/relationships/hyperlink" Target="https://doi.org/10.1073/pnas.2537088123" TargetMode="External"/><Relationship Id="rId293" Type="http://schemas.openxmlformats.org/officeDocument/2006/relationships/hyperlink" Target="https://advanced.onlinelibrary.wiley.com/doi/10.1002/adma.73526?af=R" TargetMode="External"/><Relationship Id="rId294" Type="http://schemas.openxmlformats.org/officeDocument/2006/relationships/hyperlink" Target="https://doi.org/10.1002/adma.73526" TargetMode="External"/><Relationship Id="rId295" Type="http://schemas.openxmlformats.org/officeDocument/2006/relationships/hyperlink" Target="https://www.nature.com/articles/s41586-026-10606-4" TargetMode="External"/><Relationship Id="rId296" Type="http://schemas.openxmlformats.org/officeDocument/2006/relationships/hyperlink" Target="https://doi.org/10.1038/s41586-026-10606-4" TargetMode="External"/><Relationship Id="rId297" Type="http://schemas.openxmlformats.org/officeDocument/2006/relationships/hyperlink" Target="https://onlinelibrary.wiley.com/doi/10.1002/anie.7100390?af=R" TargetMode="External"/><Relationship Id="rId298" Type="http://schemas.openxmlformats.org/officeDocument/2006/relationships/hyperlink" Target="https://doi.org/10.1002/anie.7100390" TargetMode="External"/><Relationship Id="rId299" Type="http://schemas.openxmlformats.org/officeDocument/2006/relationships/hyperlink" Target="https://onlinelibrary.wiley.com/doi/10.1002/anie.6820299?af=R" TargetMode="External"/><Relationship Id="rId300" Type="http://schemas.openxmlformats.org/officeDocument/2006/relationships/hyperlink" Target="https://doi.org/10.1002/anie.6820299" TargetMode="External"/><Relationship Id="rId301" Type="http://schemas.openxmlformats.org/officeDocument/2006/relationships/hyperlink" Target="https://www.nature.com/articles/s41578-026-00933-3" TargetMode="External"/><Relationship Id="rId302" Type="http://schemas.openxmlformats.org/officeDocument/2006/relationships/hyperlink" Target="https://doi.org/10.1038/s41578-026-00933-3" TargetMode="External"/><Relationship Id="rId303" Type="http://schemas.openxmlformats.org/officeDocument/2006/relationships/hyperlink" Target="https://onlinelibrary.wiley.com/doi/10.1002/anie.3481225?af=R" TargetMode="External"/><Relationship Id="rId304" Type="http://schemas.openxmlformats.org/officeDocument/2006/relationships/hyperlink" Target="https://doi.org/10.1002/anie.3481225" TargetMode="External"/><Relationship Id="rId305" Type="http://schemas.openxmlformats.org/officeDocument/2006/relationships/hyperlink" Target="https://academic.oup.com/nsr/advance-article/doi/10.1093/nsr/nwag323/8698487?rss=1" TargetMode="External"/><Relationship Id="rId306" Type="http://schemas.openxmlformats.org/officeDocument/2006/relationships/hyperlink" Target="https://doi.org/10.1093/nsr/nwag323" TargetMode="External"/><Relationship Id="rId307" Type="http://schemas.openxmlformats.org/officeDocument/2006/relationships/hyperlink" Target="https://www.sciencedirect.com/science/article/pii/S0301421526003095?dgcid=rss_sd_all" TargetMode="External"/><Relationship Id="rId308" Type="http://schemas.openxmlformats.org/officeDocument/2006/relationships/hyperlink" Target="https://www.nature.com/articles/s41467-026-73752-3" TargetMode="External"/><Relationship Id="rId309" Type="http://schemas.openxmlformats.org/officeDocument/2006/relationships/hyperlink" Target="https://doi.org/10.1038/s41467-026-73752-3" TargetMode="External"/><Relationship Id="rId310" Type="http://schemas.openxmlformats.org/officeDocument/2006/relationships/hyperlink" Target="https://www.sciencedirect.com/science/article/pii/S0301421526003034?dgcid=rss_sd_all" TargetMode="External"/><Relationship Id="rId311" Type="http://schemas.openxmlformats.org/officeDocument/2006/relationships/hyperlink" Target="https://www.nature.com/articles/s41467-026-73363-y" TargetMode="External"/><Relationship Id="rId312" Type="http://schemas.openxmlformats.org/officeDocument/2006/relationships/hyperlink" Target="https://doi.org/10.1038/s41467-026-73363-y" TargetMode="External"/><Relationship Id="rId313" Type="http://schemas.openxmlformats.org/officeDocument/2006/relationships/hyperlink" Target="https://www.sciencedirect.com/science/article/pii/S0301421526003241?dgcid=rss_sd_all" TargetMode="External"/><Relationship Id="rId314" Type="http://schemas.openxmlformats.org/officeDocument/2006/relationships/hyperlink" Target="https://www.nature.com/articles/s41467-026-73778-7" TargetMode="External"/><Relationship Id="rId315" Type="http://schemas.openxmlformats.org/officeDocument/2006/relationships/hyperlink" Target="https://doi.org/10.1038/s41467-026-73778-7" TargetMode="External"/><Relationship Id="rId316" Type="http://schemas.openxmlformats.org/officeDocument/2006/relationships/hyperlink" Target="https://academic.oup.com/nsr/advance-article/doi/10.1093/nsr/nwag310/8698473?rss=1" TargetMode="External"/><Relationship Id="rId317" Type="http://schemas.openxmlformats.org/officeDocument/2006/relationships/hyperlink" Target="https://doi.org/10.1093/nsr/nwag310" TargetMode="External"/><Relationship Id="rId318" Type="http://schemas.openxmlformats.org/officeDocument/2006/relationships/hyperlink" Target="https://www.nature.com/articles/s41467-026-73721-w" TargetMode="External"/><Relationship Id="rId319" Type="http://schemas.openxmlformats.org/officeDocument/2006/relationships/hyperlink" Target="https://doi.org/10.1038/s41467-026-73721-w" TargetMode="External"/><Relationship Id="rId320" Type="http://schemas.openxmlformats.org/officeDocument/2006/relationships/hyperlink" Target="https://www.sciencedirect.com/science/article/pii/S0301421526003083?dgcid=rss_sd_all" TargetMode="External"/><Relationship Id="rId321" Type="http://schemas.openxmlformats.org/officeDocument/2006/relationships/hyperlink" Target="https://www.sciencedirect.com/science/article/pii/S0306261926006872?dgcid=rss_sd_all" TargetMode="External"/><Relationship Id="rId322" Type="http://schemas.openxmlformats.org/officeDocument/2006/relationships/hyperlink" Target="https://academic.oup.com/nsr/advance-article/doi/10.1093/nsr/nwag311/8698485?rss=1" TargetMode="External"/><Relationship Id="rId323" Type="http://schemas.openxmlformats.org/officeDocument/2006/relationships/hyperlink" Target="https://doi.org/10.1093/nsr/nwag311" TargetMode="External"/><Relationship Id="rId324" Type="http://schemas.openxmlformats.org/officeDocument/2006/relationships/hyperlink" Target="https://www.sciencedirect.com/science/article/pii/S0306261926007506?dgcid=rss_sd_all" TargetMode="External"/><Relationship Id="rId325" Type="http://schemas.openxmlformats.org/officeDocument/2006/relationships/hyperlink" Target="https://www.sciencedirect.com/science/article/pii/S0306261926007166?dgcid=rss_sd_all" TargetMode="External"/><Relationship Id="rId326" Type="http://schemas.openxmlformats.org/officeDocument/2006/relationships/hyperlink" Target="https://www.sciencedirect.com/science/article/pii/S0306261926007610?dgcid=rss_sd_all" TargetMode="External"/><Relationship Id="rId327" Type="http://schemas.openxmlformats.org/officeDocument/2006/relationships/hyperlink" Target="https://www.sciencedirect.com/science/article/pii/S030626192600680X?dgcid=rss_sd_all" TargetMode="External"/><Relationship Id="rId328" Type="http://schemas.openxmlformats.org/officeDocument/2006/relationships/hyperlink" Target="https://www.sciencedirect.com/science/article/pii/S0306261926006793?dgcid=rss_sd_all" TargetMode="External"/><Relationship Id="rId329" Type="http://schemas.openxmlformats.org/officeDocument/2006/relationships/hyperlink" Target="https://advanced.onlinelibrary.wiley.com/doi/10.1002/adma.73516?af=R" TargetMode="External"/><Relationship Id="rId330" Type="http://schemas.openxmlformats.org/officeDocument/2006/relationships/hyperlink" Target="https://doi.org/10.1002/adma.73516" TargetMode="External"/><Relationship Id="rId331" Type="http://schemas.openxmlformats.org/officeDocument/2006/relationships/hyperlink" Target="https://advanced.onlinelibrary.wiley.com/doi/10.1002/adma.73513?af=R" TargetMode="External"/><Relationship Id="rId332" Type="http://schemas.openxmlformats.org/officeDocument/2006/relationships/hyperlink" Target="https://doi.org/10.1002/adma.73513" TargetMode="External"/><Relationship Id="rId333" Type="http://schemas.openxmlformats.org/officeDocument/2006/relationships/hyperlink" Target="https://advanced.onlinelibrary.wiley.com/doi/10.1002/adma.73515?af=R" TargetMode="External"/><Relationship Id="rId334" Type="http://schemas.openxmlformats.org/officeDocument/2006/relationships/hyperlink" Target="https://doi.org/10.1002/adma.73515" TargetMode="External"/><Relationship Id="rId335" Type="http://schemas.openxmlformats.org/officeDocument/2006/relationships/hyperlink" Target="https://onlinelibrary.wiley.com/doi/10.1002/anie.5724301?af=R" TargetMode="External"/><Relationship Id="rId336" Type="http://schemas.openxmlformats.org/officeDocument/2006/relationships/hyperlink" Target="https://doi.org/10.1002/anie.5724301" TargetMode="External"/><Relationship Id="rId337" Type="http://schemas.openxmlformats.org/officeDocument/2006/relationships/hyperlink" Target="https://onlinelibrary.wiley.com/doi/10.1002/anie.3452883?af=R" TargetMode="External"/><Relationship Id="rId338" Type="http://schemas.openxmlformats.org/officeDocument/2006/relationships/hyperlink" Target="https://doi.org/10.1002/anie.3452883" TargetMode="External"/><Relationship Id="rId339" Type="http://schemas.openxmlformats.org/officeDocument/2006/relationships/hyperlink" Target="https://onlinelibrary.wiley.com/doi/10.1002/anie.8722626?af=R" TargetMode="External"/><Relationship Id="rId340" Type="http://schemas.openxmlformats.org/officeDocument/2006/relationships/hyperlink" Target="https://doi.org/10.1002/anie.8722626" TargetMode="External"/><Relationship Id="rId341" Type="http://schemas.openxmlformats.org/officeDocument/2006/relationships/hyperlink" Target="https://onlinelibrary.wiley.com/doi/10.1002/anie.4464375?af=R" TargetMode="External"/><Relationship Id="rId342" Type="http://schemas.openxmlformats.org/officeDocument/2006/relationships/hyperlink" Target="https://doi.org/10.1002/anie.4464375" TargetMode="External"/><Relationship Id="rId343" Type="http://schemas.openxmlformats.org/officeDocument/2006/relationships/hyperlink" Target="https://onlinelibrary.wiley.com/doi/10.1002/anie.5486910?af=R" TargetMode="External"/><Relationship Id="rId344" Type="http://schemas.openxmlformats.org/officeDocument/2006/relationships/hyperlink" Target="https://doi.org/10.1002/anie.5486910" TargetMode="External"/><Relationship Id="rId345" Type="http://schemas.openxmlformats.org/officeDocument/2006/relationships/hyperlink" Target="https://onlinelibrary.wiley.com/doi/10.1002/anie.9925350?af=R" TargetMode="External"/><Relationship Id="rId346" Type="http://schemas.openxmlformats.org/officeDocument/2006/relationships/hyperlink" Target="https://doi.org/10.1002/anie.9925350" TargetMode="External"/><Relationship Id="rId347" Type="http://schemas.openxmlformats.org/officeDocument/2006/relationships/hyperlink" Target="https://onlinelibrary.wiley.com/doi/10.1002/anie.5169596?af=R" TargetMode="External"/><Relationship Id="rId348" Type="http://schemas.openxmlformats.org/officeDocument/2006/relationships/hyperlink" Target="https://doi.org/10.1002/anie.5169596" TargetMode="External"/><Relationship Id="rId349" Type="http://schemas.openxmlformats.org/officeDocument/2006/relationships/hyperlink" Target="https://onlinelibrary.wiley.com/doi/10.1002/anie.6127002?af=R" TargetMode="External"/><Relationship Id="rId350" Type="http://schemas.openxmlformats.org/officeDocument/2006/relationships/hyperlink" Target="https://doi.org/10.1002/anie.6127002" TargetMode="External"/><Relationship Id="rId351" Type="http://schemas.openxmlformats.org/officeDocument/2006/relationships/hyperlink" Target="https://onlinelibrary.wiley.com/doi/10.1002/anie.1386399?af=R" TargetMode="External"/><Relationship Id="rId352" Type="http://schemas.openxmlformats.org/officeDocument/2006/relationships/hyperlink" Target="https://doi.org/10.1002/anie.1386399" TargetMode="External"/><Relationship Id="rId353" Type="http://schemas.openxmlformats.org/officeDocument/2006/relationships/hyperlink" Target="https://onlinelibrary.wiley.com/doi/10.1002/anie.4556916?af=R" TargetMode="External"/><Relationship Id="rId354" Type="http://schemas.openxmlformats.org/officeDocument/2006/relationships/hyperlink" Target="https://doi.org/10.1002/anie.4556916" TargetMode="External"/><Relationship Id="rId355" Type="http://schemas.openxmlformats.org/officeDocument/2006/relationships/hyperlink" Target="https://onlinelibrary.wiley.com/doi/10.1002/anie.4785538?af=R" TargetMode="External"/><Relationship Id="rId356" Type="http://schemas.openxmlformats.org/officeDocument/2006/relationships/hyperlink" Target="https://doi.org/10.1002/anie.4785538" TargetMode="External"/><Relationship Id="rId357" Type="http://schemas.openxmlformats.org/officeDocument/2006/relationships/hyperlink" Target="https://onlinelibrary.wiley.com/doi/10.1002/anie.1203843?af=R" TargetMode="External"/><Relationship Id="rId358" Type="http://schemas.openxmlformats.org/officeDocument/2006/relationships/hyperlink" Target="https://doi.org/10.1002/anie.1203843" TargetMode="External"/><Relationship Id="rId359" Type="http://schemas.openxmlformats.org/officeDocument/2006/relationships/hyperlink" Target="https://onlinelibrary.wiley.com/doi/10.1002/anie.5529378?af=R" TargetMode="External"/><Relationship Id="rId360" Type="http://schemas.openxmlformats.org/officeDocument/2006/relationships/hyperlink" Target="https://doi.org/10.1002/anie.5529378" TargetMode="External"/><Relationship Id="rId361" Type="http://schemas.openxmlformats.org/officeDocument/2006/relationships/hyperlink" Target="https://onlinelibrary.wiley.com/doi/10.1002/anie.5512890?af=R" TargetMode="External"/><Relationship Id="rId362" Type="http://schemas.openxmlformats.org/officeDocument/2006/relationships/hyperlink" Target="https://doi.org/10.1002/anie.5512890" TargetMode="External"/><Relationship Id="rId363" Type="http://schemas.openxmlformats.org/officeDocument/2006/relationships/hyperlink" Target="https://onlinelibrary.wiley.com/doi/10.1002/anie.9156528?af=R" TargetMode="External"/><Relationship Id="rId364" Type="http://schemas.openxmlformats.org/officeDocument/2006/relationships/hyperlink" Target="https://doi.org/10.1002/anie.9156528" TargetMode="External"/><Relationship Id="rId365" Type="http://schemas.openxmlformats.org/officeDocument/2006/relationships/hyperlink" Target="https://onlinelibrary.wiley.com/doi/10.1002/anie.8101425?af=R" TargetMode="External"/><Relationship Id="rId366" Type="http://schemas.openxmlformats.org/officeDocument/2006/relationships/hyperlink" Target="https://doi.org/10.1002/anie.8101425" TargetMode="External"/><Relationship Id="rId367" Type="http://schemas.openxmlformats.org/officeDocument/2006/relationships/hyperlink" Target="https://advanced.onlinelibrary.wiley.com/doi/10.1002/adma.73541?af=R" TargetMode="External"/><Relationship Id="rId368" Type="http://schemas.openxmlformats.org/officeDocument/2006/relationships/hyperlink" Target="https://doi.org/10.1002/adma.73541" TargetMode="External"/><Relationship Id="rId369" Type="http://schemas.openxmlformats.org/officeDocument/2006/relationships/hyperlink" Target="https://advanced.onlinelibrary.wiley.com/doi/10.1002/adma.73576?af=R" TargetMode="External"/><Relationship Id="rId370" Type="http://schemas.openxmlformats.org/officeDocument/2006/relationships/hyperlink" Target="https://doi.org/10.1002/adma.73576" TargetMode="External"/><Relationship Id="rId371" Type="http://schemas.openxmlformats.org/officeDocument/2006/relationships/hyperlink" Target="https://advanced.onlinelibrary.wiley.com/doi/10.1002/adma.73581?af=R" TargetMode="External"/><Relationship Id="rId372" Type="http://schemas.openxmlformats.org/officeDocument/2006/relationships/hyperlink" Target="https://doi.org/10.1002/adma.73581" TargetMode="External"/><Relationship Id="rId373" Type="http://schemas.openxmlformats.org/officeDocument/2006/relationships/hyperlink" Target="https://www.sciencedirect.com/science/article/pii/S0301421526002156?dgcid=rss_sd_all" TargetMode="External"/><Relationship Id="rId374" Type="http://schemas.openxmlformats.org/officeDocument/2006/relationships/hyperlink" Target="https://www.sciencedirect.com/science/article/pii/S030626192600718X?dgcid=rss_sd_all" TargetMode="External"/><Relationship Id="rId375" Type="http://schemas.openxmlformats.org/officeDocument/2006/relationships/hyperlink" Target="https://www.sciencedirect.com/science/article/pii/S0306261926007282?dgcid=rss_sd_all" TargetMode="External"/><Relationship Id="rId376" Type="http://schemas.openxmlformats.org/officeDocument/2006/relationships/hyperlink" Target="https://www.sciencedirect.com/science/article/pii/S0306261926007932?dgcid=rss_sd_all" TargetMode="External"/><Relationship Id="rId377" Type="http://schemas.openxmlformats.org/officeDocument/2006/relationships/hyperlink" Target="https://www.sciencedirect.com/science/article/pii/S0301421526002910?dgcid=rss_sd_all" TargetMode="External"/><Relationship Id="rId378" Type="http://schemas.openxmlformats.org/officeDocument/2006/relationships/hyperlink" Target="https://www.sciencedirect.com/science/article/pii/S0306261926007142?dgcid=rss_sd_all" TargetMode="External"/><Relationship Id="rId379" Type="http://schemas.openxmlformats.org/officeDocument/2006/relationships/hyperlink" Target="https://www.sciencedirect.com/science/article/pii/S030626192600752X?dgcid=rss_sd_all" TargetMode="External"/><Relationship Id="rId380" Type="http://schemas.openxmlformats.org/officeDocument/2006/relationships/hyperlink" Target="https://www.sciencedirect.com/science/article/pii/S0306261926007555?dgcid=rss_sd_all" TargetMode="External"/><Relationship Id="rId381" Type="http://schemas.openxmlformats.org/officeDocument/2006/relationships/hyperlink" Target="https://www.sciencedirect.com/science/article/pii/S0306261926007415?dgcid=rss_sd_all" TargetMode="External"/><Relationship Id="rId382" Type="http://schemas.openxmlformats.org/officeDocument/2006/relationships/hyperlink" Target="https://onlinelibrary.wiley.com/doi/10.1002/anie.7347662?af=R" TargetMode="External"/><Relationship Id="rId383" Type="http://schemas.openxmlformats.org/officeDocument/2006/relationships/hyperlink" Target="https://doi.org/10.1002/anie.7347662" TargetMode="External"/><Relationship Id="rId384" Type="http://schemas.openxmlformats.org/officeDocument/2006/relationships/hyperlink" Target="https://onlinelibrary.wiley.com/doi/10.1002/anie.4384058?af=R" TargetMode="External"/><Relationship Id="rId385" Type="http://schemas.openxmlformats.org/officeDocument/2006/relationships/hyperlink" Target="https://doi.org/10.1002/anie.4384058" TargetMode="External"/><Relationship Id="rId386" Type="http://schemas.openxmlformats.org/officeDocument/2006/relationships/hyperlink" Target="https://onlinelibrary.wiley.com/doi/10.1002/anie.1546846?af=R" TargetMode="External"/><Relationship Id="rId387" Type="http://schemas.openxmlformats.org/officeDocument/2006/relationships/hyperlink" Target="https://doi.org/10.1002/anie.1546846" TargetMode="External"/><Relationship Id="rId388" Type="http://schemas.openxmlformats.org/officeDocument/2006/relationships/hyperlink" Target="https://onlinelibrary.wiley.com/doi/10.1002/anie.4057924?af=R" TargetMode="External"/><Relationship Id="rId389" Type="http://schemas.openxmlformats.org/officeDocument/2006/relationships/hyperlink" Target="https://doi.org/10.1002/anie.4057924" TargetMode="External"/><Relationship Id="rId390" Type="http://schemas.openxmlformats.org/officeDocument/2006/relationships/hyperlink" Target="https://onlinelibrary.wiley.com/doi/10.1002/anie.2592959?af=R" TargetMode="External"/><Relationship Id="rId391" Type="http://schemas.openxmlformats.org/officeDocument/2006/relationships/hyperlink" Target="https://doi.org/10.1002/anie.2592959" TargetMode="External"/><Relationship Id="rId392" Type="http://schemas.openxmlformats.org/officeDocument/2006/relationships/hyperlink" Target="https://onlinelibrary.wiley.com/doi/10.1002/anie.3844758?af=R" TargetMode="External"/><Relationship Id="rId393" Type="http://schemas.openxmlformats.org/officeDocument/2006/relationships/hyperlink" Target="https://doi.org/10.1002/anie.3844758" TargetMode="External"/><Relationship Id="rId394" Type="http://schemas.openxmlformats.org/officeDocument/2006/relationships/hyperlink" Target="https://www.nature.com/articles/s41557-026-02158-x" TargetMode="External"/><Relationship Id="rId395" Type="http://schemas.openxmlformats.org/officeDocument/2006/relationships/hyperlink" Target="https://doi.org/10.1038/s41557-026-02158-x" TargetMode="External"/><Relationship Id="rId396" Type="http://schemas.openxmlformats.org/officeDocument/2006/relationships/hyperlink" Target="https://www.nature.com/articles/d41586-026-01760-w" TargetMode="External"/><Relationship Id="rId397" Type="http://schemas.openxmlformats.org/officeDocument/2006/relationships/hyperlink" Target="https://doi.org/10.1038/d41586-026-01760-w" TargetMode="External"/><Relationship Id="rId398" Type="http://schemas.openxmlformats.org/officeDocument/2006/relationships/hyperlink" Target="https://www.nature.com/articles/d41586-026-00821-4" TargetMode="External"/><Relationship Id="rId399" Type="http://schemas.openxmlformats.org/officeDocument/2006/relationships/hyperlink" Target="https://doi.org/10.1038/d41586-026-00821-4" TargetMode="External"/><Relationship Id="rId400" Type="http://schemas.openxmlformats.org/officeDocument/2006/relationships/hyperlink" Target="https://www.nature.com/articles/d41586-026-01729-9" TargetMode="External"/><Relationship Id="rId401" Type="http://schemas.openxmlformats.org/officeDocument/2006/relationships/hyperlink" Target="https://doi.org/10.1038/d41586-026-01729-9" TargetMode="External"/><Relationship Id="rId402" Type="http://schemas.openxmlformats.org/officeDocument/2006/relationships/hyperlink" Target="https://www.nature.com/articles/d41586-026-01693-4" TargetMode="External"/><Relationship Id="rId403" Type="http://schemas.openxmlformats.org/officeDocument/2006/relationships/hyperlink" Target="https://doi.org/10.1038/d41586-026-01693-4" TargetMode="External"/><Relationship Id="rId404" Type="http://schemas.openxmlformats.org/officeDocument/2006/relationships/hyperlink" Target="https://www.nature.com/articles/d41586-026-01488-7" TargetMode="External"/><Relationship Id="rId405" Type="http://schemas.openxmlformats.org/officeDocument/2006/relationships/hyperlink" Target="https://doi.org/10.1038/d41586-026-01488-7" TargetMode="External"/><Relationship Id="rId406" Type="http://schemas.openxmlformats.org/officeDocument/2006/relationships/hyperlink" Target="https://www.nature.com/articles/d41586-026-01158-8" TargetMode="External"/><Relationship Id="rId407" Type="http://schemas.openxmlformats.org/officeDocument/2006/relationships/hyperlink" Target="https://doi.org/10.1038/d41586-026-01158-8" TargetMode="External"/><Relationship Id="rId408" Type="http://schemas.openxmlformats.org/officeDocument/2006/relationships/hyperlink" Target="https://www.nature.com/articles/d41586-026-01782-4" TargetMode="External"/><Relationship Id="rId409" Type="http://schemas.openxmlformats.org/officeDocument/2006/relationships/hyperlink" Target="https://doi.org/10.1038/d41586-026-01782-4" TargetMode="External"/><Relationship Id="rId410" Type="http://schemas.openxmlformats.org/officeDocument/2006/relationships/hyperlink" Target="https://www.nature.com/articles/d41586-026-01730-2" TargetMode="External"/><Relationship Id="rId411" Type="http://schemas.openxmlformats.org/officeDocument/2006/relationships/hyperlink" Target="https://doi.org/10.1038/d41586-026-01730-2" TargetMode="External"/><Relationship Id="rId412" Type="http://schemas.openxmlformats.org/officeDocument/2006/relationships/hyperlink" Target="https://www.nature.com/articles/s41557-026-02156-z" TargetMode="External"/><Relationship Id="rId413" Type="http://schemas.openxmlformats.org/officeDocument/2006/relationships/hyperlink" Target="https://doi.org/10.1038/s41557-026-02156-z" TargetMode="External"/><Relationship Id="rId414" Type="http://schemas.openxmlformats.org/officeDocument/2006/relationships/hyperlink" Target="https://www.nature.com/articles/d41586-026-01728-w" TargetMode="External"/><Relationship Id="rId415" Type="http://schemas.openxmlformats.org/officeDocument/2006/relationships/hyperlink" Target="https://doi.org/10.1038/d41586-026-01728-w" TargetMode="External"/><Relationship Id="rId416" Type="http://schemas.openxmlformats.org/officeDocument/2006/relationships/hyperlink" Target="https://www.nature.com/articles/s41586-026-10507-6" TargetMode="External"/><Relationship Id="rId417" Type="http://schemas.openxmlformats.org/officeDocument/2006/relationships/hyperlink" Target="https://doi.org/10.1038/s41586-026-10507-6" TargetMode="External"/><Relationship Id="rId418" Type="http://schemas.openxmlformats.org/officeDocument/2006/relationships/hyperlink" Target="https://www.nature.com/articles/s41586-026-10692-4" TargetMode="External"/><Relationship Id="rId419" Type="http://schemas.openxmlformats.org/officeDocument/2006/relationships/hyperlink" Target="https://doi.org/10.1038/s41586-026-10692-4" TargetMode="External"/><Relationship Id="rId420" Type="http://schemas.openxmlformats.org/officeDocument/2006/relationships/hyperlink" Target="https://www.nature.com/articles/s41563-026-02619-1" TargetMode="External"/><Relationship Id="rId421" Type="http://schemas.openxmlformats.org/officeDocument/2006/relationships/hyperlink" Target="https://doi.org/10.1038/s41563-026-02619-1" TargetMode="External"/><Relationship Id="rId422" Type="http://schemas.openxmlformats.org/officeDocument/2006/relationships/hyperlink" Target="https://www.nature.com/articles/s41563-026-02615-5" TargetMode="External"/><Relationship Id="rId423" Type="http://schemas.openxmlformats.org/officeDocument/2006/relationships/hyperlink" Target="https://doi.org/10.1038/s41563-026-02615-5" TargetMode="External"/><Relationship Id="rId424" Type="http://schemas.openxmlformats.org/officeDocument/2006/relationships/hyperlink" Target="https://www.nature.com/articles/s41893-026-01824-9" TargetMode="External"/><Relationship Id="rId425" Type="http://schemas.openxmlformats.org/officeDocument/2006/relationships/hyperlink" Target="https://doi.org/10.1038/s41893-026-01824-9" TargetMode="External"/><Relationship Id="rId426" Type="http://schemas.openxmlformats.org/officeDocument/2006/relationships/hyperlink" Target="https://www.nature.com/articles/s41893-026-01840-9" TargetMode="External"/><Relationship Id="rId427" Type="http://schemas.openxmlformats.org/officeDocument/2006/relationships/hyperlink" Target="https://doi.org/10.1038/s41893-026-01840-9" TargetMode="External"/><Relationship Id="rId428" Type="http://schemas.openxmlformats.org/officeDocument/2006/relationships/hyperlink" Target="https://www.nature.com/articles/s41893-026-01841-8" TargetMode="External"/><Relationship Id="rId429" Type="http://schemas.openxmlformats.org/officeDocument/2006/relationships/hyperlink" Target="https://doi.org/10.1038/s41893-026-01841-8" TargetMode="External"/><Relationship Id="rId430" Type="http://schemas.openxmlformats.org/officeDocument/2006/relationships/hyperlink" Target="https://www.nature.com/articles/d41586-026-01688-1" TargetMode="External"/><Relationship Id="rId431" Type="http://schemas.openxmlformats.org/officeDocument/2006/relationships/hyperlink" Target="https://doi.org/10.1038/d41586-026-01688-1" TargetMode="External"/><Relationship Id="rId432" Type="http://schemas.openxmlformats.org/officeDocument/2006/relationships/hyperlink" Target="https://www.nature.com/articles/d41586-026-00507-x" TargetMode="External"/><Relationship Id="rId433" Type="http://schemas.openxmlformats.org/officeDocument/2006/relationships/hyperlink" Target="https://doi.org/10.1038/d41586-026-00507-x" TargetMode="External"/><Relationship Id="rId434" Type="http://schemas.openxmlformats.org/officeDocument/2006/relationships/hyperlink" Target="https://www.nature.com/articles/s41467-026-73762-1" TargetMode="External"/><Relationship Id="rId435" Type="http://schemas.openxmlformats.org/officeDocument/2006/relationships/hyperlink" Target="https://www.nature.com/articles/s41467-026-73244-4" TargetMode="External"/><Relationship Id="rId436" Type="http://schemas.openxmlformats.org/officeDocument/2006/relationships/hyperlink" Target="https://www.nature.com/articles/s41467-026-73509-y" TargetMode="External"/><Relationship Id="rId437" Type="http://schemas.openxmlformats.org/officeDocument/2006/relationships/hyperlink" Target="https://www.sciencedirect.com/science/article/pii/S030626192600766X?dgcid=rss_sd_all" TargetMode="External"/><Relationship Id="rId438" Type="http://schemas.openxmlformats.org/officeDocument/2006/relationships/hyperlink" Target="https://www.sciencedirect.com/science/article/pii/S0306261926007464?dgcid=rss_sd_all" TargetMode="External"/><Relationship Id="rId439" Type="http://schemas.openxmlformats.org/officeDocument/2006/relationships/hyperlink" Target="https://www.sciencedirect.com/science/article/pii/S0306261926007567?dgcid=rss_sd_all" TargetMode="External"/><Relationship Id="rId440" Type="http://schemas.openxmlformats.org/officeDocument/2006/relationships/hyperlink" Target="https://www.cell.com/matter/fulltext/S2590-2385(26)00189-X?rss=yes" TargetMode="External"/><Relationship Id="rId441" Type="http://schemas.openxmlformats.org/officeDocument/2006/relationships/hyperlink" Target="https://doi.org/10.1016/j.matt.2026.102826" TargetMode="External"/><Relationship Id="rId442" Type="http://schemas.openxmlformats.org/officeDocument/2006/relationships/hyperlink" Target="https://www.nature.com/articles/s41467-026-73367-8" TargetMode="External"/><Relationship Id="rId443" Type="http://schemas.openxmlformats.org/officeDocument/2006/relationships/hyperlink" Target="https://www.nature.com/articles/s41467-026-73421-5" TargetMode="External"/><Relationship Id="rId444" Type="http://schemas.openxmlformats.org/officeDocument/2006/relationships/hyperlink" Target="https://www.nature.com/articles/s41467-026-73236-4" TargetMode="External"/><Relationship Id="rId445" Type="http://schemas.openxmlformats.org/officeDocument/2006/relationships/hyperlink" Target="https://www.nature.com/articles/s41565-026-02180-7" TargetMode="External"/><Relationship Id="rId446" Type="http://schemas.openxmlformats.org/officeDocument/2006/relationships/hyperlink" Target="https://doi.org/10.1038/s41565-026-02180-7" TargetMode="External"/><Relationship Id="rId447" Type="http://schemas.openxmlformats.org/officeDocument/2006/relationships/hyperlink" Target="https://www.nature.com/articles/s41467-026-73791-w" TargetMode="External"/><Relationship Id="rId448" Type="http://schemas.openxmlformats.org/officeDocument/2006/relationships/hyperlink" Target="https://www.nature.com/articles/s41467-026-73614-y" TargetMode="External"/><Relationship Id="rId449" Type="http://schemas.openxmlformats.org/officeDocument/2006/relationships/hyperlink" Target="https://www.nature.com/articles/s41467-026-73678-w" TargetMode="External"/><Relationship Id="rId450" Type="http://schemas.openxmlformats.org/officeDocument/2006/relationships/hyperlink" Target="https://www.nature.com/articles/s41467-026-73331-6" TargetMode="External"/><Relationship Id="rId451" Type="http://schemas.openxmlformats.org/officeDocument/2006/relationships/hyperlink" Target="https://www.nature.com/articles/s41467-026-72812-y" TargetMode="External"/><Relationship Id="rId452" Type="http://schemas.openxmlformats.org/officeDocument/2006/relationships/hyperlink" Target="https://www.nature.com/articles/s41467-026-73276-w" TargetMode="External"/><Relationship Id="rId453" Type="http://schemas.openxmlformats.org/officeDocument/2006/relationships/hyperlink" Target="https://www.nature.com/articles/s41467-026-73976-3" TargetMode="External"/><Relationship Id="rId454" Type="http://schemas.openxmlformats.org/officeDocument/2006/relationships/hyperlink" Target="https://www.nature.com/articles/s41467-026-73940-1" TargetMode="External"/><Relationship Id="rId455" Type="http://schemas.openxmlformats.org/officeDocument/2006/relationships/hyperlink" Target="https://www.cell.com/matter/fulltext/S2590-2385(26)00218-3?rss=yes" TargetMode="External"/><Relationship Id="rId456" Type="http://schemas.openxmlformats.org/officeDocument/2006/relationships/hyperlink" Target="https://doi.org/10.1016/j.matt.2026.102855" TargetMode="External"/><Relationship Id="rId457" Type="http://schemas.openxmlformats.org/officeDocument/2006/relationships/hyperlink" Target="https://www.sciencedirect.com/science/article/pii/S030142152600337X?dgcid=rss_sd_all" TargetMode="External"/><Relationship Id="rId458" Type="http://schemas.openxmlformats.org/officeDocument/2006/relationships/hyperlink" Target="https://www.nature.com/articles/s41467-026-73469-3" TargetMode="External"/><Relationship Id="rId459" Type="http://schemas.openxmlformats.org/officeDocument/2006/relationships/hyperlink" Target="https://advanced.onlinelibrary.wiley.com/doi/10.1002/adma.73558?af=R" TargetMode="External"/><Relationship Id="rId460" Type="http://schemas.openxmlformats.org/officeDocument/2006/relationships/hyperlink" Target="https://doi.org/10.1002/adma.73558" TargetMode="External"/><Relationship Id="rId461" Type="http://schemas.openxmlformats.org/officeDocument/2006/relationships/hyperlink" Target="https://advanced.onlinelibrary.wiley.com/doi/10.1002/adma.73565?af=R" TargetMode="External"/><Relationship Id="rId462" Type="http://schemas.openxmlformats.org/officeDocument/2006/relationships/hyperlink" Target="https://doi.org/10.1002/adma.73565" TargetMode="External"/><Relationship Id="rId463" Type="http://schemas.openxmlformats.org/officeDocument/2006/relationships/hyperlink" Target="https://advanced.onlinelibrary.wiley.com/doi/10.1002/adma.202514218?af=R" TargetMode="External"/><Relationship Id="rId464" Type="http://schemas.openxmlformats.org/officeDocument/2006/relationships/hyperlink" Target="https://doi.org/10.1002/adma.202514218" TargetMode="External"/><Relationship Id="rId465" Type="http://schemas.openxmlformats.org/officeDocument/2006/relationships/hyperlink" Target="https://advanced.onlinelibrary.wiley.com/doi/10.1002/adma.73544?af=R" TargetMode="External"/><Relationship Id="rId466" Type="http://schemas.openxmlformats.org/officeDocument/2006/relationships/hyperlink" Target="https://doi.org/10.1002/adma.73544" TargetMode="External"/><Relationship Id="rId467" Type="http://schemas.openxmlformats.org/officeDocument/2006/relationships/hyperlink" Target="https://www.pnas.org/doi/abs/10.1073/pnas.2528515123?mi=eymic2&amp;af=R&amp;access=on&amp;content=articlesChapters&amp;publication=pnas&amp;sortBy=Earliest&amp;target=default" TargetMode="External"/><Relationship Id="rId468" Type="http://schemas.openxmlformats.org/officeDocument/2006/relationships/hyperlink" Target="https://doi.org/10.1073/pnas.2528515123" TargetMode="External"/><Relationship Id="rId469" Type="http://schemas.openxmlformats.org/officeDocument/2006/relationships/hyperlink" Target="https://www.pnas.org/doi/abs/10.1073/pnas.2528615123?mi=eymic2&amp;af=R&amp;access=on&amp;content=articlesChapters&amp;publication=pnas&amp;sortBy=Earliest&amp;target=default" TargetMode="External"/><Relationship Id="rId470" Type="http://schemas.openxmlformats.org/officeDocument/2006/relationships/hyperlink" Target="https://doi.org/10.1073/pnas.2528615123" TargetMode="External"/><Relationship Id="rId471" Type="http://schemas.openxmlformats.org/officeDocument/2006/relationships/hyperlink" Target="https://www.pnas.org/doi/abs/10.1073/pnas.2526314123?mi=eymic2&amp;af=R&amp;access=on&amp;content=articlesChapters&amp;publication=pnas&amp;sortBy=Earliest&amp;target=default" TargetMode="External"/><Relationship Id="rId472" Type="http://schemas.openxmlformats.org/officeDocument/2006/relationships/hyperlink" Target="https://doi.org/10.1073/pnas.2526314123" TargetMode="External"/><Relationship Id="rId473" Type="http://schemas.openxmlformats.org/officeDocument/2006/relationships/hyperlink" Target="https://www.pnas.org/doi/abs/10.1073/pnas.2518179123?mi=eymic2&amp;af=R&amp;access=on&amp;content=articlesChapters&amp;publication=pnas&amp;sortBy=Earliest&amp;target=default" TargetMode="External"/><Relationship Id="rId474" Type="http://schemas.openxmlformats.org/officeDocument/2006/relationships/hyperlink" Target="https://doi.org/10.1073/pnas.2518179123" TargetMode="External"/><Relationship Id="rId475" Type="http://schemas.openxmlformats.org/officeDocument/2006/relationships/hyperlink" Target="https://www.pnas.org/doi/abs/10.1073/pnas.2514963123?mi=eymic2&amp;af=R&amp;access=on&amp;content=articlesChapters&amp;publication=pnas&amp;sortBy=Earliest&amp;target=default" TargetMode="External"/><Relationship Id="rId476" Type="http://schemas.openxmlformats.org/officeDocument/2006/relationships/hyperlink" Target="https://doi.org/10.1073/pnas.2514963123" TargetMode="External"/><Relationship Id="rId477" Type="http://schemas.openxmlformats.org/officeDocument/2006/relationships/hyperlink" Target="https://www.pnas.org/doi/abs/10.1073/pnas.2509612123?mi=eymic2&amp;af=R&amp;access=on&amp;content=articlesChapters&amp;publication=pnas&amp;sortBy=Earliest&amp;target=default" TargetMode="External"/><Relationship Id="rId478" Type="http://schemas.openxmlformats.org/officeDocument/2006/relationships/hyperlink" Target="https://doi.org/10.1073/pnas.2509612123" TargetMode="External"/><Relationship Id="rId479" Type="http://schemas.openxmlformats.org/officeDocument/2006/relationships/hyperlink" Target="https://www.pnas.org/doi/abs/10.1073/pnas.2602949123?mi=eymic2&amp;af=R&amp;access=on&amp;content=articlesChapters&amp;publication=pnas&amp;sortBy=Earliest&amp;target=default" TargetMode="External"/><Relationship Id="rId480" Type="http://schemas.openxmlformats.org/officeDocument/2006/relationships/hyperlink" Target="https://doi.org/10.1073/pnas.2602949123" TargetMode="External"/><Relationship Id="rId481" Type="http://schemas.openxmlformats.org/officeDocument/2006/relationships/hyperlink" Target="https://www.pnas.org/doi/abs/10.1073/pnas.2603271123?mi=eymic2&amp;af=R&amp;access=on&amp;content=articlesChapters&amp;publication=pnas&amp;sortBy=Earliest&amp;target=default" TargetMode="External"/><Relationship Id="rId482" Type="http://schemas.openxmlformats.org/officeDocument/2006/relationships/hyperlink" Target="https://doi.org/10.1073/pnas.2603271123" TargetMode="External"/><Relationship Id="rId483" Type="http://schemas.openxmlformats.org/officeDocument/2006/relationships/hyperlink" Target="https://www.pnas.org/doi/abs/10.1073/pnas.2608127123?mi=eymic2&amp;af=R&amp;access=on&amp;content=articlesChapters&amp;publication=pnas&amp;sortBy=Earliest&amp;target=default" TargetMode="External"/><Relationship Id="rId484" Type="http://schemas.openxmlformats.org/officeDocument/2006/relationships/hyperlink" Target="https://doi.org/10.1073/pnas.2608127123" TargetMode="External"/><Relationship Id="rId485" Type="http://schemas.openxmlformats.org/officeDocument/2006/relationships/hyperlink" Target="https://www.pnas.org/doi/abs/10.1073/pnas.2604814123?mi=eymic2&amp;af=R&amp;access=on&amp;content=articlesChapters&amp;publication=pnas&amp;sortBy=Earliest&amp;target=default" TargetMode="External"/><Relationship Id="rId486" Type="http://schemas.openxmlformats.org/officeDocument/2006/relationships/hyperlink" Target="https://doi.org/10.1073/pnas.2604814123" TargetMode="External"/><Relationship Id="rId487" Type="http://schemas.openxmlformats.org/officeDocument/2006/relationships/hyperlink" Target="https://www.pnas.org/doi/abs/10.1073/pnas.2607054123?mi=eymic2&amp;af=R&amp;access=on&amp;content=articlesChapters&amp;publication=pnas&amp;sortBy=Earliest&amp;target=default" TargetMode="External"/><Relationship Id="rId488" Type="http://schemas.openxmlformats.org/officeDocument/2006/relationships/hyperlink" Target="https://doi.org/10.1073/pnas.2607054123" TargetMode="External"/><Relationship Id="rId489" Type="http://schemas.openxmlformats.org/officeDocument/2006/relationships/hyperlink" Target="https://www.pnas.org/doi/abs/10.1073/pnas.2608649123?mi=eymic2&amp;af=R&amp;access=on&amp;content=articlesChapters&amp;publication=pnas&amp;sortBy=Earliest&amp;target=default" TargetMode="External"/><Relationship Id="rId490" Type="http://schemas.openxmlformats.org/officeDocument/2006/relationships/hyperlink" Target="https://doi.org/10.1073/pnas.2608649123" TargetMode="External"/><Relationship Id="rId491" Type="http://schemas.openxmlformats.org/officeDocument/2006/relationships/hyperlink" Target="https://www.pnas.org/doi/abs/10.1073/pnas.2608226123?mi=eymic2&amp;af=R&amp;access=on&amp;content=articlesChapters&amp;publication=pnas&amp;sortBy=Earliest&amp;target=default" TargetMode="External"/><Relationship Id="rId492" Type="http://schemas.openxmlformats.org/officeDocument/2006/relationships/hyperlink" Target="https://doi.org/10.1073/pnas.2608226123" TargetMode="External"/><Relationship Id="rId493" Type="http://schemas.openxmlformats.org/officeDocument/2006/relationships/hyperlink" Target="https://www.pnas.org/doi/abs/10.1073/pnas.2604256123?mi=eymic2&amp;af=R&amp;access=on&amp;content=articlesChapters&amp;publication=pnas&amp;sortBy=Earliest&amp;target=default" TargetMode="External"/><Relationship Id="rId494" Type="http://schemas.openxmlformats.org/officeDocument/2006/relationships/hyperlink" Target="https://doi.org/10.1073/pnas.2604256123" TargetMode="External"/><Relationship Id="rId495" Type="http://schemas.openxmlformats.org/officeDocument/2006/relationships/hyperlink" Target="https://www.pnas.org/doi/abs/10.1073/pnas.2530020123?mi=eymic2&amp;af=R&amp;access=on&amp;content=articlesChapters&amp;publication=pnas&amp;sortBy=Earliest&amp;target=default" TargetMode="External"/><Relationship Id="rId496" Type="http://schemas.openxmlformats.org/officeDocument/2006/relationships/hyperlink" Target="https://doi.org/10.1073/pnas.2530020123" TargetMode="External"/><Relationship Id="rId497" Type="http://schemas.openxmlformats.org/officeDocument/2006/relationships/hyperlink" Target="https://www.pnas.org/doi/abs/10.1073/pnas.2600080123?mi=eymic2&amp;af=R&amp;access=on&amp;content=articlesChapters&amp;publication=pnas&amp;sortBy=Earliest&amp;target=default" TargetMode="External"/><Relationship Id="rId498" Type="http://schemas.openxmlformats.org/officeDocument/2006/relationships/hyperlink" Target="https://doi.org/10.1073/pnas.2600080123" TargetMode="External"/><Relationship Id="rId499" Type="http://schemas.openxmlformats.org/officeDocument/2006/relationships/hyperlink" Target="https://www.pnas.org/doi/abs/10.1073/pnas.2531602123?mi=eymic2&amp;af=R&amp;access=on&amp;content=articlesChapters&amp;publication=pnas&amp;sortBy=Earliest&amp;target=default" TargetMode="External"/><Relationship Id="rId500" Type="http://schemas.openxmlformats.org/officeDocument/2006/relationships/hyperlink" Target="https://doi.org/10.1073/pnas.2531602123" TargetMode="External"/><Relationship Id="rId501" Type="http://schemas.openxmlformats.org/officeDocument/2006/relationships/hyperlink" Target="https://www.pnas.org/doi/abs/10.1073/pnas.2613403123?mi=eymic2&amp;af=R&amp;access=on&amp;content=articlesChapters&amp;publication=pnas&amp;sortBy=Earliest&amp;target=default" TargetMode="External"/><Relationship Id="rId502" Type="http://schemas.openxmlformats.org/officeDocument/2006/relationships/hyperlink" Target="https://doi.org/10.1073/pnas.2613403123" TargetMode="External"/><Relationship Id="rId503" Type="http://schemas.openxmlformats.org/officeDocument/2006/relationships/hyperlink" Target="https://www.pnas.org/doi/abs/10.1073/pnas.2533284123?mi=eymic2&amp;af=R&amp;access=on&amp;content=articlesChapters&amp;publication=pnas&amp;sortBy=Earliest&amp;target=default" TargetMode="External"/><Relationship Id="rId504" Type="http://schemas.openxmlformats.org/officeDocument/2006/relationships/hyperlink" Target="https://doi.org/10.1073/pnas.2533284123" TargetMode="External"/><Relationship Id="rId505" Type="http://schemas.openxmlformats.org/officeDocument/2006/relationships/hyperlink" Target="https://www.pnas.org/doi/abs/10.1073/pnas.2611093123?mi=eymic2&amp;af=R&amp;access=on&amp;content=articlesChapters&amp;publication=pnas&amp;sortBy=Earliest&amp;target=default" TargetMode="External"/><Relationship Id="rId506" Type="http://schemas.openxmlformats.org/officeDocument/2006/relationships/hyperlink" Target="https://doi.org/10.1073/pnas.2611093123" TargetMode="External"/><Relationship Id="rId507" Type="http://schemas.openxmlformats.org/officeDocument/2006/relationships/hyperlink" Target="https://www.pnas.org/doi/abs/10.1073/pnas.2611388123?mi=eymic2&amp;af=R&amp;access=on&amp;content=articlesChapters&amp;publication=pnas&amp;sortBy=Earliest&amp;target=default" TargetMode="External"/><Relationship Id="rId508" Type="http://schemas.openxmlformats.org/officeDocument/2006/relationships/hyperlink" Target="https://doi.org/10.1073/pnas.2611388123" TargetMode="External"/><Relationship Id="rId509" Type="http://schemas.openxmlformats.org/officeDocument/2006/relationships/hyperlink" Target="https://www.pnas.org/doi/abs/10.1073/pnas.2614201123?mi=eymic2&amp;af=R&amp;access=on&amp;content=articlesChapters&amp;publication=pnas&amp;sortBy=Earliest&amp;target=default" TargetMode="External"/><Relationship Id="rId510" Type="http://schemas.openxmlformats.org/officeDocument/2006/relationships/hyperlink" Target="https://doi.org/10.1073/pnas.2614201123" TargetMode="External"/><Relationship Id="rId511" Type="http://schemas.openxmlformats.org/officeDocument/2006/relationships/hyperlink" Target="https://www.pnas.org/doi/abs/10.1073/pnas.2610708123?mi=eymic2&amp;af=R&amp;access=on&amp;content=articlesChapters&amp;publication=pnas&amp;sortBy=Earliest&amp;target=default" TargetMode="External"/><Relationship Id="rId512" Type="http://schemas.openxmlformats.org/officeDocument/2006/relationships/hyperlink" Target="https://doi.org/10.1073/pnas.2610708123" TargetMode="External"/><Relationship Id="rId513" Type="http://schemas.openxmlformats.org/officeDocument/2006/relationships/hyperlink" Target="https://www.pnas.org/doi/abs/10.1073/pnas.2611972123?mi=eymic2&amp;af=R&amp;access=on&amp;content=articlesChapters&amp;publication=pnas&amp;sortBy=Earliest&amp;target=default" TargetMode="External"/><Relationship Id="rId514" Type="http://schemas.openxmlformats.org/officeDocument/2006/relationships/hyperlink" Target="https://doi.org/10.1073/pnas.2611972123" TargetMode="External"/><Relationship Id="rId515" Type="http://schemas.openxmlformats.org/officeDocument/2006/relationships/hyperlink" Target="https://www.pnas.org/doi/abs/10.1073/pnas.2610646123?mi=eymic2&amp;af=R&amp;access=on&amp;content=articlesChapters&amp;publication=pnas&amp;sortBy=Earliest&amp;target=default" TargetMode="External"/><Relationship Id="rId516" Type="http://schemas.openxmlformats.org/officeDocument/2006/relationships/hyperlink" Target="https://doi.org/10.1073/pnas.2610646123" TargetMode="External"/><Relationship Id="rId517" Type="http://schemas.openxmlformats.org/officeDocument/2006/relationships/hyperlink" Target="https://www.pnas.org/doi/abs/10.1073/pnas.2529341123?mi=eymic2&amp;af=R&amp;access=on&amp;content=articlesChapters&amp;publication=pnas&amp;sortBy=Earliest&amp;target=default" TargetMode="External"/><Relationship Id="rId518" Type="http://schemas.openxmlformats.org/officeDocument/2006/relationships/hyperlink" Target="https://doi.org/10.1073/pnas.2529341123" TargetMode="External"/><Relationship Id="rId519" Type="http://schemas.openxmlformats.org/officeDocument/2006/relationships/hyperlink" Target="https://www.pnas.org/doi/abs/10.1073/pnas.2532470123?mi=eymic2&amp;af=R&amp;access=on&amp;content=articlesChapters&amp;publication=pnas&amp;sortBy=Earliest&amp;target=default" TargetMode="External"/><Relationship Id="rId520" Type="http://schemas.openxmlformats.org/officeDocument/2006/relationships/hyperlink" Target="https://doi.org/10.1073/pnas.2532470123" TargetMode="External"/><Relationship Id="rId521" Type="http://schemas.openxmlformats.org/officeDocument/2006/relationships/hyperlink" Target="https://www.pnas.org/doi/abs/10.1073/pnas.2600434123?mi=eymic2&amp;af=R&amp;access=on&amp;content=articlesChapters&amp;publication=pnas&amp;sortBy=Earliest&amp;target=default" TargetMode="External"/><Relationship Id="rId522" Type="http://schemas.openxmlformats.org/officeDocument/2006/relationships/hyperlink" Target="https://doi.org/10.1073/pnas.2600434123" TargetMode="External"/><Relationship Id="rId523" Type="http://schemas.openxmlformats.org/officeDocument/2006/relationships/hyperlink" Target="https://www.pnas.org/doi/abs/10.1073/pnas.2609740123?mi=eymic2&amp;af=R&amp;access=on&amp;content=articlesChapters&amp;publication=pnas&amp;sortBy=Earliest&amp;target=default" TargetMode="External"/><Relationship Id="rId524" Type="http://schemas.openxmlformats.org/officeDocument/2006/relationships/hyperlink" Target="https://doi.org/10.1073/pnas.2609740123" TargetMode="External"/><Relationship Id="rId525" Type="http://schemas.openxmlformats.org/officeDocument/2006/relationships/hyperlink" Target="https://www.pnas.org/doi/abs/10.1073/pnas.2535524123?mi=eymic2&amp;af=R&amp;access=on&amp;content=articlesChapters&amp;publication=pnas&amp;sortBy=Earliest&amp;target=default" TargetMode="External"/><Relationship Id="rId526" Type="http://schemas.openxmlformats.org/officeDocument/2006/relationships/hyperlink" Target="https://doi.org/10.1073/pnas.2535524123" TargetMode="External"/><Relationship Id="rId527" Type="http://schemas.openxmlformats.org/officeDocument/2006/relationships/hyperlink" Target="https://www.pnas.org/doi/abs/10.1073/pnas.2535179123?mi=eymic2&amp;af=R&amp;access=on&amp;content=articlesChapters&amp;publication=pnas&amp;sortBy=Earliest&amp;target=default" TargetMode="External"/><Relationship Id="rId528" Type="http://schemas.openxmlformats.org/officeDocument/2006/relationships/hyperlink" Target="https://doi.org/10.1073/pnas.2535179123" TargetMode="External"/><Relationship Id="rId529" Type="http://schemas.openxmlformats.org/officeDocument/2006/relationships/hyperlink" Target="https://www.pnas.org/doi/abs/10.1073/pnas.2609730123?mi=eymic2&amp;af=R&amp;access=on&amp;content=articlesChapters&amp;publication=pnas&amp;sortBy=Earliest&amp;target=default" TargetMode="External"/><Relationship Id="rId530" Type="http://schemas.openxmlformats.org/officeDocument/2006/relationships/hyperlink" Target="https://doi.org/10.1073/pnas.2609730123" TargetMode="External"/><Relationship Id="rId531" Type="http://schemas.openxmlformats.org/officeDocument/2006/relationships/hyperlink" Target="https://www.pnas.org/doi/abs/10.1073/pnas.2535081123?mi=eymic2&amp;af=R&amp;access=on&amp;content=articlesChapters&amp;publication=pnas&amp;sortBy=Earliest&amp;target=default" TargetMode="External"/><Relationship Id="rId532" Type="http://schemas.openxmlformats.org/officeDocument/2006/relationships/hyperlink" Target="https://doi.org/10.1073/pnas.2535081123" TargetMode="External"/><Relationship Id="rId533" Type="http://schemas.openxmlformats.org/officeDocument/2006/relationships/hyperlink" Target="https://www.pnas.org/doi/abs/10.1073/pnas.2534726123?mi=eymic2&amp;af=R&amp;access=on&amp;content=articlesChapters&amp;publication=pnas&amp;sortBy=Earliest&amp;target=default" TargetMode="External"/><Relationship Id="rId534" Type="http://schemas.openxmlformats.org/officeDocument/2006/relationships/hyperlink" Target="https://doi.org/10.1073/pnas.2534726123" TargetMode="External"/><Relationship Id="rId535" Type="http://schemas.openxmlformats.org/officeDocument/2006/relationships/hyperlink" Target="https://www.pnas.org/doi/abs/10.1073/pnas.2533617123?mi=eymic2&amp;af=R&amp;access=on&amp;content=articlesChapters&amp;publication=pnas&amp;sortBy=Earliest&amp;target=default" TargetMode="External"/><Relationship Id="rId536" Type="http://schemas.openxmlformats.org/officeDocument/2006/relationships/hyperlink" Target="https://doi.org/10.1073/pnas.2533617123" TargetMode="External"/><Relationship Id="rId537" Type="http://schemas.openxmlformats.org/officeDocument/2006/relationships/hyperlink" Target="https://onlinelibrary.wiley.com/doi/10.1002/anie.3958607?af=R" TargetMode="External"/><Relationship Id="rId538" Type="http://schemas.openxmlformats.org/officeDocument/2006/relationships/hyperlink" Target="https://doi.org/10.1002/anie.3958607" TargetMode="External"/><Relationship Id="rId539" Type="http://schemas.openxmlformats.org/officeDocument/2006/relationships/hyperlink" Target="https://advanced.onlinelibrary.wiley.com/doi/10.1002/adma.73505?af=R" TargetMode="External"/><Relationship Id="rId540" Type="http://schemas.openxmlformats.org/officeDocument/2006/relationships/hyperlink" Target="https://doi.org/10.1002/adma.73505" TargetMode="External"/><Relationship Id="rId541" Type="http://schemas.openxmlformats.org/officeDocument/2006/relationships/hyperlink" Target="https://advanced.onlinelibrary.wiley.com/doi/10.1002/adma.73587?af=R" TargetMode="External"/><Relationship Id="rId542" Type="http://schemas.openxmlformats.org/officeDocument/2006/relationships/hyperlink" Target="https://doi.org/10.1002/adma.73587" TargetMode="External"/><Relationship Id="rId543" Type="http://schemas.openxmlformats.org/officeDocument/2006/relationships/hyperlink" Target="https://advanced.onlinelibrary.wiley.com/doi/10.1002/adma.73527?af=R" TargetMode="External"/><Relationship Id="rId544" Type="http://schemas.openxmlformats.org/officeDocument/2006/relationships/hyperlink" Target="https://doi.org/10.1002/adma.73527" TargetMode="External"/><Relationship Id="rId545" Type="http://schemas.openxmlformats.org/officeDocument/2006/relationships/hyperlink" Target="https://advanced.onlinelibrary.wiley.com/doi/10.1002/adma.73567?af=R" TargetMode="External"/><Relationship Id="rId546" Type="http://schemas.openxmlformats.org/officeDocument/2006/relationships/hyperlink" Target="https://doi.org/10.1002/adma.73567" TargetMode="External"/><Relationship Id="rId547" Type="http://schemas.openxmlformats.org/officeDocument/2006/relationships/hyperlink" Target="http://pubs.rsc.org/en/Content/ArticleLanding/2026/EE/D6EE01476C" TargetMode="External"/><Relationship Id="rId548" Type="http://schemas.openxmlformats.org/officeDocument/2006/relationships/hyperlink" Target="https://www.nature.com/articles/d41586-026-01495-8" TargetMode="External"/><Relationship Id="rId549" Type="http://schemas.openxmlformats.org/officeDocument/2006/relationships/hyperlink" Target="https://doi.org/10.1038/d41586-026-01495-8" TargetMode="External"/><Relationship Id="rId550" Type="http://schemas.openxmlformats.org/officeDocument/2006/relationships/hyperlink" Target="https://www.nature.com/articles/d41586-026-01724-0" TargetMode="External"/><Relationship Id="rId551" Type="http://schemas.openxmlformats.org/officeDocument/2006/relationships/hyperlink" Target="https://doi.org/10.1038/d41586-026-01724-0" TargetMode="External"/><Relationship Id="rId552" Type="http://schemas.openxmlformats.org/officeDocument/2006/relationships/hyperlink" Target="https://www.nature.com/articles/d41586-026-01731-1" TargetMode="External"/><Relationship Id="rId553" Type="http://schemas.openxmlformats.org/officeDocument/2006/relationships/hyperlink" Target="https://doi.org/10.1038/d41586-026-01731-1" TargetMode="External"/><Relationship Id="rId554" Type="http://schemas.openxmlformats.org/officeDocument/2006/relationships/hyperlink" Target="https://academic.oup.com/nsr/advance-article/doi/10.1093/nsr/nwag326/8700166?rss=1" TargetMode="External"/><Relationship Id="rId555" Type="http://schemas.openxmlformats.org/officeDocument/2006/relationships/hyperlink" Target="https://doi.org/10.1093/nsr/nwag326" TargetMode="External"/><Relationship Id="rId556" Type="http://schemas.openxmlformats.org/officeDocument/2006/relationships/hyperlink" Target="https://academic.oup.com/nsr/advance-article/doi/10.1093/nsr/nwag334/8700165?rss=1" TargetMode="External"/><Relationship Id="rId557" Type="http://schemas.openxmlformats.org/officeDocument/2006/relationships/hyperlink" Target="https://doi.org/10.1093/nsr/nwag334" TargetMode="External"/><Relationship Id="rId558" Type="http://schemas.openxmlformats.org/officeDocument/2006/relationships/hyperlink" Target="https://www.nature.com/articles/s41565-026-02162-9" TargetMode="External"/><Relationship Id="rId559" Type="http://schemas.openxmlformats.org/officeDocument/2006/relationships/hyperlink" Target="https://doi.org/10.1038/s41565-026-02162-9" TargetMode="External"/><Relationship Id="rId560" Type="http://schemas.openxmlformats.org/officeDocument/2006/relationships/hyperlink" Target="https://www.nature.com/articles/s41467-026-73865-9" TargetMode="External"/><Relationship Id="rId561" Type="http://schemas.openxmlformats.org/officeDocument/2006/relationships/hyperlink" Target="https://www.nature.com/articles/s41467-026-73901-8" TargetMode="External"/><Relationship Id="rId562" Type="http://schemas.openxmlformats.org/officeDocument/2006/relationships/hyperlink" Target="https://www.nature.com/articles/s41467-026-72666-4" TargetMode="External"/><Relationship Id="rId563" Type="http://schemas.openxmlformats.org/officeDocument/2006/relationships/hyperlink" Target="https://www.nature.com/articles/d41586-026-01726-y" TargetMode="External"/><Relationship Id="rId564" Type="http://schemas.openxmlformats.org/officeDocument/2006/relationships/hyperlink" Target="https://doi.org/10.1038/d41586-026-01726-y" TargetMode="External"/><Relationship Id="rId565" Type="http://schemas.openxmlformats.org/officeDocument/2006/relationships/hyperlink" Target="https://www.nature.com/articles/s41467-026-73773-y" TargetMode="External"/><Relationship Id="rId566" Type="http://schemas.openxmlformats.org/officeDocument/2006/relationships/hyperlink" Target="https://www.nature.com/articles/s41467-026-73785-8" TargetMode="External"/><Relationship Id="rId567" Type="http://schemas.openxmlformats.org/officeDocument/2006/relationships/hyperlink" Target="https://www.sciencedirect.com/science/article/pii/S030626192600721X?dgcid=rss_sd_all" TargetMode="External"/><Relationship Id="rId568" Type="http://schemas.openxmlformats.org/officeDocument/2006/relationships/hyperlink" Target="https://www.nature.com/articles/s41467-026-73808-4" TargetMode="External"/><Relationship Id="rId569" Type="http://schemas.openxmlformats.org/officeDocument/2006/relationships/hyperlink" Target="https://www.nature.com/articles/d41586-026-01766-4" TargetMode="External"/><Relationship Id="rId570" Type="http://schemas.openxmlformats.org/officeDocument/2006/relationships/hyperlink" Target="https://doi.org/10.1038/d41586-026-01766-4" TargetMode="External"/><Relationship Id="rId571" Type="http://schemas.openxmlformats.org/officeDocument/2006/relationships/hyperlink" Target="https://www.nature.com/articles/d41586-026-01778-0" TargetMode="External"/><Relationship Id="rId572" Type="http://schemas.openxmlformats.org/officeDocument/2006/relationships/hyperlink" Target="https://doi.org/10.1038/d41586-026-01778-0" TargetMode="External"/><Relationship Id="rId573" Type="http://schemas.openxmlformats.org/officeDocument/2006/relationships/hyperlink" Target="https://www.nature.com/articles/d41586-026-01791-3" TargetMode="External"/><Relationship Id="rId574" Type="http://schemas.openxmlformats.org/officeDocument/2006/relationships/hyperlink" Target="https://doi.org/10.1038/d41586-026-01791-3" TargetMode="External"/><Relationship Id="rId575" Type="http://schemas.openxmlformats.org/officeDocument/2006/relationships/hyperlink" Target="https://www.nature.com/articles/s41563-026-02614-6" TargetMode="External"/><Relationship Id="rId576" Type="http://schemas.openxmlformats.org/officeDocument/2006/relationships/hyperlink" Target="https://doi.org/10.1038/s41563-026-02614-6" TargetMode="External"/><Relationship Id="rId577" Type="http://schemas.openxmlformats.org/officeDocument/2006/relationships/hyperlink" Target="https://www.cell.com/chem/fulltext/S2451-9294(26)00140-3?rss=yes" TargetMode="External"/><Relationship Id="rId578" Type="http://schemas.openxmlformats.org/officeDocument/2006/relationships/hyperlink" Target="https://doi.org/10.1016/j.chempr.2026.103074" TargetMode="External"/><Relationship Id="rId579" Type="http://schemas.openxmlformats.org/officeDocument/2006/relationships/hyperlink" Target="https://www.nature.com/articles/s41563-026-02625-3" TargetMode="External"/><Relationship Id="rId580" Type="http://schemas.openxmlformats.org/officeDocument/2006/relationships/hyperlink" Target="https://doi.org/10.1038/s41563-026-02625-3" TargetMode="External"/><Relationship Id="rId581" Type="http://schemas.openxmlformats.org/officeDocument/2006/relationships/hyperlink" Target="https://www.nature.com/articles/s41893-026-01853-4" TargetMode="External"/><Relationship Id="rId582" Type="http://schemas.openxmlformats.org/officeDocument/2006/relationships/hyperlink" Target="https://doi.org/10.1038/s41893-026-01853-4" TargetMode="External"/><Relationship Id="rId583" Type="http://schemas.openxmlformats.org/officeDocument/2006/relationships/hyperlink" Target="https://www.nature.com/articles/s41565-026-02161-w" TargetMode="External"/><Relationship Id="rId584" Type="http://schemas.openxmlformats.org/officeDocument/2006/relationships/hyperlink" Target="https://doi.org/10.1038/s41565-026-02161-w" TargetMode="External"/><Relationship Id="rId585" Type="http://schemas.openxmlformats.org/officeDocument/2006/relationships/hyperlink" Target="https://www.nature.com/articles/s44359-026-00183-0" TargetMode="External"/><Relationship Id="rId586" Type="http://schemas.openxmlformats.org/officeDocument/2006/relationships/hyperlink" Target="https://doi.org/10.1038/s44359-026-00183-0" TargetMode="External"/><Relationship Id="rId587" Type="http://schemas.openxmlformats.org/officeDocument/2006/relationships/hyperlink" Target="https://www.sciencedirect.com/science/article/pii/S0306261926007816?dgcid=rss_sd_all" TargetMode="External"/><Relationship Id="rId588" Type="http://schemas.openxmlformats.org/officeDocument/2006/relationships/hyperlink" Target="https://www.sciencedirect.com/science/article/pii/S0306261926007087?dgcid=rss_sd_all" TargetMode="External"/><Relationship Id="rId589" Type="http://schemas.openxmlformats.org/officeDocument/2006/relationships/hyperlink" Target="https://www.nature.com/articles/s41586-026-10728-9" TargetMode="External"/><Relationship Id="rId590" Type="http://schemas.openxmlformats.org/officeDocument/2006/relationships/hyperlink" Target="https://doi.org/10.1038/s41586-026-10728-9" TargetMode="External"/><Relationship Id="rId591" Type="http://schemas.openxmlformats.org/officeDocument/2006/relationships/hyperlink" Target="https://www.nature.com/articles/s41586-026-10693-3" TargetMode="External"/><Relationship Id="rId592" Type="http://schemas.openxmlformats.org/officeDocument/2006/relationships/hyperlink" Target="https://doi.org/10.1038/s41586-026-10693-3" TargetMode="External"/><Relationship Id="rId593" Type="http://schemas.openxmlformats.org/officeDocument/2006/relationships/hyperlink" Target="https://www.nature.com/articles/d41586-026-01763-7" TargetMode="External"/><Relationship Id="rId594" Type="http://schemas.openxmlformats.org/officeDocument/2006/relationships/hyperlink" Target="https://doi.org/10.1038/d41586-026-01763-7" TargetMode="External"/><Relationship Id="rId595" Type="http://schemas.openxmlformats.org/officeDocument/2006/relationships/hyperlink" Target="https://www.sciencedirect.com/science/article/pii/S0306261926007993?dgcid=rss_sd_all" TargetMode="External"/><Relationship Id="rId596" Type="http://schemas.openxmlformats.org/officeDocument/2006/relationships/hyperlink" Target="https://www.nature.com/articles/d41586-026-01337-7" TargetMode="External"/><Relationship Id="rId597" Type="http://schemas.openxmlformats.org/officeDocument/2006/relationships/hyperlink" Target="https://doi.org/10.1038/d41586-026-01337-7" TargetMode="External"/><Relationship Id="rId598" Type="http://schemas.openxmlformats.org/officeDocument/2006/relationships/hyperlink" Target="https://www.nature.com/articles/d41586-026-01776-2" TargetMode="External"/><Relationship Id="rId599" Type="http://schemas.openxmlformats.org/officeDocument/2006/relationships/hyperlink" Target="https://doi.org/10.1038/d41586-026-01776-2" TargetMode="External"/><Relationship Id="rId600" Type="http://schemas.openxmlformats.org/officeDocument/2006/relationships/hyperlink" Target="https://www.nature.com/articles/d41586-026-01777-1" TargetMode="External"/><Relationship Id="rId601" Type="http://schemas.openxmlformats.org/officeDocument/2006/relationships/hyperlink" Target="https://doi.org/10.1038/d41586-026-01777-1" TargetMode="External"/><Relationship Id="rId602" Type="http://schemas.openxmlformats.org/officeDocument/2006/relationships/hyperlink" Target="https://academic.oup.com/nsr/advance-article/doi/10.1093/nsr/nwag329/8700164?rss=1" TargetMode="External"/><Relationship Id="rId603" Type="http://schemas.openxmlformats.org/officeDocument/2006/relationships/hyperlink" Target="https://doi.org/10.1093/nsr/nwag329" TargetMode="External"/><Relationship Id="rId604" Type="http://schemas.openxmlformats.org/officeDocument/2006/relationships/hyperlink" Target="https://www.nature.com/articles/d41586-026-01723-1" TargetMode="External"/><Relationship Id="rId605" Type="http://schemas.openxmlformats.org/officeDocument/2006/relationships/hyperlink" Target="https://doi.org/10.1038/d41586-026-01723-1" TargetMode="External"/><Relationship Id="rId606" Type="http://schemas.openxmlformats.org/officeDocument/2006/relationships/hyperlink" Target="https://www.nature.com/articles/s41467-026-73849-9" TargetMode="External"/><Relationship Id="rId607" Type="http://schemas.openxmlformats.org/officeDocument/2006/relationships/hyperlink" Target="https://www.nature.com/articles/s41467-026-73657-1" TargetMode="External"/><Relationship Id="rId608" Type="http://schemas.openxmlformats.org/officeDocument/2006/relationships/hyperlink" Target="https://www.nature.com/articles/s41467-026-73840-4" TargetMode="External"/><Relationship Id="rId609" Type="http://schemas.openxmlformats.org/officeDocument/2006/relationships/hyperlink" Target="https://www.nature.com/articles/s41467-026-73774-x" TargetMode="External"/><Relationship Id="rId610" Type="http://schemas.openxmlformats.org/officeDocument/2006/relationships/hyperlink" Target="https://www.nature.com/articles/s41467-026-73431-3" TargetMode="External"/><Relationship Id="rId611" Type="http://schemas.openxmlformats.org/officeDocument/2006/relationships/hyperlink" Target="https://www.nature.com/articles/s41467-026-73921-4" TargetMode="External"/><Relationship Id="rId612" Type="http://schemas.openxmlformats.org/officeDocument/2006/relationships/hyperlink" Target="https://www.nature.com/articles/s41467-026-73405-5" TargetMode="External"/><Relationship Id="rId613" Type="http://schemas.openxmlformats.org/officeDocument/2006/relationships/hyperlink" Target="https://www.nature.com/articles/s41467-026-73888-2" TargetMode="External"/><Relationship Id="rId614" Type="http://schemas.openxmlformats.org/officeDocument/2006/relationships/hyperlink" Target="https://www.nature.com/articles/s41467-026-73916-1" TargetMode="External"/><Relationship Id="rId615" Type="http://schemas.openxmlformats.org/officeDocument/2006/relationships/hyperlink" Target="https://www.nature.com/articles/s41467-026-73955-8" TargetMode="External"/><Relationship Id="rId616" Type="http://schemas.openxmlformats.org/officeDocument/2006/relationships/hyperlink" Target="https://www.nature.com/articles/s41467-026-73800-y" TargetMode="External"/><Relationship Id="rId617" Type="http://schemas.openxmlformats.org/officeDocument/2006/relationships/hyperlink" Target="https://www.sciencedirect.com/science/article/pii/S0306261926007634?dgcid=rss_sd_all" TargetMode="External"/><Relationship Id="rId618" Type="http://schemas.openxmlformats.org/officeDocument/2006/relationships/hyperlink" Target="https://www.nature.com/articles/s41467-026-73649-1" TargetMode="External"/><Relationship Id="rId619" Type="http://schemas.openxmlformats.org/officeDocument/2006/relationships/hyperlink" Target="https://www.nature.com/articles/s41467-026-73887-3" TargetMode="External"/><Relationship Id="rId620" Type="http://schemas.openxmlformats.org/officeDocument/2006/relationships/hyperlink" Target="https://www.sciencedirect.com/science/article/pii/S0306261926008184?dgcid=rss_sd_all" TargetMode="External"/><Relationship Id="rId621" Type="http://schemas.openxmlformats.org/officeDocument/2006/relationships/hyperlink" Target="https://www.nature.com/articles/s41467-026-73796-5" TargetMode="External"/><Relationship Id="rId622" Type="http://schemas.openxmlformats.org/officeDocument/2006/relationships/hyperlink" Target="https://www.nature.com/articles/s41467-026-73531-0" TargetMode="External"/><Relationship Id="rId623" Type="http://schemas.openxmlformats.org/officeDocument/2006/relationships/hyperlink" Target="https://www.nature.com/articles/s41467-026-73823-5" TargetMode="External"/><Relationship Id="rId624" Type="http://schemas.openxmlformats.org/officeDocument/2006/relationships/hyperlink" Target="https://www.nature.com/articles/s41467-026-74054-4" TargetMode="External"/><Relationship Id="rId625" Type="http://schemas.openxmlformats.org/officeDocument/2006/relationships/hyperlink" Target="https://www.nature.com/articles/s41467-026-72662-8" TargetMode="External"/><Relationship Id="rId626" Type="http://schemas.openxmlformats.org/officeDocument/2006/relationships/hyperlink" Target="https://www.nature.com/articles/s41467-026-73202-0" TargetMode="External"/><Relationship Id="rId627" Type="http://schemas.openxmlformats.org/officeDocument/2006/relationships/hyperlink" Target="https://www.nature.com/articles/s41467-026-73962-9" TargetMode="External"/><Relationship Id="rId628" Type="http://schemas.openxmlformats.org/officeDocument/2006/relationships/hyperlink" Target="https://www.nature.com/articles/s41467-026-73929-w" TargetMode="External"/><Relationship Id="rId629" Type="http://schemas.openxmlformats.org/officeDocument/2006/relationships/hyperlink" Target="https://www.nature.com/articles/s41467-026-73949-6" TargetMode="External"/><Relationship Id="rId630" Type="http://schemas.openxmlformats.org/officeDocument/2006/relationships/hyperlink" Target="https://www.nature.com/articles/s41467-026-73310-x" TargetMode="External"/><Relationship Id="rId631" Type="http://schemas.openxmlformats.org/officeDocument/2006/relationships/hyperlink" Target="https://www.nature.com/articles/s41467-026-72381-0" TargetMode="External"/><Relationship Id="rId632" Type="http://schemas.openxmlformats.org/officeDocument/2006/relationships/hyperlink" Target="https://www.nature.com/articles/s41467-026-72937-0" TargetMode="External"/><Relationship Id="rId633" Type="http://schemas.openxmlformats.org/officeDocument/2006/relationships/hyperlink" Target="https://www.nature.com/articles/s41467-026-73822-6" TargetMode="External"/><Relationship Id="rId634" Type="http://schemas.openxmlformats.org/officeDocument/2006/relationships/hyperlink" Target="https://www.nature.com/articles/s41467-026-73834-2" TargetMode="External"/><Relationship Id="rId635" Type="http://schemas.openxmlformats.org/officeDocument/2006/relationships/hyperlink" Target="https://www.nature.com/articles/s41467-026-73933-0" TargetMode="External"/><Relationship Id="rId636" Type="http://schemas.openxmlformats.org/officeDocument/2006/relationships/hyperlink" Target="https://www.nature.com/articles/s41467-026-73827-1" TargetMode="External"/><Relationship Id="rId637" Type="http://schemas.openxmlformats.org/officeDocument/2006/relationships/hyperlink" Target="https://www.nature.com/articles/s41467-026-73710-z" TargetMode="External"/><Relationship Id="rId638" Type="http://schemas.openxmlformats.org/officeDocument/2006/relationships/hyperlink" Target="https://advanced.onlinelibrary.wiley.com/doi/10.1002/adma.73560?af=R" TargetMode="External"/><Relationship Id="rId639" Type="http://schemas.openxmlformats.org/officeDocument/2006/relationships/hyperlink" Target="https://doi.org/10.1002/adma.73560" TargetMode="External"/><Relationship Id="rId640" Type="http://schemas.openxmlformats.org/officeDocument/2006/relationships/hyperlink" Target="https://advanced.onlinelibrary.wiley.com/doi/10.1002/adma.73589?af=R" TargetMode="External"/><Relationship Id="rId641" Type="http://schemas.openxmlformats.org/officeDocument/2006/relationships/hyperlink" Target="https://doi.org/10.1002/adma.73589" TargetMode="External"/><Relationship Id="rId642" Type="http://schemas.openxmlformats.org/officeDocument/2006/relationships/hyperlink" Target="https://advanced.onlinelibrary.wiley.com/doi/10.1002/adma.73533?af=R" TargetMode="External"/><Relationship Id="rId643" Type="http://schemas.openxmlformats.org/officeDocument/2006/relationships/hyperlink" Target="https://doi.org/10.1002/adma.73533" TargetMode="External"/><Relationship Id="rId644" Type="http://schemas.openxmlformats.org/officeDocument/2006/relationships/hyperlink" Target="https://advanced.onlinelibrary.wiley.com/doi/10.1002/adma.73575?af=R" TargetMode="External"/><Relationship Id="rId645" Type="http://schemas.openxmlformats.org/officeDocument/2006/relationships/hyperlink" Target="https://doi.org/10.1002/adma.73575" TargetMode="External"/><Relationship Id="rId646" Type="http://schemas.openxmlformats.org/officeDocument/2006/relationships/hyperlink" Target="https://advanced.onlinelibrary.wiley.com/doi/10.1002/adma.73602?af=R" TargetMode="External"/><Relationship Id="rId647" Type="http://schemas.openxmlformats.org/officeDocument/2006/relationships/hyperlink" Target="https://doi.org/10.1002/adma.73602" TargetMode="External"/><Relationship Id="rId648" Type="http://schemas.openxmlformats.org/officeDocument/2006/relationships/hyperlink" Target="https://www.pnas.org/doi/abs/10.1073/pnas.2534310123?mi=eymic2&amp;af=R&amp;access=on&amp;content=articlesChapters&amp;publication=pnas&amp;sortBy=Earliest&amp;target=default" TargetMode="External"/><Relationship Id="rId649" Type="http://schemas.openxmlformats.org/officeDocument/2006/relationships/hyperlink" Target="https://doi.org/10.1073/pnas.2534310123" TargetMode="External"/><Relationship Id="rId650" Type="http://schemas.openxmlformats.org/officeDocument/2006/relationships/hyperlink" Target="https://www.pnas.org/doi/abs/10.1073/pnas.2532550123?mi=eymic2&amp;af=R&amp;access=on&amp;content=articlesChapters&amp;publication=pnas&amp;sortBy=Earliest&amp;target=default" TargetMode="External"/><Relationship Id="rId651" Type="http://schemas.openxmlformats.org/officeDocument/2006/relationships/hyperlink" Target="https://doi.org/10.1073/pnas.2532550123" TargetMode="External"/><Relationship Id="rId652" Type="http://schemas.openxmlformats.org/officeDocument/2006/relationships/hyperlink" Target="https://www.pnas.org/doi/abs/10.1073/pnas.2533735123?mi=eymic2&amp;af=R&amp;access=on&amp;content=articlesChapters&amp;publication=pnas&amp;sortBy=Earliest&amp;target=default" TargetMode="External"/><Relationship Id="rId653" Type="http://schemas.openxmlformats.org/officeDocument/2006/relationships/hyperlink" Target="https://doi.org/10.1073/pnas.2533735123" TargetMode="External"/><Relationship Id="rId654" Type="http://schemas.openxmlformats.org/officeDocument/2006/relationships/hyperlink" Target="https://www.pnas.org/doi/abs/10.1073/pnas.2526952123?mi=eymic2&amp;af=R&amp;access=on&amp;content=articlesChapters&amp;publication=pnas&amp;sortBy=Earliest&amp;target=default" TargetMode="External"/><Relationship Id="rId655" Type="http://schemas.openxmlformats.org/officeDocument/2006/relationships/hyperlink" Target="https://doi.org/10.1073/pnas.2526952123" TargetMode="External"/><Relationship Id="rId656" Type="http://schemas.openxmlformats.org/officeDocument/2006/relationships/hyperlink" Target="https://www.pnas.org/doi/abs/10.1073/pnas.2504146123?mi=eymic2&amp;af=R&amp;access=on&amp;content=articlesChapters&amp;publication=pnas&amp;sortBy=Earliest&amp;target=default" TargetMode="External"/><Relationship Id="rId657" Type="http://schemas.openxmlformats.org/officeDocument/2006/relationships/hyperlink" Target="https://doi.org/10.1073/pnas.2504146123" TargetMode="External"/><Relationship Id="rId658" Type="http://schemas.openxmlformats.org/officeDocument/2006/relationships/hyperlink" Target="https://www.pnas.org/doi/abs/10.1073/iti2226123?mi=eymic2&amp;af=R&amp;access=on&amp;content=articlesChapters&amp;publication=pnas&amp;sortBy=Earliest&amp;target=default" TargetMode="External"/><Relationship Id="rId659" Type="http://schemas.openxmlformats.org/officeDocument/2006/relationships/hyperlink" Target="https://doi.org/10.1073/iti2226123" TargetMode="External"/><Relationship Id="rId660" Type="http://schemas.openxmlformats.org/officeDocument/2006/relationships/hyperlink" Target="https://www.pnas.org/doi/abs/10.1073/pnas.2535527123?mi=eymic2&amp;af=R&amp;access=on&amp;content=articlesChapters&amp;publication=pnas&amp;sortBy=Earliest&amp;target=default" TargetMode="External"/><Relationship Id="rId661" Type="http://schemas.openxmlformats.org/officeDocument/2006/relationships/hyperlink" Target="https://doi.org/10.1073/pnas.2535527123" TargetMode="External"/><Relationship Id="rId662" Type="http://schemas.openxmlformats.org/officeDocument/2006/relationships/hyperlink" Target="https://www.pnas.org/doi/abs/10.1073/pnas.2538029123?mi=eymic2&amp;af=R&amp;access=on&amp;content=articlesChapters&amp;publication=pnas&amp;sortBy=Earliest&amp;target=default" TargetMode="External"/><Relationship Id="rId663" Type="http://schemas.openxmlformats.org/officeDocument/2006/relationships/hyperlink" Target="https://doi.org/10.1073/pnas.2538029123" TargetMode="External"/><Relationship Id="rId664" Type="http://schemas.openxmlformats.org/officeDocument/2006/relationships/hyperlink" Target="https://www.pnas.org/doi/abs/10.1073/pnas.2606389123?mi=eymic2&amp;af=R&amp;access=on&amp;content=articlesChapters&amp;publication=pnas&amp;sortBy=Earliest&amp;target=default" TargetMode="External"/><Relationship Id="rId665" Type="http://schemas.openxmlformats.org/officeDocument/2006/relationships/hyperlink" Target="https://doi.org/10.1073/pnas.2606389123" TargetMode="External"/><Relationship Id="rId666" Type="http://schemas.openxmlformats.org/officeDocument/2006/relationships/hyperlink" Target="https://www.pnas.org/doi/abs/10.1073/pnas.2608072123?mi=eymic2&amp;af=R&amp;access=on&amp;content=articlesChapters&amp;publication=pnas&amp;sortBy=Earliest&amp;target=default" TargetMode="External"/><Relationship Id="rId667" Type="http://schemas.openxmlformats.org/officeDocument/2006/relationships/hyperlink" Target="https://doi.org/10.1073/pnas.2608072123" TargetMode="External"/><Relationship Id="rId668" Type="http://schemas.openxmlformats.org/officeDocument/2006/relationships/hyperlink" Target="https://www.pnas.org/doi/abs/10.1073/pnas.2535142123?mi=eymic2&amp;af=R&amp;access=on&amp;content=articlesChapters&amp;publication=pnas&amp;sortBy=Earliest&amp;target=default" TargetMode="External"/><Relationship Id="rId669" Type="http://schemas.openxmlformats.org/officeDocument/2006/relationships/hyperlink" Target="https://doi.org/10.1073/pnas.2535142123" TargetMode="External"/><Relationship Id="rId670" Type="http://schemas.openxmlformats.org/officeDocument/2006/relationships/hyperlink" Target="https://www.pnas.org/doi/abs/10.1073/pnas.2536397123?mi=eymic2&amp;af=R&amp;access=on&amp;content=articlesChapters&amp;publication=pnas&amp;sortBy=Earliest&amp;target=default" TargetMode="External"/><Relationship Id="rId671" Type="http://schemas.openxmlformats.org/officeDocument/2006/relationships/hyperlink" Target="https://doi.org/10.1073/pnas.2536397123" TargetMode="External"/><Relationship Id="rId672" Type="http://schemas.openxmlformats.org/officeDocument/2006/relationships/hyperlink" Target="https://advanced.onlinelibrary.wiley.com/doi/10.1002/adma.202521775?af=R" TargetMode="External"/><Relationship Id="rId673" Type="http://schemas.openxmlformats.org/officeDocument/2006/relationships/hyperlink" Target="https://doi.org/10.1002/adma.202521775" TargetMode="External"/><Relationship Id="rId674" Type="http://schemas.openxmlformats.org/officeDocument/2006/relationships/hyperlink" Target="https://advanced.onlinelibrary.wiley.com/doi/10.1002/adma.73456?af=R" TargetMode="External"/><Relationship Id="rId675" Type="http://schemas.openxmlformats.org/officeDocument/2006/relationships/hyperlink" Target="https://doi.org/10.1002/adma.73456" TargetMode="External"/><Relationship Id="rId676" Type="http://schemas.openxmlformats.org/officeDocument/2006/relationships/hyperlink" Target="https://advanced.onlinelibrary.wiley.com/doi/10.1002/adma.73428?af=R" TargetMode="External"/><Relationship Id="rId677" Type="http://schemas.openxmlformats.org/officeDocument/2006/relationships/hyperlink" Target="https://doi.org/10.1002/adma.73428" TargetMode="External"/><Relationship Id="rId678" Type="http://schemas.openxmlformats.org/officeDocument/2006/relationships/hyperlink" Target="https://advanced.onlinelibrary.wiley.com/doi/10.1002/adma.73425?af=R" TargetMode="External"/><Relationship Id="rId679" Type="http://schemas.openxmlformats.org/officeDocument/2006/relationships/hyperlink" Target="https://doi.org/10.1002/adma.73425" TargetMode="External"/><Relationship Id="rId680" Type="http://schemas.openxmlformats.org/officeDocument/2006/relationships/hyperlink" Target="https://advanced.onlinelibrary.wiley.com/doi/10.1002/adma.73433?af=R" TargetMode="External"/><Relationship Id="rId681" Type="http://schemas.openxmlformats.org/officeDocument/2006/relationships/hyperlink" Target="https://doi.org/10.1002/adma.73433" TargetMode="External"/><Relationship Id="rId682" Type="http://schemas.openxmlformats.org/officeDocument/2006/relationships/hyperlink" Target="https://advanced.onlinelibrary.wiley.com/doi/10.1002/adma.73427?af=R" TargetMode="External"/><Relationship Id="rId683" Type="http://schemas.openxmlformats.org/officeDocument/2006/relationships/hyperlink" Target="https://doi.org/10.1002/adma.73427" TargetMode="External"/><Relationship Id="rId684" Type="http://schemas.openxmlformats.org/officeDocument/2006/relationships/hyperlink" Target="https://advanced.onlinelibrary.wiley.com/doi/10.1002/adma.202600020?af=R" TargetMode="External"/><Relationship Id="rId685" Type="http://schemas.openxmlformats.org/officeDocument/2006/relationships/hyperlink" Target="https://doi.org/10.1002/adma.202600020" TargetMode="External"/><Relationship Id="rId686" Type="http://schemas.openxmlformats.org/officeDocument/2006/relationships/hyperlink" Target="https://advanced.onlinelibrary.wiley.com/doi/10.1002/adma.73461?af=R" TargetMode="External"/><Relationship Id="rId687" Type="http://schemas.openxmlformats.org/officeDocument/2006/relationships/hyperlink" Target="https://doi.org/10.1002/adma.73461" TargetMode="External"/><Relationship Id="rId688" Type="http://schemas.openxmlformats.org/officeDocument/2006/relationships/hyperlink" Target="https://advanced.onlinelibrary.wiley.com/doi/10.1002/adma.73561?af=R" TargetMode="External"/><Relationship Id="rId689" Type="http://schemas.openxmlformats.org/officeDocument/2006/relationships/hyperlink" Target="https://doi.org/10.1002/adma.73561" TargetMode="External"/><Relationship Id="rId690" Type="http://schemas.openxmlformats.org/officeDocument/2006/relationships/hyperlink" Target="https://advanced.onlinelibrary.wiley.com/doi/10.1002/adma.73597?af=R" TargetMode="External"/><Relationship Id="rId691" Type="http://schemas.openxmlformats.org/officeDocument/2006/relationships/hyperlink" Target="https://doi.org/10.1002/adma.73597" TargetMode="External"/><Relationship Id="rId692" Type="http://schemas.openxmlformats.org/officeDocument/2006/relationships/hyperlink" Target="https://advanced.onlinelibrary.wiley.com/doi/10.1002/adma.73473?af=R" TargetMode="External"/><Relationship Id="rId693" Type="http://schemas.openxmlformats.org/officeDocument/2006/relationships/hyperlink" Target="https://doi.org/10.1002/adma.73473" TargetMode="External"/><Relationship Id="rId694" Type="http://schemas.openxmlformats.org/officeDocument/2006/relationships/hyperlink" Target="https://advanced.onlinelibrary.wiley.com/doi/10.1002/adma.73545?af=R" TargetMode="External"/><Relationship Id="rId695" Type="http://schemas.openxmlformats.org/officeDocument/2006/relationships/hyperlink" Target="https://doi.org/10.1002/adma.73545" TargetMode="External"/><Relationship Id="rId696" Type="http://schemas.openxmlformats.org/officeDocument/2006/relationships/hyperlink" Target="https://www.nature.com/articles/s41586-026-10473-z" TargetMode="External"/><Relationship Id="rId697" Type="http://schemas.openxmlformats.org/officeDocument/2006/relationships/hyperlink" Target="https://doi.org/10.1038/s41586-026-10473-z" TargetMode="External"/><Relationship Id="rId698" Type="http://schemas.openxmlformats.org/officeDocument/2006/relationships/hyperlink" Target="https://www.nature.com/articles/d41586-026-01582-w" TargetMode="External"/><Relationship Id="rId699" Type="http://schemas.openxmlformats.org/officeDocument/2006/relationships/hyperlink" Target="https://doi.org/10.1038/d41586-026-01582-w" TargetMode="External"/><Relationship Id="rId700" Type="http://schemas.openxmlformats.org/officeDocument/2006/relationships/hyperlink" Target="https://www.nature.com/articles/d41586-026-01412-z" TargetMode="External"/><Relationship Id="rId701" Type="http://schemas.openxmlformats.org/officeDocument/2006/relationships/hyperlink" Target="https://doi.org/10.1038/d41586-026-01412-z" TargetMode="External"/><Relationship Id="rId702" Type="http://schemas.openxmlformats.org/officeDocument/2006/relationships/hyperlink" Target="https://www.nature.com/articles/d41586-026-01716-0" TargetMode="External"/><Relationship Id="rId703" Type="http://schemas.openxmlformats.org/officeDocument/2006/relationships/hyperlink" Target="https://doi.org/10.1038/d41586-026-01716-0" TargetMode="External"/><Relationship Id="rId704" Type="http://schemas.openxmlformats.org/officeDocument/2006/relationships/hyperlink" Target="https://www.nature.com/articles/d41586-026-01725-z" TargetMode="External"/><Relationship Id="rId705" Type="http://schemas.openxmlformats.org/officeDocument/2006/relationships/hyperlink" Target="https://doi.org/10.1038/d41586-026-01725-z" TargetMode="External"/><Relationship Id="rId706" Type="http://schemas.openxmlformats.org/officeDocument/2006/relationships/hyperlink" Target="https://www.nature.com/articles/s41586-026-10534-3" TargetMode="External"/><Relationship Id="rId707" Type="http://schemas.openxmlformats.org/officeDocument/2006/relationships/hyperlink" Target="https://doi.org/10.1038/s41586-026-10534-3" TargetMode="External"/><Relationship Id="rId708" Type="http://schemas.openxmlformats.org/officeDocument/2006/relationships/hyperlink" Target="https://www.nature.com/articles/s41586-026-10598-1" TargetMode="External"/><Relationship Id="rId709" Type="http://schemas.openxmlformats.org/officeDocument/2006/relationships/hyperlink" Target="https://doi.org/10.1038/s41586-026-10598-1" TargetMode="External"/><Relationship Id="rId710" Type="http://schemas.openxmlformats.org/officeDocument/2006/relationships/hyperlink" Target="https://www.nature.com/articles/s41586-026-10590-9" TargetMode="External"/><Relationship Id="rId711" Type="http://schemas.openxmlformats.org/officeDocument/2006/relationships/hyperlink" Target="https://doi.org/10.1038/s41586-026-10590-9" TargetMode="External"/><Relationship Id="rId712" Type="http://schemas.openxmlformats.org/officeDocument/2006/relationships/hyperlink" Target="https://www.nature.com/articles/s41586-026-10583-8" TargetMode="External"/><Relationship Id="rId713" Type="http://schemas.openxmlformats.org/officeDocument/2006/relationships/hyperlink" Target="https://doi.org/10.1038/s41586-026-10583-8" TargetMode="External"/><Relationship Id="rId714" Type="http://schemas.openxmlformats.org/officeDocument/2006/relationships/hyperlink" Target="https://www.nature.com/articles/s41586-026-10550-3" TargetMode="External"/><Relationship Id="rId715" Type="http://schemas.openxmlformats.org/officeDocument/2006/relationships/hyperlink" Target="https://doi.org/10.1038/s41586-026-10550-3" TargetMode="External"/><Relationship Id="rId716" Type="http://schemas.openxmlformats.org/officeDocument/2006/relationships/hyperlink" Target="https://www.nature.com/articles/s41586-026-10604-6" TargetMode="External"/><Relationship Id="rId717" Type="http://schemas.openxmlformats.org/officeDocument/2006/relationships/hyperlink" Target="https://doi.org/10.1038/s41586-026-10604-6" TargetMode="External"/><Relationship Id="rId718" Type="http://schemas.openxmlformats.org/officeDocument/2006/relationships/hyperlink" Target="https://www.nature.com/articles/s41586-026-10551-2" TargetMode="External"/><Relationship Id="rId719" Type="http://schemas.openxmlformats.org/officeDocument/2006/relationships/hyperlink" Target="https://doi.org/10.1038/s41586-026-10551-2" TargetMode="External"/><Relationship Id="rId720" Type="http://schemas.openxmlformats.org/officeDocument/2006/relationships/hyperlink" Target="https://www.nature.com/articles/s41586-026-10616-2" TargetMode="External"/><Relationship Id="rId721" Type="http://schemas.openxmlformats.org/officeDocument/2006/relationships/hyperlink" Target="https://doi.org/10.1038/s41586-026-10616-2" TargetMode="External"/><Relationship Id="rId722" Type="http://schemas.openxmlformats.org/officeDocument/2006/relationships/hyperlink" Target="https://www.nature.com/articles/s41586-026-10592-7" TargetMode="External"/><Relationship Id="rId723" Type="http://schemas.openxmlformats.org/officeDocument/2006/relationships/hyperlink" Target="https://doi.org/10.1038/s41586-026-10592-7" TargetMode="External"/><Relationship Id="rId724" Type="http://schemas.openxmlformats.org/officeDocument/2006/relationships/hyperlink" Target="https://www.nature.com/articles/s41586-026-10557-w" TargetMode="External"/><Relationship Id="rId725" Type="http://schemas.openxmlformats.org/officeDocument/2006/relationships/hyperlink" Target="https://doi.org/10.1038/s41586-026-10557-w" TargetMode="External"/><Relationship Id="rId726" Type="http://schemas.openxmlformats.org/officeDocument/2006/relationships/hyperlink" Target="https://www.nature.com/articles/s41586-026-10637-x" TargetMode="External"/><Relationship Id="rId727" Type="http://schemas.openxmlformats.org/officeDocument/2006/relationships/hyperlink" Target="https://doi.org/10.1038/s41586-026-10637-x" TargetMode="External"/><Relationship Id="rId728" Type="http://schemas.openxmlformats.org/officeDocument/2006/relationships/hyperlink" Target="https://www.nature.com/articles/d41586-026-01799-9" TargetMode="External"/><Relationship Id="rId729" Type="http://schemas.openxmlformats.org/officeDocument/2006/relationships/hyperlink" Target="https://doi.org/10.1038/d41586-026-01799-9" TargetMode="External"/><Relationship Id="rId730" Type="http://schemas.openxmlformats.org/officeDocument/2006/relationships/hyperlink" Target="https://www.nature.com/articles/d41586-026-01761-9" TargetMode="External"/><Relationship Id="rId731" Type="http://schemas.openxmlformats.org/officeDocument/2006/relationships/hyperlink" Target="https://doi.org/10.1038/d41586-026-01761-9" TargetMode="External"/><Relationship Id="rId732" Type="http://schemas.openxmlformats.org/officeDocument/2006/relationships/hyperlink" Target="https://www.nature.com/articles/d41586-026-01633-2" TargetMode="External"/><Relationship Id="rId733" Type="http://schemas.openxmlformats.org/officeDocument/2006/relationships/hyperlink" Target="https://doi.org/10.1038/d41586-026-01633-2" TargetMode="External"/><Relationship Id="rId734" Type="http://schemas.openxmlformats.org/officeDocument/2006/relationships/hyperlink" Target="https://www.nature.com/articles/s41586-026-10612-6" TargetMode="External"/><Relationship Id="rId735" Type="http://schemas.openxmlformats.org/officeDocument/2006/relationships/hyperlink" Target="https://doi.org/10.1038/s41586-026-10612-6" TargetMode="External"/><Relationship Id="rId736" Type="http://schemas.openxmlformats.org/officeDocument/2006/relationships/hyperlink" Target="https://www.nature.com/articles/s41467-026-73220-y" TargetMode="External"/><Relationship Id="rId737" Type="http://schemas.openxmlformats.org/officeDocument/2006/relationships/hyperlink" Target="https://www.nature.com/articles/s41586-026-10603-7" TargetMode="External"/><Relationship Id="rId738" Type="http://schemas.openxmlformats.org/officeDocument/2006/relationships/hyperlink" Target="https://doi.org/10.1038/s41586-026-10603-7" TargetMode="External"/><Relationship Id="rId739" Type="http://schemas.openxmlformats.org/officeDocument/2006/relationships/hyperlink" Target="https://www.nature.com/articles/s41586-026-10517-4" TargetMode="External"/><Relationship Id="rId740" Type="http://schemas.openxmlformats.org/officeDocument/2006/relationships/hyperlink" Target="https://doi.org/10.1038/s41586-026-10517-4" TargetMode="External"/><Relationship Id="rId741" Type="http://schemas.openxmlformats.org/officeDocument/2006/relationships/hyperlink" Target="https://www.nature.com/articles/s41586-026-10624-2" TargetMode="External"/><Relationship Id="rId742" Type="http://schemas.openxmlformats.org/officeDocument/2006/relationships/hyperlink" Target="https://doi.org/10.1038/s41586-026-10624-2" TargetMode="External"/><Relationship Id="rId743" Type="http://schemas.openxmlformats.org/officeDocument/2006/relationships/hyperlink" Target="https://www.nature.com/articles/s41467-026-73942-z" TargetMode="External"/><Relationship Id="rId744" Type="http://schemas.openxmlformats.org/officeDocument/2006/relationships/hyperlink" Target="https://www.nature.com/articles/s41467-026-73928-x" TargetMode="External"/><Relationship Id="rId745" Type="http://schemas.openxmlformats.org/officeDocument/2006/relationships/hyperlink" Target="https://www.nature.com/articles/s41557-026-02142-5" TargetMode="External"/><Relationship Id="rId746" Type="http://schemas.openxmlformats.org/officeDocument/2006/relationships/hyperlink" Target="https://doi.org/10.1038/s41557-026-02142-5" TargetMode="External"/><Relationship Id="rId747" Type="http://schemas.openxmlformats.org/officeDocument/2006/relationships/hyperlink" Target="https://www.nature.com/articles/s41578-026-00919-1" TargetMode="External"/><Relationship Id="rId748" Type="http://schemas.openxmlformats.org/officeDocument/2006/relationships/hyperlink" Target="https://doi.org/10.1038/s41578-026-00919-1" TargetMode="External"/><Relationship Id="rId749" Type="http://schemas.openxmlformats.org/officeDocument/2006/relationships/hyperlink" Target="https://www.cell.com/chem/fulltext/S2451-9294(26)00148-8?rss=yes" TargetMode="External"/><Relationship Id="rId750" Type="http://schemas.openxmlformats.org/officeDocument/2006/relationships/hyperlink" Target="https://doi.org/10.1016/j.chempr.2026.103082" TargetMode="External"/><Relationship Id="rId751" Type="http://schemas.openxmlformats.org/officeDocument/2006/relationships/hyperlink" Target="https://www.nature.com/articles/s41467-026-73222-w" TargetMode="External"/><Relationship Id="rId752" Type="http://schemas.openxmlformats.org/officeDocument/2006/relationships/hyperlink" Target="https://www.nature.com/articles/s41467-026-73660-6" TargetMode="External"/><Relationship Id="rId753" Type="http://schemas.openxmlformats.org/officeDocument/2006/relationships/hyperlink" Target="https://www.nature.com/articles/s41467-026-73447-9" TargetMode="External"/><Relationship Id="rId754" Type="http://schemas.openxmlformats.org/officeDocument/2006/relationships/hyperlink" Target="https://www.nature.com/articles/d41586-026-01774-4" TargetMode="External"/><Relationship Id="rId755" Type="http://schemas.openxmlformats.org/officeDocument/2006/relationships/hyperlink" Target="https://doi.org/10.1038/d41586-026-01774-4" TargetMode="External"/><Relationship Id="rId756" Type="http://schemas.openxmlformats.org/officeDocument/2006/relationships/hyperlink" Target="https://www.nature.com/articles/d41586-026-01793-1" TargetMode="External"/><Relationship Id="rId757" Type="http://schemas.openxmlformats.org/officeDocument/2006/relationships/hyperlink" Target="https://doi.org/10.1038/d41586-026-01793-1" TargetMode="External"/><Relationship Id="rId758" Type="http://schemas.openxmlformats.org/officeDocument/2006/relationships/hyperlink" Target="https://www.nature.com/articles/s41586-026-10561-0" TargetMode="External"/><Relationship Id="rId759" Type="http://schemas.openxmlformats.org/officeDocument/2006/relationships/hyperlink" Target="https://doi.org/10.1038/s41586-026-10561-0" TargetMode="External"/><Relationship Id="rId760" Type="http://schemas.openxmlformats.org/officeDocument/2006/relationships/hyperlink" Target="https://www.nature.com/articles/s41586-026-10589-2" TargetMode="External"/><Relationship Id="rId761" Type="http://schemas.openxmlformats.org/officeDocument/2006/relationships/hyperlink" Target="https://doi.org/10.1038/s41586-026-10589-2" TargetMode="External"/><Relationship Id="rId762" Type="http://schemas.openxmlformats.org/officeDocument/2006/relationships/hyperlink" Target="https://www.nature.com/articles/s41467-026-73634-8" TargetMode="External"/><Relationship Id="rId763" Type="http://schemas.openxmlformats.org/officeDocument/2006/relationships/hyperlink" Target="https://www.nature.com/articles/s41467-026-74007-x" TargetMode="External"/><Relationship Id="rId764" Type="http://schemas.openxmlformats.org/officeDocument/2006/relationships/hyperlink" Target="https://www.nature.com/articles/s41586-026-10575-8" TargetMode="External"/><Relationship Id="rId765" Type="http://schemas.openxmlformats.org/officeDocument/2006/relationships/hyperlink" Target="https://doi.org/10.1038/s41586-026-10575-8" TargetMode="External"/><Relationship Id="rId766" Type="http://schemas.openxmlformats.org/officeDocument/2006/relationships/hyperlink" Target="https://www.nature.com/articles/s41467-026-73895-3" TargetMode="External"/><Relationship Id="rId767" Type="http://schemas.openxmlformats.org/officeDocument/2006/relationships/hyperlink" Target="https://www.nature.com/articles/s41467-026-73996-z" TargetMode="External"/><Relationship Id="rId768" Type="http://schemas.openxmlformats.org/officeDocument/2006/relationships/hyperlink" Target="https://www.nature.com/articles/s41467-026-73950-z" TargetMode="External"/><Relationship Id="rId769" Type="http://schemas.openxmlformats.org/officeDocument/2006/relationships/hyperlink" Target="https://www.nature.com/articles/s41467-026-73982-5" TargetMode="External"/><Relationship Id="rId770" Type="http://schemas.openxmlformats.org/officeDocument/2006/relationships/hyperlink" Target="https://www.nature.com/articles/s41467-026-73770-1" TargetMode="External"/><Relationship Id="rId771" Type="http://schemas.openxmlformats.org/officeDocument/2006/relationships/hyperlink" Target="https://www.nature.com/articles/s41467-026-73491-5" TargetMode="External"/><Relationship Id="rId772" Type="http://schemas.openxmlformats.org/officeDocument/2006/relationships/hyperlink" Target="https://www.nature.com/articles/s41467-026-74075-z" TargetMode="External"/><Relationship Id="rId773" Type="http://schemas.openxmlformats.org/officeDocument/2006/relationships/hyperlink" Target="https://www.nature.com/articles/s41586-026-10562-z" TargetMode="External"/><Relationship Id="rId774" Type="http://schemas.openxmlformats.org/officeDocument/2006/relationships/hyperlink" Target="https://doi.org/10.1038/s41586-026-10562-z" TargetMode="External"/><Relationship Id="rId775" Type="http://schemas.openxmlformats.org/officeDocument/2006/relationships/hyperlink" Target="https://www.nature.com/articles/s41586-026-10627-z" TargetMode="External"/><Relationship Id="rId776" Type="http://schemas.openxmlformats.org/officeDocument/2006/relationships/hyperlink" Target="https://doi.org/10.1038/s41586-026-10627-z" TargetMode="External"/><Relationship Id="rId777" Type="http://schemas.openxmlformats.org/officeDocument/2006/relationships/hyperlink" Target="https://www.nature.com/articles/d41586-026-01745-9" TargetMode="External"/><Relationship Id="rId778" Type="http://schemas.openxmlformats.org/officeDocument/2006/relationships/hyperlink" Target="https://doi.org/10.1038/d41586-026-01745-9" TargetMode="External"/><Relationship Id="rId779" Type="http://schemas.openxmlformats.org/officeDocument/2006/relationships/hyperlink" Target="https://www.nature.com/articles/d41586-026-01741-z" TargetMode="External"/><Relationship Id="rId780" Type="http://schemas.openxmlformats.org/officeDocument/2006/relationships/hyperlink" Target="https://doi.org/10.1038/d41586-026-01741-z" TargetMode="External"/><Relationship Id="rId781" Type="http://schemas.openxmlformats.org/officeDocument/2006/relationships/hyperlink" Target="https://www.nature.com/articles/s41467-026-73886-4" TargetMode="External"/><Relationship Id="rId782" Type="http://schemas.openxmlformats.org/officeDocument/2006/relationships/hyperlink" Target="https://www.nature.com/articles/s41467-026-74030-y" TargetMode="External"/><Relationship Id="rId783" Type="http://schemas.openxmlformats.org/officeDocument/2006/relationships/hyperlink" Target="https://www.nature.com/articles/s41467-026-73289-5" TargetMode="External"/><Relationship Id="rId784" Type="http://schemas.openxmlformats.org/officeDocument/2006/relationships/hyperlink" Target="https://www.nature.com/articles/s41467-026-73890-8" TargetMode="External"/><Relationship Id="rId785" Type="http://schemas.openxmlformats.org/officeDocument/2006/relationships/hyperlink" Target="https://www.nature.com/articles/s41467-026-73543-w" TargetMode="External"/><Relationship Id="rId786" Type="http://schemas.openxmlformats.org/officeDocument/2006/relationships/hyperlink" Target="https://www.nature.com/articles/s41563-026-02633-3" TargetMode="External"/><Relationship Id="rId787" Type="http://schemas.openxmlformats.org/officeDocument/2006/relationships/hyperlink" Target="https://doi.org/10.1038/s41563-026-02633-3" TargetMode="External"/><Relationship Id="rId788" Type="http://schemas.openxmlformats.org/officeDocument/2006/relationships/hyperlink" Target="https://www.nature.com/articles/s41467-026-73919-y" TargetMode="External"/><Relationship Id="rId789" Type="http://schemas.openxmlformats.org/officeDocument/2006/relationships/hyperlink" Target="https://www.nature.com/articles/s41467-026-72223-z" TargetMode="External"/><Relationship Id="rId790" Type="http://schemas.openxmlformats.org/officeDocument/2006/relationships/hyperlink" Target="https://www.nature.com/articles/s41467-026-73891-7" TargetMode="External"/><Relationship Id="rId791" Type="http://schemas.openxmlformats.org/officeDocument/2006/relationships/hyperlink" Target="https://www.nature.com/articles/s41586-026-10610-8" TargetMode="External"/><Relationship Id="rId792" Type="http://schemas.openxmlformats.org/officeDocument/2006/relationships/hyperlink" Target="https://doi.org/10.1038/s41586-026-10610-8" TargetMode="External"/><Relationship Id="rId793" Type="http://schemas.openxmlformats.org/officeDocument/2006/relationships/hyperlink" Target="https://www.cell.com/chem/fulltext/S2451-9294(26)00164-6?rss=yes" TargetMode="External"/><Relationship Id="rId794" Type="http://schemas.openxmlformats.org/officeDocument/2006/relationships/hyperlink" Target="https://doi.org/10.1016/j.chempr.2026.103098" TargetMode="External"/><Relationship Id="rId795" Type="http://schemas.openxmlformats.org/officeDocument/2006/relationships/hyperlink" Target="https://www.nature.com/articles/s41467-026-73699-5" TargetMode="External"/><Relationship Id="rId796" Type="http://schemas.openxmlformats.org/officeDocument/2006/relationships/hyperlink" Target="https://www.nature.com/articles/s41467-026-74027-7" TargetMode="External"/><Relationship Id="rId797" Type="http://schemas.openxmlformats.org/officeDocument/2006/relationships/hyperlink" Target="https://www.nature.com/articles/s41467-026-73275-x" TargetMode="External"/><Relationship Id="rId798" Type="http://schemas.openxmlformats.org/officeDocument/2006/relationships/hyperlink" Target="https://www.nature.com/articles/s41467-026-73934-z" TargetMode="External"/><Relationship Id="rId799" Type="http://schemas.openxmlformats.org/officeDocument/2006/relationships/hyperlink" Target="https://www.nature.com/articles/s41467-026-74055-3" TargetMode="External"/><Relationship Id="rId800" Type="http://schemas.openxmlformats.org/officeDocument/2006/relationships/hyperlink" Target="https://www.nature.com/articles/d41586-026-01583-9" TargetMode="External"/><Relationship Id="rId801" Type="http://schemas.openxmlformats.org/officeDocument/2006/relationships/hyperlink" Target="https://doi.org/10.1038/d41586-026-01583-9" TargetMode="External"/><Relationship Id="rId802" Type="http://schemas.openxmlformats.org/officeDocument/2006/relationships/hyperlink" Target="https://www.nature.com/articles/d41586-026-01779-z" TargetMode="External"/><Relationship Id="rId803" Type="http://schemas.openxmlformats.org/officeDocument/2006/relationships/hyperlink" Target="https://doi.org/10.1038/d41586-026-01779-z" TargetMode="External"/><Relationship Id="rId804" Type="http://schemas.openxmlformats.org/officeDocument/2006/relationships/hyperlink" Target="https://www.nature.com/articles/d41586-026-01727-x" TargetMode="External"/><Relationship Id="rId805" Type="http://schemas.openxmlformats.org/officeDocument/2006/relationships/hyperlink" Target="https://doi.org/10.1038/d41586-026-01727-x" TargetMode="External"/><Relationship Id="rId806" Type="http://schemas.openxmlformats.org/officeDocument/2006/relationships/hyperlink" Target="https://www.nature.com/articles/d41586-026-01580-y" TargetMode="External"/><Relationship Id="rId807" Type="http://schemas.openxmlformats.org/officeDocument/2006/relationships/hyperlink" Target="https://doi.org/10.1038/d41586-026-01580-y" TargetMode="External"/><Relationship Id="rId808" Type="http://schemas.openxmlformats.org/officeDocument/2006/relationships/hyperlink" Target="https://www.nature.com/articles/d41586-026-01691-6" TargetMode="External"/><Relationship Id="rId809" Type="http://schemas.openxmlformats.org/officeDocument/2006/relationships/hyperlink" Target="https://doi.org/10.1038/d41586-026-01691-6" TargetMode="External"/><Relationship Id="rId810" Type="http://schemas.openxmlformats.org/officeDocument/2006/relationships/hyperlink" Target="https://www.nature.com/articles/d41586-026-01788-y" TargetMode="External"/><Relationship Id="rId811" Type="http://schemas.openxmlformats.org/officeDocument/2006/relationships/hyperlink" Target="https://doi.org/10.1038/d41586-026-01788-y" TargetMode="External"/><Relationship Id="rId812" Type="http://schemas.openxmlformats.org/officeDocument/2006/relationships/hyperlink" Target="https://www.nature.com/articles/s41467-026-73645-5" TargetMode="External"/><Relationship Id="rId813" Type="http://schemas.openxmlformats.org/officeDocument/2006/relationships/hyperlink" Target="https://www.nature.com/articles/s41586-026-10597-2" TargetMode="External"/><Relationship Id="rId814" Type="http://schemas.openxmlformats.org/officeDocument/2006/relationships/hyperlink" Target="https://doi.org/10.1038/s41586-026-10597-2" TargetMode="External"/><Relationship Id="rId815" Type="http://schemas.openxmlformats.org/officeDocument/2006/relationships/hyperlink" Target="https://www.nature.com/articles/d41586-026-01579-5" TargetMode="External"/><Relationship Id="rId816" Type="http://schemas.openxmlformats.org/officeDocument/2006/relationships/hyperlink" Target="https://doi.org/10.1038/d41586-026-01579-5" TargetMode="External"/><Relationship Id="rId817" Type="http://schemas.openxmlformats.org/officeDocument/2006/relationships/hyperlink" Target="https://www.nature.com/articles/s41467-026-73089-x" TargetMode="External"/><Relationship Id="rId818" Type="http://schemas.openxmlformats.org/officeDocument/2006/relationships/hyperlink" Target="https://www.nature.com/articles/s41563-026-02601-x" TargetMode="External"/><Relationship Id="rId819" Type="http://schemas.openxmlformats.org/officeDocument/2006/relationships/hyperlink" Target="https://doi.org/10.1038/s41563-026-02601-x" TargetMode="External"/><Relationship Id="rId820" Type="http://schemas.openxmlformats.org/officeDocument/2006/relationships/hyperlink" Target="https://www.nature.com/articles/s41467-026-73768-9" TargetMode="External"/><Relationship Id="rId821" Type="http://schemas.openxmlformats.org/officeDocument/2006/relationships/hyperlink" Target="https://www.nature.com/articles/s41467-026-73780-z" TargetMode="External"/><Relationship Id="rId822" Type="http://schemas.openxmlformats.org/officeDocument/2006/relationships/hyperlink" Target="https://www.nature.com/articles/s41467-026-74017-9" TargetMode="External"/><Relationship Id="rId823" Type="http://schemas.openxmlformats.org/officeDocument/2006/relationships/hyperlink" Target="https://www.nature.com/articles/s41467-026-73859-7" TargetMode="External"/><Relationship Id="rId824" Type="http://schemas.openxmlformats.org/officeDocument/2006/relationships/hyperlink" Target="https://www.nature.com/articles/s41467-026-73771-0" TargetMode="External"/><Relationship Id="rId825" Type="http://schemas.openxmlformats.org/officeDocument/2006/relationships/hyperlink" Target="https://www.nature.com/articles/s41467-026-73983-4" TargetMode="External"/><Relationship Id="rId826" Type="http://schemas.openxmlformats.org/officeDocument/2006/relationships/hyperlink" Target="https://www.nature.com/articles/s41467-026-73981-6" TargetMode="External"/><Relationship Id="rId827" Type="http://schemas.openxmlformats.org/officeDocument/2006/relationships/hyperlink" Target="https://www.nature.com/articles/s41467-026-73972-7" TargetMode="External"/><Relationship Id="rId828" Type="http://schemas.openxmlformats.org/officeDocument/2006/relationships/hyperlink" Target="https://www.nature.com/articles/s41467-026-74008-w" TargetMode="External"/><Relationship Id="rId829" Type="http://schemas.openxmlformats.org/officeDocument/2006/relationships/hyperlink" Target="https://advanced.onlinelibrary.wiley.com/doi/10.1002/aenm.71117?af=R" TargetMode="External"/><Relationship Id="rId830" Type="http://schemas.openxmlformats.org/officeDocument/2006/relationships/hyperlink" Target="https://doi.org/10.1002/aenm.71117" TargetMode="External"/><Relationship Id="rId831" Type="http://schemas.openxmlformats.org/officeDocument/2006/relationships/hyperlink" Target="https://advanced.onlinelibrary.wiley.com/doi/10.1002/aenm.71123?af=R" TargetMode="External"/><Relationship Id="rId832" Type="http://schemas.openxmlformats.org/officeDocument/2006/relationships/hyperlink" Target="https://doi.org/10.1002/aenm.71123" TargetMode="External"/><Relationship Id="rId833" Type="http://schemas.openxmlformats.org/officeDocument/2006/relationships/hyperlink" Target="https://advanced.onlinelibrary.wiley.com/doi/10.1002/aenm.70994?af=R" TargetMode="External"/><Relationship Id="rId834" Type="http://schemas.openxmlformats.org/officeDocument/2006/relationships/hyperlink" Target="https://doi.org/10.1002/aenm.70994" TargetMode="External"/><Relationship Id="rId835" Type="http://schemas.openxmlformats.org/officeDocument/2006/relationships/hyperlink" Target="https://onlinelibrary.wiley.com/doi/10.1002/anie.9238302?af=R" TargetMode="External"/><Relationship Id="rId836" Type="http://schemas.openxmlformats.org/officeDocument/2006/relationships/hyperlink" Target="https://doi.org/10.1002/anie.9238302" TargetMode="External"/><Relationship Id="rId837" Type="http://schemas.openxmlformats.org/officeDocument/2006/relationships/hyperlink" Target="https://onlinelibrary.wiley.com/doi/10.1002/anie.3481279?af=R" TargetMode="External"/><Relationship Id="rId838" Type="http://schemas.openxmlformats.org/officeDocument/2006/relationships/hyperlink" Target="https://doi.org/10.1002/anie.3481279" TargetMode="External"/><Relationship Id="rId839" Type="http://schemas.openxmlformats.org/officeDocument/2006/relationships/hyperlink" Target="https://onlinelibrary.wiley.com/doi/10.1002/anie.4843934?af=R" TargetMode="External"/><Relationship Id="rId840" Type="http://schemas.openxmlformats.org/officeDocument/2006/relationships/hyperlink" Target="https://doi.org/10.1002/anie.4843934" TargetMode="External"/><Relationship Id="rId841" Type="http://schemas.openxmlformats.org/officeDocument/2006/relationships/hyperlink" Target="https://www.science.org/doi/abs/10.1126/sciadv.adz9893?af=R" TargetMode="External"/><Relationship Id="rId842" Type="http://schemas.openxmlformats.org/officeDocument/2006/relationships/hyperlink" Target="https://doi.org/10.1126/sciadv.adz9893" TargetMode="External"/><Relationship Id="rId843" Type="http://schemas.openxmlformats.org/officeDocument/2006/relationships/hyperlink" Target="https://www.science.org/doi/abs/10.1126/sciadv.aef3336?af=R" TargetMode="External"/><Relationship Id="rId844" Type="http://schemas.openxmlformats.org/officeDocument/2006/relationships/hyperlink" Target="https://doi.org/10.1126/sciadv.aef3336" TargetMode="External"/><Relationship Id="rId845" Type="http://schemas.openxmlformats.org/officeDocument/2006/relationships/hyperlink" Target="https://www.science.org/doi/abs/10.1126/sciadv.aee3727?af=R" TargetMode="External"/><Relationship Id="rId846" Type="http://schemas.openxmlformats.org/officeDocument/2006/relationships/hyperlink" Target="https://doi.org/10.1126/sciadv.aee3727" TargetMode="External"/><Relationship Id="rId847" Type="http://schemas.openxmlformats.org/officeDocument/2006/relationships/hyperlink" Target="https://www.science.org/doi/abs/10.1126/sciadv.aee2172?af=R" TargetMode="External"/><Relationship Id="rId848" Type="http://schemas.openxmlformats.org/officeDocument/2006/relationships/hyperlink" Target="https://doi.org/10.1126/sciadv.aee2172" TargetMode="External"/><Relationship Id="rId849" Type="http://schemas.openxmlformats.org/officeDocument/2006/relationships/hyperlink" Target="https://www.science.org/doi/abs/10.1126/sciadv.aee0698?af=R" TargetMode="External"/><Relationship Id="rId850" Type="http://schemas.openxmlformats.org/officeDocument/2006/relationships/hyperlink" Target="https://doi.org/10.1126/sciadv.aee0698" TargetMode="External"/><Relationship Id="rId851" Type="http://schemas.openxmlformats.org/officeDocument/2006/relationships/hyperlink" Target="https://www.science.org/doi/abs/10.1126/sciadv.aee0266?af=R" TargetMode="External"/><Relationship Id="rId852" Type="http://schemas.openxmlformats.org/officeDocument/2006/relationships/hyperlink" Target="https://doi.org/10.1126/sciadv.aee0266" TargetMode="External"/><Relationship Id="rId853" Type="http://schemas.openxmlformats.org/officeDocument/2006/relationships/hyperlink" Target="https://www.science.org/doi/abs/10.1126/sciadv.aed8749?af=R" TargetMode="External"/><Relationship Id="rId854" Type="http://schemas.openxmlformats.org/officeDocument/2006/relationships/hyperlink" Target="https://doi.org/10.1126/sciadv.aed8749" TargetMode="External"/><Relationship Id="rId855" Type="http://schemas.openxmlformats.org/officeDocument/2006/relationships/hyperlink" Target="https://www.science.org/doi/abs/10.1126/sciadv.aed7115?af=R" TargetMode="External"/><Relationship Id="rId856" Type="http://schemas.openxmlformats.org/officeDocument/2006/relationships/hyperlink" Target="https://doi.org/10.1126/sciadv.aed7115" TargetMode="External"/><Relationship Id="rId857" Type="http://schemas.openxmlformats.org/officeDocument/2006/relationships/hyperlink" Target="https://www.science.org/doi/abs/10.1126/sciadv.aee1885?af=R" TargetMode="External"/><Relationship Id="rId858" Type="http://schemas.openxmlformats.org/officeDocument/2006/relationships/hyperlink" Target="https://doi.org/10.1126/sciadv.aee1885" TargetMode="External"/><Relationship Id="rId859" Type="http://schemas.openxmlformats.org/officeDocument/2006/relationships/hyperlink" Target="https://www.science.org/doi/abs/10.1126/sciadv.aed5548?af=R" TargetMode="External"/><Relationship Id="rId860" Type="http://schemas.openxmlformats.org/officeDocument/2006/relationships/hyperlink" Target="https://doi.org/10.1126/sciadv.aed5548" TargetMode="External"/><Relationship Id="rId861" Type="http://schemas.openxmlformats.org/officeDocument/2006/relationships/hyperlink" Target="https://www.science.org/doi/abs/10.1126/sciadv.aec6950?af=R" TargetMode="External"/><Relationship Id="rId862" Type="http://schemas.openxmlformats.org/officeDocument/2006/relationships/hyperlink" Target="https://doi.org/10.1126/sciadv.aec6950" TargetMode="External"/><Relationship Id="rId863" Type="http://schemas.openxmlformats.org/officeDocument/2006/relationships/hyperlink" Target="https://www.science.org/doi/abs/10.1126/sciadv.aed6242?af=R" TargetMode="External"/><Relationship Id="rId864" Type="http://schemas.openxmlformats.org/officeDocument/2006/relationships/hyperlink" Target="https://doi.org/10.1126/sciadv.aed6242" TargetMode="External"/><Relationship Id="rId865" Type="http://schemas.openxmlformats.org/officeDocument/2006/relationships/hyperlink" Target="https://www.science.org/doi/abs/10.1126/sciadv.aec8978?af=R" TargetMode="External"/><Relationship Id="rId866" Type="http://schemas.openxmlformats.org/officeDocument/2006/relationships/hyperlink" Target="https://doi.org/10.1126/sciadv.aec8978" TargetMode="External"/><Relationship Id="rId867" Type="http://schemas.openxmlformats.org/officeDocument/2006/relationships/hyperlink" Target="https://www.science.org/doi/abs/10.1126/sciadv.aec9348?af=R" TargetMode="External"/><Relationship Id="rId868" Type="http://schemas.openxmlformats.org/officeDocument/2006/relationships/hyperlink" Target="https://doi.org/10.1126/sciadv.aec9348" TargetMode="External"/><Relationship Id="rId869" Type="http://schemas.openxmlformats.org/officeDocument/2006/relationships/hyperlink" Target="https://www.science.org/doi/abs/10.1126/sciadv.aec5229?af=R" TargetMode="External"/><Relationship Id="rId870" Type="http://schemas.openxmlformats.org/officeDocument/2006/relationships/hyperlink" Target="https://doi.org/10.1126/sciadv.aec5229" TargetMode="External"/><Relationship Id="rId871" Type="http://schemas.openxmlformats.org/officeDocument/2006/relationships/hyperlink" Target="https://www.science.org/doi/abs/10.1126/sciadv.aed0860?af=R" TargetMode="External"/><Relationship Id="rId872" Type="http://schemas.openxmlformats.org/officeDocument/2006/relationships/hyperlink" Target="https://doi.org/10.1126/sciadv.aed0860" TargetMode="External"/><Relationship Id="rId873" Type="http://schemas.openxmlformats.org/officeDocument/2006/relationships/hyperlink" Target="https://www.science.org/doi/abs/10.1126/sciadv.aed2478?af=R" TargetMode="External"/><Relationship Id="rId874" Type="http://schemas.openxmlformats.org/officeDocument/2006/relationships/hyperlink" Target="https://doi.org/10.1126/sciadv.aed2478" TargetMode="External"/><Relationship Id="rId875" Type="http://schemas.openxmlformats.org/officeDocument/2006/relationships/hyperlink" Target="https://www.science.org/doi/abs/10.1126/sciadv.aed2847?af=R" TargetMode="External"/><Relationship Id="rId876" Type="http://schemas.openxmlformats.org/officeDocument/2006/relationships/hyperlink" Target="https://doi.org/10.1126/sciadv.aed2847" TargetMode="External"/><Relationship Id="rId877" Type="http://schemas.openxmlformats.org/officeDocument/2006/relationships/hyperlink" Target="https://www.science.org/doi/abs/10.1126/sciadv.aed3904?af=R" TargetMode="External"/><Relationship Id="rId878" Type="http://schemas.openxmlformats.org/officeDocument/2006/relationships/hyperlink" Target="https://doi.org/10.1126/sciadv.aed3904" TargetMode="External"/><Relationship Id="rId879" Type="http://schemas.openxmlformats.org/officeDocument/2006/relationships/hyperlink" Target="https://advanced.onlinelibrary.wiley.com/doi/10.1002/adma.73520?af=R" TargetMode="External"/><Relationship Id="rId880" Type="http://schemas.openxmlformats.org/officeDocument/2006/relationships/hyperlink" Target="https://doi.org/10.1002/adma.73520" TargetMode="External"/><Relationship Id="rId881" Type="http://schemas.openxmlformats.org/officeDocument/2006/relationships/hyperlink" Target="https://www.science.org/doi/abs/10.1126/sciadv.aeb0794?af=R" TargetMode="External"/><Relationship Id="rId882" Type="http://schemas.openxmlformats.org/officeDocument/2006/relationships/hyperlink" Target="https://doi.org/10.1126/sciadv.aeb0794" TargetMode="External"/><Relationship Id="rId883" Type="http://schemas.openxmlformats.org/officeDocument/2006/relationships/hyperlink" Target="https://www.science.org/doi/abs/10.1126/sciadv.aec5619?af=R" TargetMode="External"/><Relationship Id="rId884" Type="http://schemas.openxmlformats.org/officeDocument/2006/relationships/hyperlink" Target="https://doi.org/10.1126/sciadv.aec5619" TargetMode="External"/><Relationship Id="rId885" Type="http://schemas.openxmlformats.org/officeDocument/2006/relationships/hyperlink" Target="https://www.science.org/doi/abs/10.1126/sciadv.aec5613?af=R" TargetMode="External"/><Relationship Id="rId886" Type="http://schemas.openxmlformats.org/officeDocument/2006/relationships/hyperlink" Target="https://doi.org/10.1126/sciadv.aec5613" TargetMode="External"/><Relationship Id="rId887" Type="http://schemas.openxmlformats.org/officeDocument/2006/relationships/hyperlink" Target="https://www.science.org/doi/abs/10.1126/sciadv.aec3179?af=R" TargetMode="External"/><Relationship Id="rId888" Type="http://schemas.openxmlformats.org/officeDocument/2006/relationships/hyperlink" Target="https://doi.org/10.1126/sciadv.aec3179" TargetMode="External"/><Relationship Id="rId889" Type="http://schemas.openxmlformats.org/officeDocument/2006/relationships/hyperlink" Target="https://www.pnas.org/doi/abs/10.1073/pnas.2533881123?mi=eymic2&amp;af=R&amp;access=on&amp;content=articlesChapters&amp;publication=pnas&amp;sortBy=Earliest&amp;target=default" TargetMode="External"/><Relationship Id="rId890" Type="http://schemas.openxmlformats.org/officeDocument/2006/relationships/hyperlink" Target="https://doi.org/10.1073/pnas.2533881123" TargetMode="External"/><Relationship Id="rId891" Type="http://schemas.openxmlformats.org/officeDocument/2006/relationships/hyperlink" Target="https://www.science.org/doi/abs/10.1126/sciadv.aeb2491?af=R" TargetMode="External"/><Relationship Id="rId892" Type="http://schemas.openxmlformats.org/officeDocument/2006/relationships/hyperlink" Target="https://doi.org/10.1126/sciadv.aeb2491" TargetMode="External"/><Relationship Id="rId893" Type="http://schemas.openxmlformats.org/officeDocument/2006/relationships/hyperlink" Target="https://www.science.org/doi/abs/10.1126/sciadv.aei2098?af=R" TargetMode="External"/><Relationship Id="rId894" Type="http://schemas.openxmlformats.org/officeDocument/2006/relationships/hyperlink" Target="https://doi.org/10.1126/sciadv.aei2098" TargetMode="External"/><Relationship Id="rId895" Type="http://schemas.openxmlformats.org/officeDocument/2006/relationships/hyperlink" Target="https://www.science.org/doi/abs/10.1126/sciadv.aea5433?af=R" TargetMode="External"/><Relationship Id="rId896" Type="http://schemas.openxmlformats.org/officeDocument/2006/relationships/hyperlink" Target="https://doi.org/10.1126/sciadv.aea5433" TargetMode="External"/><Relationship Id="rId897" Type="http://schemas.openxmlformats.org/officeDocument/2006/relationships/hyperlink" Target="https://www.science.org/doi/abs/10.1126/sciadv.aea3316?af=R" TargetMode="External"/><Relationship Id="rId898" Type="http://schemas.openxmlformats.org/officeDocument/2006/relationships/hyperlink" Target="https://doi.org/10.1126/sciadv.aea3316" TargetMode="External"/><Relationship Id="rId899" Type="http://schemas.openxmlformats.org/officeDocument/2006/relationships/hyperlink" Target="https://www.science.org/doi/abs/10.1126/sciadv.adz4338?af=R" TargetMode="External"/><Relationship Id="rId900" Type="http://schemas.openxmlformats.org/officeDocument/2006/relationships/hyperlink" Target="https://doi.org/10.1126/sciadv.adz4338" TargetMode="External"/><Relationship Id="rId901" Type="http://schemas.openxmlformats.org/officeDocument/2006/relationships/hyperlink" Target="https://www.science.org/doi/abs/10.1126/sciadv.adz3081?af=R" TargetMode="External"/><Relationship Id="rId902" Type="http://schemas.openxmlformats.org/officeDocument/2006/relationships/hyperlink" Target="https://doi.org/10.1126/sciadv.adz3081" TargetMode="External"/><Relationship Id="rId903" Type="http://schemas.openxmlformats.org/officeDocument/2006/relationships/hyperlink" Target="https://www.pnas.org/doi/abs/10.1073/pnas.2609598123?mi=eymic2&amp;af=R&amp;access=on&amp;content=articlesChapters&amp;publication=pnas&amp;sortBy=Earliest&amp;target=default" TargetMode="External"/><Relationship Id="rId904" Type="http://schemas.openxmlformats.org/officeDocument/2006/relationships/hyperlink" Target="https://doi.org/10.1073/pnas.2609598123" TargetMode="External"/><Relationship Id="rId905" Type="http://schemas.openxmlformats.org/officeDocument/2006/relationships/hyperlink" Target="https://www.pnas.org/doi/abs/10.1073/pnas.2607910123?mi=eymic2&amp;af=R&amp;access=on&amp;content=articlesChapters&amp;publication=pnas&amp;sortBy=Earliest&amp;target=default" TargetMode="External"/><Relationship Id="rId906" Type="http://schemas.openxmlformats.org/officeDocument/2006/relationships/hyperlink" Target="https://doi.org/10.1073/pnas.2607910123" TargetMode="External"/><Relationship Id="rId907" Type="http://schemas.openxmlformats.org/officeDocument/2006/relationships/hyperlink" Target="https://www.pnas.org/doi/abs/10.1073/pnas.2602689123?mi=eymic2&amp;af=R&amp;access=on&amp;content=articlesChapters&amp;publication=pnas&amp;sortBy=Earliest&amp;target=default" TargetMode="External"/><Relationship Id="rId908" Type="http://schemas.openxmlformats.org/officeDocument/2006/relationships/hyperlink" Target="https://doi.org/10.1073/pnas.2602689123" TargetMode="External"/><Relationship Id="rId909" Type="http://schemas.openxmlformats.org/officeDocument/2006/relationships/hyperlink" Target="https://www.pnas.org/doi/abs/10.1073/pnas.2602073123?mi=eymic2&amp;af=R&amp;access=on&amp;content=articlesChapters&amp;publication=pnas&amp;sortBy=Earliest&amp;target=default" TargetMode="External"/><Relationship Id="rId910" Type="http://schemas.openxmlformats.org/officeDocument/2006/relationships/hyperlink" Target="https://doi.org/10.1073/pnas.2602073123" TargetMode="External"/><Relationship Id="rId911" Type="http://schemas.openxmlformats.org/officeDocument/2006/relationships/hyperlink" Target="https://www.science.org/doi/abs/10.1126/sciadv.aeb1092?af=R" TargetMode="External"/><Relationship Id="rId912" Type="http://schemas.openxmlformats.org/officeDocument/2006/relationships/hyperlink" Target="https://doi.org/10.1126/sciadv.aeb1092" TargetMode="External"/><Relationship Id="rId913" Type="http://schemas.openxmlformats.org/officeDocument/2006/relationships/hyperlink" Target="https://www.pnas.org/doi/abs/10.1073/pnas.2600931123?mi=eymic2&amp;af=R&amp;access=on&amp;content=articlesChapters&amp;publication=pnas&amp;sortBy=Earliest&amp;target=default" TargetMode="External"/><Relationship Id="rId914" Type="http://schemas.openxmlformats.org/officeDocument/2006/relationships/hyperlink" Target="https://doi.org/10.1073/pnas.2600931123" TargetMode="External"/><Relationship Id="rId915" Type="http://schemas.openxmlformats.org/officeDocument/2006/relationships/hyperlink" Target="https://www.science.org/doi/abs/10.1126/sciadv.aec2424?af=R" TargetMode="External"/><Relationship Id="rId916" Type="http://schemas.openxmlformats.org/officeDocument/2006/relationships/hyperlink" Target="https://doi.org/10.1126/sciadv.aec2424" TargetMode="External"/><Relationship Id="rId917" Type="http://schemas.openxmlformats.org/officeDocument/2006/relationships/hyperlink" Target="https://www.pnas.org/doi/abs/10.1073/pnas.2601345123?mi=eymic2&amp;af=R&amp;access=on&amp;content=articlesChapters&amp;publication=pnas&amp;sortBy=Earliest&amp;target=default" TargetMode="External"/><Relationship Id="rId918" Type="http://schemas.openxmlformats.org/officeDocument/2006/relationships/hyperlink" Target="https://doi.org/10.1073/pnas.2601345123" TargetMode="External"/><Relationship Id="rId919" Type="http://schemas.openxmlformats.org/officeDocument/2006/relationships/hyperlink" Target="https://www.science.org/doi/abs/10.1126/sciadv.aef4164?af=R" TargetMode="External"/><Relationship Id="rId920" Type="http://schemas.openxmlformats.org/officeDocument/2006/relationships/hyperlink" Target="https://doi.org/10.1126/sciadv.aef4164" TargetMode="External"/><Relationship Id="rId921" Type="http://schemas.openxmlformats.org/officeDocument/2006/relationships/hyperlink" Target="https://www.science.org/doi/abs/10.1126/sciadv.aeb2377?af=R" TargetMode="External"/><Relationship Id="rId922" Type="http://schemas.openxmlformats.org/officeDocument/2006/relationships/hyperlink" Target="https://doi.org/10.1126/sciadv.aeb2377" TargetMode="External"/><Relationship Id="rId923" Type="http://schemas.openxmlformats.org/officeDocument/2006/relationships/hyperlink" Target="https://www.pnas.org/doi/abs/10.1073/pnas.2502611123?mi=eymic2&amp;af=R&amp;access=on&amp;content=articlesChapters&amp;publication=pnas&amp;sortBy=Earliest&amp;target=default" TargetMode="External"/><Relationship Id="rId924" Type="http://schemas.openxmlformats.org/officeDocument/2006/relationships/hyperlink" Target="https://doi.org/10.1073/pnas.2502611123" TargetMode="External"/><Relationship Id="rId925" Type="http://schemas.openxmlformats.org/officeDocument/2006/relationships/hyperlink" Target="https://www.science.org/doi/abs/10.1126/sciadv.aeb7004?af=R" TargetMode="External"/><Relationship Id="rId926" Type="http://schemas.openxmlformats.org/officeDocument/2006/relationships/hyperlink" Target="https://doi.org/10.1126/sciadv.aeb7004" TargetMode="External"/><Relationship Id="rId927" Type="http://schemas.openxmlformats.org/officeDocument/2006/relationships/hyperlink" Target="https://www.pnas.org/doi/abs/10.1073/pnas.2531128123?mi=eymic2&amp;af=R&amp;access=on&amp;content=articlesChapters&amp;publication=pnas&amp;sortBy=Earliest&amp;target=default" TargetMode="External"/><Relationship Id="rId928" Type="http://schemas.openxmlformats.org/officeDocument/2006/relationships/hyperlink" Target="https://doi.org/10.1073/pnas.2531128123" TargetMode="External"/><Relationship Id="rId929" Type="http://schemas.openxmlformats.org/officeDocument/2006/relationships/hyperlink" Target="https://www.pnas.org/doi/abs/10.1073/pnas.2534912123?mi=eymic2&amp;af=R&amp;access=on&amp;content=articlesChapters&amp;publication=pnas&amp;sortBy=Earliest&amp;target=default" TargetMode="External"/><Relationship Id="rId930" Type="http://schemas.openxmlformats.org/officeDocument/2006/relationships/hyperlink" Target="https://doi.org/10.1073/pnas.2534912123" TargetMode="External"/><Relationship Id="rId931" Type="http://schemas.openxmlformats.org/officeDocument/2006/relationships/hyperlink" Target="https://www.pnas.org/doi/abs/10.1073/pnas.2537151123?mi=eymic2&amp;af=R&amp;access=on&amp;content=articlesChapters&amp;publication=pnas&amp;sortBy=Earliest&amp;target=default" TargetMode="External"/><Relationship Id="rId932" Type="http://schemas.openxmlformats.org/officeDocument/2006/relationships/hyperlink" Target="https://doi.org/10.1073/pnas.2537151123" TargetMode="External"/><Relationship Id="rId933" Type="http://schemas.openxmlformats.org/officeDocument/2006/relationships/hyperlink" Target="https://www.pnas.org/doi/abs/10.1073/pnas.2537963123?mi=eymic2&amp;af=R&amp;access=on&amp;content=articlesChapters&amp;publication=pnas&amp;sortBy=Earliest&amp;target=default" TargetMode="External"/><Relationship Id="rId934" Type="http://schemas.openxmlformats.org/officeDocument/2006/relationships/hyperlink" Target="https://doi.org/10.1073/pnas.2537963123" TargetMode="External"/><Relationship Id="rId935" Type="http://schemas.openxmlformats.org/officeDocument/2006/relationships/hyperlink" Target="https://www.pnas.org/doi/abs/10.1073/pnas.2600501123?mi=eymic2&amp;af=R&amp;access=on&amp;content=articlesChapters&amp;publication=pnas&amp;sortBy=Earliest&amp;target=default" TargetMode="External"/><Relationship Id="rId936" Type="http://schemas.openxmlformats.org/officeDocument/2006/relationships/hyperlink" Target="https://doi.org/10.1073/pnas.2600501123" TargetMode="External"/><Relationship Id="rId937" Type="http://schemas.openxmlformats.org/officeDocument/2006/relationships/hyperlink" Target="https://www.pnas.org/doi/abs/10.1073/pnas.2530923123?mi=eymic2&amp;af=R&amp;access=on&amp;content=articlesChapters&amp;publication=pnas&amp;sortBy=Earliest&amp;target=default" TargetMode="External"/><Relationship Id="rId938" Type="http://schemas.openxmlformats.org/officeDocument/2006/relationships/hyperlink" Target="https://doi.org/10.1073/pnas.2530923123" TargetMode="External"/><Relationship Id="rId939" Type="http://schemas.openxmlformats.org/officeDocument/2006/relationships/hyperlink" Target="https://onlinelibrary.wiley.com/doi/10.1002/anie.7450561?af=R" TargetMode="External"/><Relationship Id="rId940" Type="http://schemas.openxmlformats.org/officeDocument/2006/relationships/hyperlink" Target="https://doi.org/10.1002/anie.7450561" TargetMode="External"/><Relationship Id="rId941" Type="http://schemas.openxmlformats.org/officeDocument/2006/relationships/hyperlink" Target="https://onlinelibrary.wiley.com/doi/10.1002/anie.6992175?af=R" TargetMode="External"/><Relationship Id="rId942" Type="http://schemas.openxmlformats.org/officeDocument/2006/relationships/hyperlink" Target="https://doi.org/10.1002/anie.6992175" TargetMode="External"/><Relationship Id="rId943" Type="http://schemas.openxmlformats.org/officeDocument/2006/relationships/hyperlink" Target="https://onlinelibrary.wiley.com/doi/10.1002/anie.202525317?af=R" TargetMode="External"/><Relationship Id="rId944" Type="http://schemas.openxmlformats.org/officeDocument/2006/relationships/hyperlink" Target="https://doi.org/10.1002/anie.202525317" TargetMode="External"/><Relationship Id="rId945" Type="http://schemas.openxmlformats.org/officeDocument/2006/relationships/hyperlink" Target="https://onlinelibrary.wiley.com/doi/10.1002/anie.5579143?af=R" TargetMode="External"/><Relationship Id="rId946" Type="http://schemas.openxmlformats.org/officeDocument/2006/relationships/hyperlink" Target="https://doi.org/10.1002/anie.5579143" TargetMode="External"/><Relationship Id="rId947" Type="http://schemas.openxmlformats.org/officeDocument/2006/relationships/hyperlink" Target="https://onlinelibrary.wiley.com/doi/10.1002/anie.5726030?af=R" TargetMode="External"/><Relationship Id="rId948" Type="http://schemas.openxmlformats.org/officeDocument/2006/relationships/hyperlink" Target="https://doi.org/10.1002/anie.5726030" TargetMode="External"/><Relationship Id="rId949" Type="http://schemas.openxmlformats.org/officeDocument/2006/relationships/hyperlink" Target="https://onlinelibrary.wiley.com/doi/10.1002/anie.2382848?af=R" TargetMode="External"/><Relationship Id="rId950" Type="http://schemas.openxmlformats.org/officeDocument/2006/relationships/hyperlink" Target="https://doi.org/10.1002/anie.2382848" TargetMode="External"/><Relationship Id="rId951" Type="http://schemas.openxmlformats.org/officeDocument/2006/relationships/hyperlink" Target="https://onlinelibrary.wiley.com/doi/10.1002/anie.3289722?af=R" TargetMode="External"/><Relationship Id="rId952" Type="http://schemas.openxmlformats.org/officeDocument/2006/relationships/hyperlink" Target="https://doi.org/10.1002/anie.3289722" TargetMode="External"/><Relationship Id="rId953" Type="http://schemas.openxmlformats.org/officeDocument/2006/relationships/hyperlink" Target="https://onlinelibrary.wiley.com/doi/10.1002/anie.6697490?af=R" TargetMode="External"/><Relationship Id="rId954" Type="http://schemas.openxmlformats.org/officeDocument/2006/relationships/hyperlink" Target="https://doi.org/10.1002/anie.6697490" TargetMode="External"/><Relationship Id="rId955" Type="http://schemas.openxmlformats.org/officeDocument/2006/relationships/hyperlink" Target="https://advanced.onlinelibrary.wiley.com/doi/10.1002/adma.73595?af=R" TargetMode="External"/><Relationship Id="rId956" Type="http://schemas.openxmlformats.org/officeDocument/2006/relationships/hyperlink" Target="https://doi.org/10.1002/adma.73595" TargetMode="External"/><Relationship Id="rId957" Type="http://schemas.openxmlformats.org/officeDocument/2006/relationships/hyperlink" Target="https://onlinelibrary.wiley.com/doi/10.1002/anie.8302619?af=R" TargetMode="External"/><Relationship Id="rId958" Type="http://schemas.openxmlformats.org/officeDocument/2006/relationships/hyperlink" Target="https://doi.org/10.1002/anie.8302619" TargetMode="External"/><Relationship Id="rId959" Type="http://schemas.openxmlformats.org/officeDocument/2006/relationships/hyperlink" Target="https://advanced.onlinelibrary.wiley.com/doi/10.1002/adma.202519723?af=R" TargetMode="External"/><Relationship Id="rId960" Type="http://schemas.openxmlformats.org/officeDocument/2006/relationships/hyperlink" Target="https://doi.org/10.1002/adma.202519723" TargetMode="External"/><Relationship Id="rId961" Type="http://schemas.openxmlformats.org/officeDocument/2006/relationships/hyperlink" Target="https://advanced.onlinelibrary.wiley.com/doi/10.1002/adma.73569?af=R" TargetMode="External"/><Relationship Id="rId962" Type="http://schemas.openxmlformats.org/officeDocument/2006/relationships/hyperlink" Target="https://doi.org/10.1002/adma.73569" TargetMode="External"/><Relationship Id="rId963" Type="http://schemas.openxmlformats.org/officeDocument/2006/relationships/hyperlink" Target="https://advanced.onlinelibrary.wiley.com/doi/10.1002/aenm.71159?af=R" TargetMode="External"/><Relationship Id="rId964" Type="http://schemas.openxmlformats.org/officeDocument/2006/relationships/hyperlink" Target="https://doi.org/10.1002/aenm.71159" TargetMode="External"/><Relationship Id="rId965" Type="http://schemas.openxmlformats.org/officeDocument/2006/relationships/hyperlink" Target="https://advanced.onlinelibrary.wiley.com/doi/10.1002/adma.73583?af=R" TargetMode="External"/><Relationship Id="rId966" Type="http://schemas.openxmlformats.org/officeDocument/2006/relationships/hyperlink" Target="https://doi.org/10.1002/adma.73583" TargetMode="External"/><Relationship Id="rId967" Type="http://schemas.openxmlformats.org/officeDocument/2006/relationships/hyperlink" Target="https://advanced.onlinelibrary.wiley.com/doi/10.1002/adma.73566?af=R" TargetMode="External"/><Relationship Id="rId968" Type="http://schemas.openxmlformats.org/officeDocument/2006/relationships/hyperlink" Target="https://doi.org/10.1002/adma.73566" TargetMode="External"/><Relationship Id="rId969" Type="http://schemas.openxmlformats.org/officeDocument/2006/relationships/hyperlink" Target="https://onlinelibrary.wiley.com/doi/10.1002/anie.6317497?af=R" TargetMode="External"/><Relationship Id="rId970" Type="http://schemas.openxmlformats.org/officeDocument/2006/relationships/hyperlink" Target="https://doi.org/10.1002/anie.6317497" TargetMode="External"/><Relationship Id="rId971" Type="http://schemas.openxmlformats.org/officeDocument/2006/relationships/hyperlink" Target="https://onlinelibrary.wiley.com/doi/10.1002/anie.8039085?af=R" TargetMode="External"/><Relationship Id="rId972" Type="http://schemas.openxmlformats.org/officeDocument/2006/relationships/hyperlink" Target="https://doi.org/10.1002/anie.8039085" TargetMode="External"/><Relationship Id="rId973" Type="http://schemas.openxmlformats.org/officeDocument/2006/relationships/hyperlink" Target="https://onlinelibrary.wiley.com/doi/10.1002/anie.2407619?af=R" TargetMode="External"/><Relationship Id="rId974" Type="http://schemas.openxmlformats.org/officeDocument/2006/relationships/hyperlink" Target="https://doi.org/10.1002/anie.2407619" TargetMode="External"/><Relationship Id="rId975" Type="http://schemas.openxmlformats.org/officeDocument/2006/relationships/hyperlink" Target="https://onlinelibrary.wiley.com/doi/10.1002/anie.3980943?af=R" TargetMode="External"/><Relationship Id="rId976" Type="http://schemas.openxmlformats.org/officeDocument/2006/relationships/hyperlink" Target="https://doi.org/10.1002/anie.3980943" TargetMode="External"/><Relationship Id="rId977" Type="http://schemas.openxmlformats.org/officeDocument/2006/relationships/hyperlink" Target="https://onlinelibrary.wiley.com/doi/10.1002/anie.5249878?af=R" TargetMode="External"/><Relationship Id="rId978" Type="http://schemas.openxmlformats.org/officeDocument/2006/relationships/hyperlink" Target="https://doi.org/10.1002/anie.5249878" TargetMode="External"/><Relationship Id="rId979" Type="http://schemas.openxmlformats.org/officeDocument/2006/relationships/hyperlink" Target="https://onlinelibrary.wiley.com/doi/10.1002/anie.4465835?af=R" TargetMode="External"/><Relationship Id="rId980" Type="http://schemas.openxmlformats.org/officeDocument/2006/relationships/hyperlink" Target="https://doi.org/10.1002/anie.4465835" TargetMode="External"/><Relationship Id="rId981" Type="http://schemas.openxmlformats.org/officeDocument/2006/relationships/hyperlink" Target="https://onlinelibrary.wiley.com/doi/10.1002/anie.3486845?af=R" TargetMode="External"/><Relationship Id="rId982" Type="http://schemas.openxmlformats.org/officeDocument/2006/relationships/hyperlink" Target="https://doi.org/10.1002/anie.3486845" TargetMode="External"/><Relationship Id="rId983" Type="http://schemas.openxmlformats.org/officeDocument/2006/relationships/hyperlink" Target="https://onlinelibrary.wiley.com/doi/10.1002/anie.7088080?af=R" TargetMode="External"/><Relationship Id="rId984" Type="http://schemas.openxmlformats.org/officeDocument/2006/relationships/hyperlink" Target="https://doi.org/10.1002/anie.7088080" TargetMode="External"/><Relationship Id="rId985" Type="http://schemas.openxmlformats.org/officeDocument/2006/relationships/hyperlink" Target="https://onlinelibrary.wiley.com/doi/10.1002/anie.6953384?af=R" TargetMode="External"/><Relationship Id="rId986" Type="http://schemas.openxmlformats.org/officeDocument/2006/relationships/hyperlink" Target="https://doi.org/10.1002/anie.6953384" TargetMode="External"/><Relationship Id="rId987" Type="http://schemas.openxmlformats.org/officeDocument/2006/relationships/hyperlink" Target="https://onlinelibrary.wiley.com/doi/10.1002/anie.2805282?af=R" TargetMode="External"/><Relationship Id="rId988" Type="http://schemas.openxmlformats.org/officeDocument/2006/relationships/hyperlink" Target="https://doi.org/10.1002/anie.2805282" TargetMode="External"/><Relationship Id="rId989" Type="http://schemas.openxmlformats.org/officeDocument/2006/relationships/hyperlink" Target="http://pubs.rsc.org/en/Content/ArticleLanding/2026/CS/D5CS00007F" TargetMode="External"/><Relationship Id="rId990" Type="http://schemas.openxmlformats.org/officeDocument/2006/relationships/hyperlink" Target="https://www.cell.com/matter/fulltext/S2590-2385(26)00220-1?rss=yes" TargetMode="External"/><Relationship Id="rId991" Type="http://schemas.openxmlformats.org/officeDocument/2006/relationships/hyperlink" Target="https://doi.org/10.1016/j.matt.2026.102857" TargetMode="External"/><Relationship Id="rId992" Type="http://schemas.openxmlformats.org/officeDocument/2006/relationships/hyperlink" Target="https://www.sciencedirect.com/science/article/pii/S0306261926008032?dgcid=rss_sd_all" TargetMode="External"/><Relationship Id="rId993" Type="http://schemas.openxmlformats.org/officeDocument/2006/relationships/hyperlink" Target="https://academic.oup.com/nsr/advance-article/doi/10.1093/nsr/nwag342/8702392?rss=1" TargetMode="External"/><Relationship Id="rId994" Type="http://schemas.openxmlformats.org/officeDocument/2006/relationships/hyperlink" Target="https://doi.org/10.1093/nsr/nwag342" TargetMode="External"/><Relationship Id="rId995" Type="http://schemas.openxmlformats.org/officeDocument/2006/relationships/hyperlink" Target="https://academic.oup.com/nsr/advance-article/doi/10.1093/nsr/nwag336/8702387?rss=1" TargetMode="External"/><Relationship Id="rId996" Type="http://schemas.openxmlformats.org/officeDocument/2006/relationships/hyperlink" Target="https://doi.org/10.1093/nsr/nwag336" TargetMode="External"/><Relationship Id="rId997" Type="http://schemas.openxmlformats.org/officeDocument/2006/relationships/hyperlink" Target="https://academic.oup.com/nsr/advance-article/doi/10.1093/nsr/nwag343/8702397?rss=1" TargetMode="External"/><Relationship Id="rId998" Type="http://schemas.openxmlformats.org/officeDocument/2006/relationships/hyperlink" Target="https://doi.org/10.1093/nsr/nwag343" TargetMode="External"/><Relationship Id="rId999" Type="http://schemas.openxmlformats.org/officeDocument/2006/relationships/hyperlink" Target="https://advanced.onlinelibrary.wiley.com/doi/10.1002/adma.202523099?af=R" TargetMode="External"/><Relationship Id="rId1000" Type="http://schemas.openxmlformats.org/officeDocument/2006/relationships/hyperlink" Target="https://doi.org/10.1002/adma.202523099" TargetMode="External"/><Relationship Id="rId1001" Type="http://schemas.openxmlformats.org/officeDocument/2006/relationships/hyperlink" Target="https://www.science.org/doi/abs/10.1126/science.aef3173?af=R" TargetMode="External"/><Relationship Id="rId1002" Type="http://schemas.openxmlformats.org/officeDocument/2006/relationships/hyperlink" Target="https://doi.org/10.1126/science.aef3173" TargetMode="External"/><Relationship Id="rId1003" Type="http://schemas.openxmlformats.org/officeDocument/2006/relationships/hyperlink" Target="https://www.science.org/doi/abs/10.1126/science.aef9946?af=R" TargetMode="External"/><Relationship Id="rId1004" Type="http://schemas.openxmlformats.org/officeDocument/2006/relationships/hyperlink" Target="https://doi.org/10.1126/science.aef9946" TargetMode="External"/><Relationship Id="rId1005" Type="http://schemas.openxmlformats.org/officeDocument/2006/relationships/hyperlink" Target="https://www.science.org/doi/abs/10.1126/science.aej3861?af=R" TargetMode="External"/><Relationship Id="rId1006" Type="http://schemas.openxmlformats.org/officeDocument/2006/relationships/hyperlink" Target="https://doi.org/10.1126/science.aej3861" TargetMode="External"/><Relationship Id="rId1007" Type="http://schemas.openxmlformats.org/officeDocument/2006/relationships/hyperlink" Target="https://www.science.org/doi/abs/10.1126/science.aeh9559?af=R" TargetMode="External"/><Relationship Id="rId1008" Type="http://schemas.openxmlformats.org/officeDocument/2006/relationships/hyperlink" Target="https://doi.org/10.1126/science.aeh9559" TargetMode="External"/><Relationship Id="rId1009" Type="http://schemas.openxmlformats.org/officeDocument/2006/relationships/hyperlink" Target="https://www.science.org/doi/abs/10.1126/science.aej3863?af=R" TargetMode="External"/><Relationship Id="rId1010" Type="http://schemas.openxmlformats.org/officeDocument/2006/relationships/hyperlink" Target="https://doi.org/10.1126/science.aej3863" TargetMode="External"/><Relationship Id="rId1011" Type="http://schemas.openxmlformats.org/officeDocument/2006/relationships/hyperlink" Target="https://www.science.org/doi/abs/10.1126/science.aej3862?af=R" TargetMode="External"/><Relationship Id="rId1012" Type="http://schemas.openxmlformats.org/officeDocument/2006/relationships/hyperlink" Target="https://doi.org/10.1126/science.aej3862" TargetMode="External"/><Relationship Id="rId1013" Type="http://schemas.openxmlformats.org/officeDocument/2006/relationships/hyperlink" Target="https://www.science.org/doi/abs/10.1126/science.aej3866?af=R" TargetMode="External"/><Relationship Id="rId1014" Type="http://schemas.openxmlformats.org/officeDocument/2006/relationships/hyperlink" Target="https://doi.org/10.1126/science.aej3866" TargetMode="External"/><Relationship Id="rId1015" Type="http://schemas.openxmlformats.org/officeDocument/2006/relationships/hyperlink" Target="https://www.science.org/doi/abs/10.1126/science.aee2479?af=R" TargetMode="External"/><Relationship Id="rId1016" Type="http://schemas.openxmlformats.org/officeDocument/2006/relationships/hyperlink" Target="https://doi.org/10.1126/science.aee2479" TargetMode="External"/><Relationship Id="rId1017" Type="http://schemas.openxmlformats.org/officeDocument/2006/relationships/hyperlink" Target="https://www.science.org/doi/abs/10.1126/science.aej3885?af=R" TargetMode="External"/><Relationship Id="rId1018" Type="http://schemas.openxmlformats.org/officeDocument/2006/relationships/hyperlink" Target="https://doi.org/10.1126/science.aej3885" TargetMode="External"/><Relationship Id="rId1019" Type="http://schemas.openxmlformats.org/officeDocument/2006/relationships/hyperlink" Target="https://www.science.org/doi/abs/10.1126/science.aeg1982?af=R" TargetMode="External"/><Relationship Id="rId1020" Type="http://schemas.openxmlformats.org/officeDocument/2006/relationships/hyperlink" Target="https://doi.org/10.1126/science.aeg1982" TargetMode="External"/><Relationship Id="rId1021" Type="http://schemas.openxmlformats.org/officeDocument/2006/relationships/hyperlink" Target="https://www.science.org/doi/abs/10.1126/science.aei3167?af=R" TargetMode="External"/><Relationship Id="rId1022" Type="http://schemas.openxmlformats.org/officeDocument/2006/relationships/hyperlink" Target="https://doi.org/10.1126/science.aei3167" TargetMode="External"/><Relationship Id="rId1023" Type="http://schemas.openxmlformats.org/officeDocument/2006/relationships/hyperlink" Target="https://www.science.org/doi/abs/10.1126/science.aej3864?af=R" TargetMode="External"/><Relationship Id="rId1024" Type="http://schemas.openxmlformats.org/officeDocument/2006/relationships/hyperlink" Target="https://doi.org/10.1126/science.aej3864" TargetMode="External"/><Relationship Id="rId1025" Type="http://schemas.openxmlformats.org/officeDocument/2006/relationships/hyperlink" Target="https://www.science.org/doi/abs/10.1126/science.aej3865?af=R" TargetMode="External"/><Relationship Id="rId1026" Type="http://schemas.openxmlformats.org/officeDocument/2006/relationships/hyperlink" Target="https://doi.org/10.1126/science.aej3865" TargetMode="External"/><Relationship Id="rId1027" Type="http://schemas.openxmlformats.org/officeDocument/2006/relationships/hyperlink" Target="https://www.science.org/doi/abs/10.1126/science.aej3526?af=R" TargetMode="External"/><Relationship Id="rId1028" Type="http://schemas.openxmlformats.org/officeDocument/2006/relationships/hyperlink" Target="https://doi.org/10.1126/science.aej3526" TargetMode="External"/><Relationship Id="rId1029" Type="http://schemas.openxmlformats.org/officeDocument/2006/relationships/hyperlink" Target="https://www.science.org/doi/abs/10.1126/science.aed3197?af=R" TargetMode="External"/><Relationship Id="rId1030" Type="http://schemas.openxmlformats.org/officeDocument/2006/relationships/hyperlink" Target="https://doi.org/10.1126/science.aed3197" TargetMode="External"/><Relationship Id="rId1031" Type="http://schemas.openxmlformats.org/officeDocument/2006/relationships/hyperlink" Target="https://www.science.org/doi/abs/10.1126/science.aej3858?af=R" TargetMode="External"/><Relationship Id="rId1032" Type="http://schemas.openxmlformats.org/officeDocument/2006/relationships/hyperlink" Target="https://doi.org/10.1126/science.aej3858" TargetMode="External"/><Relationship Id="rId1033" Type="http://schemas.openxmlformats.org/officeDocument/2006/relationships/hyperlink" Target="https://www.science.org/doi/abs/10.1126/science.aef3495?af=R" TargetMode="External"/><Relationship Id="rId1034" Type="http://schemas.openxmlformats.org/officeDocument/2006/relationships/hyperlink" Target="https://doi.org/10.1126/science.aef3495" TargetMode="External"/><Relationship Id="rId1035" Type="http://schemas.openxmlformats.org/officeDocument/2006/relationships/hyperlink" Target="https://www.science.org/doi/abs/10.1126/science.aeh4973?af=R" TargetMode="External"/><Relationship Id="rId1036" Type="http://schemas.openxmlformats.org/officeDocument/2006/relationships/hyperlink" Target="https://doi.org/10.1126/science.aeh4973" TargetMode="External"/><Relationship Id="rId1037" Type="http://schemas.openxmlformats.org/officeDocument/2006/relationships/hyperlink" Target="https://www.science.org/doi/abs/10.1126/science.aeh4170?af=R" TargetMode="External"/><Relationship Id="rId1038" Type="http://schemas.openxmlformats.org/officeDocument/2006/relationships/hyperlink" Target="https://doi.org/10.1126/science.aeh4170" TargetMode="External"/><Relationship Id="rId1039" Type="http://schemas.openxmlformats.org/officeDocument/2006/relationships/hyperlink" Target="https://www.science.org/doi/abs/10.1126/science.aei3385?af=R" TargetMode="External"/><Relationship Id="rId1040" Type="http://schemas.openxmlformats.org/officeDocument/2006/relationships/hyperlink" Target="https://doi.org/10.1126/science.aei3385" TargetMode="External"/><Relationship Id="rId1041" Type="http://schemas.openxmlformats.org/officeDocument/2006/relationships/hyperlink" Target="https://www.science.org/doi/abs/10.1126/science.aee3446?af=R" TargetMode="External"/><Relationship Id="rId1042" Type="http://schemas.openxmlformats.org/officeDocument/2006/relationships/hyperlink" Target="https://doi.org/10.1126/science.aee3446" TargetMode="External"/><Relationship Id="rId1043" Type="http://schemas.openxmlformats.org/officeDocument/2006/relationships/hyperlink" Target="https://www.science.org/doi/abs/10.1126/science.aei2027?af=R" TargetMode="External"/><Relationship Id="rId1044" Type="http://schemas.openxmlformats.org/officeDocument/2006/relationships/hyperlink" Target="https://doi.org/10.1126/science.aei2027" TargetMode="External"/><Relationship Id="rId1045" Type="http://schemas.openxmlformats.org/officeDocument/2006/relationships/hyperlink" Target="https://www.science.org/doi/abs/10.1126/science.aej3528?af=R" TargetMode="External"/><Relationship Id="rId1046" Type="http://schemas.openxmlformats.org/officeDocument/2006/relationships/hyperlink" Target="https://doi.org/10.1126/science.aej3528" TargetMode="External"/><Relationship Id="rId1047" Type="http://schemas.openxmlformats.org/officeDocument/2006/relationships/hyperlink" Target="https://www.science.org/doi/abs/10.1126/science.aeh2751?af=R" TargetMode="External"/><Relationship Id="rId1048" Type="http://schemas.openxmlformats.org/officeDocument/2006/relationships/hyperlink" Target="https://doi.org/10.1126/science.aeh2751" TargetMode="External"/><Relationship Id="rId1049" Type="http://schemas.openxmlformats.org/officeDocument/2006/relationships/hyperlink" Target="https://www.science.org/doi/abs/10.1126/science.aef6981?af=R" TargetMode="External"/><Relationship Id="rId1050" Type="http://schemas.openxmlformats.org/officeDocument/2006/relationships/hyperlink" Target="https://doi.org/10.1126/science.aef6981" TargetMode="External"/><Relationship Id="rId1051" Type="http://schemas.openxmlformats.org/officeDocument/2006/relationships/hyperlink" Target="https://www.science.org/doi/abs/10.1126/science.adx5816?af=R" TargetMode="External"/><Relationship Id="rId1052" Type="http://schemas.openxmlformats.org/officeDocument/2006/relationships/hyperlink" Target="https://doi.org/10.1126/science.adx5816" TargetMode="External"/><Relationship Id="rId1053" Type="http://schemas.openxmlformats.org/officeDocument/2006/relationships/hyperlink" Target="https://www.science.org/doi/abs/10.1126/science.aec9773?af=R" TargetMode="External"/><Relationship Id="rId1054" Type="http://schemas.openxmlformats.org/officeDocument/2006/relationships/hyperlink" Target="https://doi.org/10.1126/science.aec9773" TargetMode="External"/><Relationship Id="rId1055" Type="http://schemas.openxmlformats.org/officeDocument/2006/relationships/hyperlink" Target="https://www.science.org/doi/abs/10.1126/science.ady1618?af=R" TargetMode="External"/><Relationship Id="rId1056" Type="http://schemas.openxmlformats.org/officeDocument/2006/relationships/hyperlink" Target="https://doi.org/10.1126/science.ady1618" TargetMode="External"/><Relationship Id="rId1057" Type="http://schemas.openxmlformats.org/officeDocument/2006/relationships/hyperlink" Target="https://www.science.org/doi/abs/10.1126/science.aej3527?af=R" TargetMode="External"/><Relationship Id="rId1058" Type="http://schemas.openxmlformats.org/officeDocument/2006/relationships/hyperlink" Target="https://doi.org/10.1126/science.aej3527" TargetMode="External"/><Relationship Id="rId1059" Type="http://schemas.openxmlformats.org/officeDocument/2006/relationships/hyperlink" Target="https://www.science.org/doi/abs/10.1126/science.aed8630?af=R" TargetMode="External"/><Relationship Id="rId1060" Type="http://schemas.openxmlformats.org/officeDocument/2006/relationships/hyperlink" Target="https://doi.org/10.1126/science.aed8630" TargetMode="External"/><Relationship Id="rId1061" Type="http://schemas.openxmlformats.org/officeDocument/2006/relationships/hyperlink" Target="https://www.science.org/doi/abs/10.1126/science.aej0456?af=R" TargetMode="External"/><Relationship Id="rId1062" Type="http://schemas.openxmlformats.org/officeDocument/2006/relationships/hyperlink" Target="https://doi.org/10.1126/science.aej0456" TargetMode="External"/><Relationship Id="rId1063" Type="http://schemas.openxmlformats.org/officeDocument/2006/relationships/hyperlink" Target="https://www.science.org/doi/abs/10.1126/science.aec9483?af=R" TargetMode="External"/><Relationship Id="rId1064" Type="http://schemas.openxmlformats.org/officeDocument/2006/relationships/hyperlink" Target="https://doi.org/10.1126/science.aec9483" TargetMode="External"/><Relationship Id="rId1065" Type="http://schemas.openxmlformats.org/officeDocument/2006/relationships/hyperlink" Target="https://www.science.org/doi/abs/10.1126/science.aei2409?af=R" TargetMode="External"/><Relationship Id="rId1066" Type="http://schemas.openxmlformats.org/officeDocument/2006/relationships/hyperlink" Target="https://doi.org/10.1126/science.aei2409" TargetMode="External"/><Relationship Id="rId1067" Type="http://schemas.openxmlformats.org/officeDocument/2006/relationships/hyperlink" Target="https://www.science.org/doi/abs/10.1126/science.aej2323?af=R" TargetMode="External"/><Relationship Id="rId1068" Type="http://schemas.openxmlformats.org/officeDocument/2006/relationships/hyperlink" Target="https://doi.org/10.1126/science.aej2323" TargetMode="External"/><Relationship Id="rId1069" Type="http://schemas.openxmlformats.org/officeDocument/2006/relationships/hyperlink" Target="https://www.science.org/doi/abs/10.1126/science.adz7118?af=R" TargetMode="External"/><Relationship Id="rId1070" Type="http://schemas.openxmlformats.org/officeDocument/2006/relationships/hyperlink" Target="https://doi.org/10.1126/science.adz7118" TargetMode="External"/><Relationship Id="rId1071" Type="http://schemas.openxmlformats.org/officeDocument/2006/relationships/hyperlink" Target="https://www.science.org/doi/abs/10.1126/science.aec7671?af=R" TargetMode="External"/><Relationship Id="rId1072" Type="http://schemas.openxmlformats.org/officeDocument/2006/relationships/hyperlink" Target="https://doi.org/10.1126/science.aec7671" TargetMode="External"/><Relationship Id="rId1073" Type="http://schemas.openxmlformats.org/officeDocument/2006/relationships/hyperlink" Target="https://www.pnas.org/doi/abs/10.1073/pnas.2533147123?mi=eymic2&amp;af=R&amp;access=on&amp;content=articlesChapters&amp;publication=pnas&amp;sortBy=Earliest&amp;target=default" TargetMode="External"/><Relationship Id="rId1074" Type="http://schemas.openxmlformats.org/officeDocument/2006/relationships/hyperlink" Target="https://doi.org/10.1073/pnas.2533147123" TargetMode="External"/><Relationship Id="rId1075" Type="http://schemas.openxmlformats.org/officeDocument/2006/relationships/hyperlink" Target="https://www.pnas.org/doi/abs/10.1073/pnas.2530029123?mi=eymic2&amp;af=R&amp;access=on&amp;content=articlesChapters&amp;publication=pnas&amp;sortBy=Earliest&amp;target=default" TargetMode="External"/><Relationship Id="rId1076" Type="http://schemas.openxmlformats.org/officeDocument/2006/relationships/hyperlink" Target="https://doi.org/10.1073/pnas.2530029123" TargetMode="External"/><Relationship Id="rId1077" Type="http://schemas.openxmlformats.org/officeDocument/2006/relationships/hyperlink" Target="https://www.pnas.org/doi/abs/10.1073/pnas.2601093123?mi=eymic2&amp;af=R&amp;access=on&amp;content=articlesChapters&amp;publication=pnas&amp;sortBy=Earliest&amp;target=default" TargetMode="External"/><Relationship Id="rId1078" Type="http://schemas.openxmlformats.org/officeDocument/2006/relationships/hyperlink" Target="https://doi.org/10.1073/pnas.2601093123" TargetMode="External"/><Relationship Id="rId1079" Type="http://schemas.openxmlformats.org/officeDocument/2006/relationships/hyperlink" Target="https://www.pnas.org/doi/abs/10.1073/pnas.2530949123?mi=eymic2&amp;af=R&amp;access=on&amp;content=articlesChapters&amp;publication=pnas&amp;sortBy=Earliest&amp;target=default" TargetMode="External"/><Relationship Id="rId1080" Type="http://schemas.openxmlformats.org/officeDocument/2006/relationships/hyperlink" Target="https://doi.org/10.1073/pnas.2530949123" TargetMode="External"/><Relationship Id="rId1081" Type="http://schemas.openxmlformats.org/officeDocument/2006/relationships/hyperlink" Target="https://www.pnas.org/doi/abs/10.1073/pnas.2531955123?mi=eymic2&amp;af=R&amp;access=on&amp;content=articlesChapters&amp;publication=pnas&amp;sortBy=Earliest&amp;target=default" TargetMode="External"/><Relationship Id="rId1082" Type="http://schemas.openxmlformats.org/officeDocument/2006/relationships/hyperlink" Target="https://doi.org/10.1073/pnas.2531955123" TargetMode="External"/><Relationship Id="rId1083" Type="http://schemas.openxmlformats.org/officeDocument/2006/relationships/hyperlink" Target="https://www.science.org/doi/abs/10.1126/science.ads4664?af=R" TargetMode="External"/><Relationship Id="rId1084" Type="http://schemas.openxmlformats.org/officeDocument/2006/relationships/hyperlink" Target="https://doi.org/10.1126/science.ads4664" TargetMode="External"/><Relationship Id="rId1085" Type="http://schemas.openxmlformats.org/officeDocument/2006/relationships/hyperlink" Target="https://advanced.onlinelibrary.wiley.com/doi/10.1002/adma.73625?af=R" TargetMode="External"/><Relationship Id="rId1086" Type="http://schemas.openxmlformats.org/officeDocument/2006/relationships/hyperlink" Target="https://doi.org/10.1002/adma.73625" TargetMode="External"/><Relationship Id="rId1087" Type="http://schemas.openxmlformats.org/officeDocument/2006/relationships/hyperlink" Target="https://advanced.onlinelibrary.wiley.com/doi/10.1002/adma.73594?af=R" TargetMode="External"/><Relationship Id="rId1088" Type="http://schemas.openxmlformats.org/officeDocument/2006/relationships/hyperlink" Target="https://doi.org/10.1002/adma.73594" TargetMode="External"/><Relationship Id="rId1089" Type="http://schemas.openxmlformats.org/officeDocument/2006/relationships/hyperlink" Target="https://advanced.onlinelibrary.wiley.com/doi/10.1002/adma.73604?af=R" TargetMode="External"/><Relationship Id="rId1090" Type="http://schemas.openxmlformats.org/officeDocument/2006/relationships/hyperlink" Target="https://doi.org/10.1002/adma.73604" TargetMode="External"/><Relationship Id="rId1091" Type="http://schemas.openxmlformats.org/officeDocument/2006/relationships/hyperlink" Target="https://advanced.onlinelibrary.wiley.com/doi/10.1002/adma.73632?af=R" TargetMode="External"/><Relationship Id="rId1092" Type="http://schemas.openxmlformats.org/officeDocument/2006/relationships/hyperlink" Target="https://doi.org/10.1002/adma.73632" TargetMode="External"/><Relationship Id="rId1093" Type="http://schemas.openxmlformats.org/officeDocument/2006/relationships/hyperlink" Target="https://advanced.onlinelibrary.wiley.com/doi/10.1002/adma.73596?af=R" TargetMode="External"/><Relationship Id="rId1094" Type="http://schemas.openxmlformats.org/officeDocument/2006/relationships/hyperlink" Target="https://doi.org/10.1002/adma.73596" TargetMode="External"/><Relationship Id="rId1095" Type="http://schemas.openxmlformats.org/officeDocument/2006/relationships/hyperlink" Target="https://advanced.onlinelibrary.wiley.com/doi/10.1002/adma.73493?af=R" TargetMode="External"/><Relationship Id="rId1096" Type="http://schemas.openxmlformats.org/officeDocument/2006/relationships/hyperlink" Target="https://doi.org/10.1002/adma.73493" TargetMode="External"/><Relationship Id="rId1097" Type="http://schemas.openxmlformats.org/officeDocument/2006/relationships/hyperlink" Target="https://advanced.onlinelibrary.wiley.com/doi/10.1002/adma.73572?af=R" TargetMode="External"/><Relationship Id="rId1098" Type="http://schemas.openxmlformats.org/officeDocument/2006/relationships/hyperlink" Target="https://doi.org/10.1002/adma.73572" TargetMode="External"/><Relationship Id="rId1099" Type="http://schemas.openxmlformats.org/officeDocument/2006/relationships/hyperlink" Target="https://onlinelibrary.wiley.com/doi/10.1002/anie.6657079?af=R" TargetMode="External"/><Relationship Id="rId1100" Type="http://schemas.openxmlformats.org/officeDocument/2006/relationships/hyperlink" Target="https://doi.org/10.1002/anie.6657079" TargetMode="External"/><Relationship Id="rId1101" Type="http://schemas.openxmlformats.org/officeDocument/2006/relationships/hyperlink" Target="https://onlinelibrary.wiley.com/doi/10.1002/anie.3547091?af=R" TargetMode="External"/><Relationship Id="rId1102" Type="http://schemas.openxmlformats.org/officeDocument/2006/relationships/hyperlink" Target="https://doi.org/10.1002/anie.3547091" TargetMode="External"/><Relationship Id="rId1103" Type="http://schemas.openxmlformats.org/officeDocument/2006/relationships/hyperlink" Target="https://onlinelibrary.wiley.com/doi/10.1002/anie.8367703?af=R" TargetMode="External"/><Relationship Id="rId1104" Type="http://schemas.openxmlformats.org/officeDocument/2006/relationships/hyperlink" Target="https://doi.org/10.1002/anie.8367703" TargetMode="External"/><Relationship Id="rId1105" Type="http://schemas.openxmlformats.org/officeDocument/2006/relationships/hyperlink" Target="https://onlinelibrary.wiley.com/doi/10.1002/anie.9550345?af=R" TargetMode="External"/><Relationship Id="rId1106" Type="http://schemas.openxmlformats.org/officeDocument/2006/relationships/hyperlink" Target="https://doi.org/10.1002/anie.9550345" TargetMode="External"/><Relationship Id="rId1107" Type="http://schemas.openxmlformats.org/officeDocument/2006/relationships/hyperlink" Target="https://onlinelibrary.wiley.com/doi/10.1002/anie.6734116?af=R" TargetMode="External"/><Relationship Id="rId1108" Type="http://schemas.openxmlformats.org/officeDocument/2006/relationships/hyperlink" Target="https://doi.org/10.1002/anie.6734116" TargetMode="External"/><Relationship Id="rId1109" Type="http://schemas.openxmlformats.org/officeDocument/2006/relationships/hyperlink" Target="https://onlinelibrary.wiley.com/doi/10.1002/anie.9624043?af=R" TargetMode="External"/><Relationship Id="rId1110" Type="http://schemas.openxmlformats.org/officeDocument/2006/relationships/hyperlink" Target="https://doi.org/10.1002/anie.9624043" TargetMode="External"/><Relationship Id="rId1111" Type="http://schemas.openxmlformats.org/officeDocument/2006/relationships/hyperlink" Target="https://advanced.onlinelibrary.wiley.com/doi/10.1002/adma.73609?af=R" TargetMode="External"/><Relationship Id="rId1112" Type="http://schemas.openxmlformats.org/officeDocument/2006/relationships/hyperlink" Target="https://doi.org/10.1002/adma.73609" TargetMode="External"/><Relationship Id="rId1113" Type="http://schemas.openxmlformats.org/officeDocument/2006/relationships/hyperlink" Target="https://advanced.onlinelibrary.wiley.com/doi/10.1002/adma.73611?af=R" TargetMode="External"/><Relationship Id="rId1114" Type="http://schemas.openxmlformats.org/officeDocument/2006/relationships/hyperlink" Target="https://doi.org/10.1002/adma.73611" TargetMode="External"/><Relationship Id="rId1115" Type="http://schemas.openxmlformats.org/officeDocument/2006/relationships/hyperlink" Target="https://onlinelibrary.wiley.com/doi/10.1002/anie.5426146?af=R" TargetMode="External"/><Relationship Id="rId1116" Type="http://schemas.openxmlformats.org/officeDocument/2006/relationships/hyperlink" Target="https://doi.org/10.1002/anie.5426146" TargetMode="External"/><Relationship Id="rId1117" Type="http://schemas.openxmlformats.org/officeDocument/2006/relationships/hyperlink" Target="https://onlinelibrary.wiley.com/doi/10.1002/anie.9343292?af=R" TargetMode="External"/><Relationship Id="rId1118" Type="http://schemas.openxmlformats.org/officeDocument/2006/relationships/hyperlink" Target="https://doi.org/10.1002/anie.9343292" TargetMode="External"/><Relationship Id="rId1119" Type="http://schemas.openxmlformats.org/officeDocument/2006/relationships/hyperlink" Target="https://onlinelibrary.wiley.com/doi/10.1002/anie.4808522?af=R" TargetMode="External"/><Relationship Id="rId1120" Type="http://schemas.openxmlformats.org/officeDocument/2006/relationships/hyperlink" Target="https://doi.org/10.1002/anie.4808522" TargetMode="External"/><Relationship Id="rId1121" Type="http://schemas.openxmlformats.org/officeDocument/2006/relationships/hyperlink" Target="https://onlinelibrary.wiley.com/doi/10.1002/anie.8976820?af=R" TargetMode="External"/><Relationship Id="rId1122" Type="http://schemas.openxmlformats.org/officeDocument/2006/relationships/hyperlink" Target="https://doi.org/10.1002/anie.8976820" TargetMode="External"/><Relationship Id="rId1123" Type="http://schemas.openxmlformats.org/officeDocument/2006/relationships/hyperlink" Target="https://onlinelibrary.wiley.com/doi/10.1002/anie.3804009?af=R" TargetMode="External"/><Relationship Id="rId1124" Type="http://schemas.openxmlformats.org/officeDocument/2006/relationships/hyperlink" Target="https://doi.org/10.1002/anie.3804009" TargetMode="External"/><Relationship Id="rId1125" Type="http://schemas.openxmlformats.org/officeDocument/2006/relationships/hyperlink" Target="https://onlinelibrary.wiley.com/doi/10.1002/anie.8870673?af=R" TargetMode="External"/><Relationship Id="rId1126" Type="http://schemas.openxmlformats.org/officeDocument/2006/relationships/hyperlink" Target="https://doi.org/10.1002/anie.8870673" TargetMode="External"/><Relationship Id="rId1127" Type="http://schemas.openxmlformats.org/officeDocument/2006/relationships/hyperlink" Target="https://onlinelibrary.wiley.com/doi/10.1002/anie.8361803?af=R" TargetMode="External"/><Relationship Id="rId1128" Type="http://schemas.openxmlformats.org/officeDocument/2006/relationships/hyperlink" Target="https://doi.org/10.1002/anie.83618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