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FF3131"/>
          <w:sz w:val="72"/>
          <w:szCs w:val="72"/>
        </w:rPr>
        <w:t xml:space="preserve">AGORA</w:t>
      </w:r>
    </w:p>
    <w:p>
      <w:pPr>
        <w:spacing w:after="120"/>
        <w:jc w:val="center"/>
      </w:pPr>
      <w:r>
        <w:rPr>
          <w:color w:val="595959"/>
          <w:sz w:val="32"/>
          <w:szCs w:val="32"/>
        </w:rPr>
        <w:t xml:space="preserve">Brand Guideline — Familia de productos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Paleta de colores, tipografías y criterios de uso</w:t>
      </w:r>
    </w:p>
    <w:p>
      <w:pPr>
        <w:jc w:val="center"/>
      </w:pPr>
      <w:r>
        <w:rPr>
          <w:color w:val="595959"/>
          <w:sz w:val="20"/>
          <w:szCs w:val="20"/>
        </w:rPr>
        <w:t xml:space="preserve">Basado en el diseño real del producto · 26 de julio de 2026</w:t>
      </w:r>
    </w:p>
    <w:p>
      <w:pPr>
        <w:spacing w:after="1200"/>
      </w:pPr>
    </w:p>
    <w:p>
      <w:pPr>
        <w:pStyle w:val="Heading1"/>
        <w:spacing w:after="160" w:before="360"/>
      </w:pPr>
      <w:r>
        <w:rPr>
          <w:color w:val="1F3864"/>
        </w:rPr>
        <w:t xml:space="preserve">1. Para qué sirve este documento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Define la identidad visual de </w:t>
      </w:r>
      <w:r>
        <w:rPr>
          <w:b/>
          <w:bCs/>
          <w:sz w:val="22"/>
          <w:szCs w:val="22"/>
        </w:rPr>
        <w:t xml:space="preserve">Agora</w:t>
      </w:r>
      <w:r>
        <w:rPr>
          <w:sz w:val="22"/>
          <w:szCs w:val="22"/>
        </w:rPr>
        <w:t xml:space="preserve"> tal como está aplicada hoy: la paleta reducida de marca, con qué jerarquía se usa cada color, y las tipografías con sus roles. El objetivo es doble: mantener coherencia dentro de Agora, y servir de base para </w:t>
      </w:r>
      <w:r>
        <w:rPr>
          <w:b/>
          <w:bCs/>
          <w:sz w:val="22"/>
          <w:szCs w:val="22"/>
        </w:rPr>
        <w:t xml:space="preserve">los próximos productos de la familia</w:t>
      </w:r>
      <w:r>
        <w:rPr>
          <w:sz w:val="22"/>
          <w:szCs w:val="22"/>
        </w:rPr>
        <w:t xml:space="preserve"> — que compartirán este mismo lenguaje visual, diferenciándose por el énfasis de color y no por un estilo distinto (ver sección 6).</w:t>
      </w:r>
    </w:p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Principio rector: paleta corta.</w:t>
      </w:r>
      <w:r>
        <w:rPr>
          <w:sz w:val="22"/>
          <w:szCs w:val="22"/>
        </w:rPr>
        <w:t xml:space="preserve"> La marca se sostiene con pocos colores bien usados: los neutros de base, el rojo de marca y tres acentos. Todo lo demás que aparece en la interfaz son colores funcionales de etiquetas y estados (sección 4), no colores de marca.</w:t>
      </w:r>
    </w:p>
    <w:p>
      <w:pPr>
        <w:pStyle w:val="Heading1"/>
        <w:spacing w:after="160" w:before="360"/>
      </w:pPr>
      <w:r>
        <w:rPr>
          <w:color w:val="1F3864"/>
        </w:rPr>
        <w:t xml:space="preserve">2. La paleta de marca</w:t>
      </w:r>
    </w:p>
    <w:p>
      <w:pPr>
        <w:pStyle w:val="Heading2"/>
        <w:spacing w:after="120" w:before="240"/>
      </w:pPr>
      <w:r>
        <w:rPr>
          <w:color w:val="1F3864"/>
        </w:rPr>
        <w:t xml:space="preserve">2.1 Neutros de base (los dominantes)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Agora es un producto </w:t>
      </w:r>
      <w:r>
        <w:rPr>
          <w:b/>
          <w:bCs/>
          <w:sz w:val="22"/>
          <w:szCs w:val="22"/>
        </w:rPr>
        <w:t xml:space="preserve">claro, limpio y con mucho aire</w:t>
      </w:r>
      <w:r>
        <w:rPr>
          <w:sz w:val="22"/>
          <w:szCs w:val="22"/>
        </w:rPr>
        <w:t xml:space="preserve">. La interfaz descansa sobre estos neutros — son el 90% de cada pantalla.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1960"/>
      </w:tblGrid>
      <w:tr>
        <w:trPr>
          <w:tblHeader/>
        </w:trPr>
        <w:tc>
          <w:tcPr>
            <w:tcW w:type="dxa" w:w="1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2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42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96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Presencia</w:t>
            </w:r>
          </w:p>
        </w:tc>
      </w:tr>
      <w:tr>
        <w:tc>
          <w:tcPr>
            <w:tcW w:type="dxa" w:w="1100"/>
            <w:shd w:fill="FFFFFF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Blanco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Fondo general de la aplicación.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Dominante</w:t>
            </w:r>
          </w:p>
        </w:tc>
      </w:tr>
      <w:tr>
        <w:tc>
          <w:tcPr>
            <w:tcW w:type="dxa" w:w="1100"/>
            <w:shd w:fill="F8F6F0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Crema cálido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#F8F6F0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Fondo de tarjetas y paneles: un blanco apenas entibiado que da calidez. Marca de la casa.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Dominante</w:t>
            </w:r>
          </w:p>
        </w:tc>
      </w:tr>
      <w:tr>
        <w:tc>
          <w:tcPr>
            <w:tcW w:type="dxa" w:w="1100"/>
            <w:shd w:fill="262626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Negro suave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#262626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Texto principal y botones primarios. También sirve como color dominante de fondos en piezas gráficas.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Dominante</w:t>
            </w:r>
          </w:p>
        </w:tc>
      </w:tr>
    </w:tbl>
    <w:p>
      <w:pPr>
        <w:pStyle w:val="Heading2"/>
        <w:spacing w:after="120" w:before="240"/>
      </w:pPr>
      <w:r>
        <w:rPr>
          <w:color w:val="1F3864"/>
        </w:rPr>
        <w:t xml:space="preserve">2.2 El rojo Agora (color de marca)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1960"/>
      </w:tblGrid>
      <w:tr>
        <w:trPr>
          <w:tblHeader/>
        </w:trPr>
        <w:tc>
          <w:tcPr>
            <w:tcW w:type="dxa" w:w="1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2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42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96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Presencia</w:t>
            </w:r>
          </w:p>
        </w:tc>
      </w:tr>
      <w:tr>
        <w:tc>
          <w:tcPr>
            <w:tcW w:type="dxa" w:w="1100"/>
            <w:shd w:fill="FF3131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Rojo Agora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#FF3131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color de la marca: el logo y la identidad estructural de la aplicación (menú activo, borde del panel de navegación, hovers de la barra lateral). Señala “esto es Agora”.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Identidad</w:t>
            </w:r>
          </w:p>
        </w:tc>
      </w:tr>
    </w:tbl>
    <w:p>
      <w:pPr>
        <w:spacing w:before="80"/>
        <w:jc w:val="both"/>
      </w:pPr>
      <w:r>
        <w:rPr>
          <w:sz w:val="22"/>
          <w:szCs w:val="22"/>
        </w:rPr>
        <w:t xml:space="preserve">El rojo de marca </w:t>
      </w:r>
      <w:r>
        <w:rPr>
          <w:b/>
          <w:bCs/>
          <w:sz w:val="22"/>
          <w:szCs w:val="22"/>
        </w:rPr>
        <w:t xml:space="preserve">no se usa para estados ni datos</w:t>
      </w:r>
      <w:r>
        <w:rPr>
          <w:sz w:val="22"/>
          <w:szCs w:val="22"/>
        </w:rPr>
        <w:t xml:space="preserve"> — vive en el logo y en la estructura de navegación. Así nunca compite ni se confunde con el rojo funcional de error (sección 4).</w:t>
      </w:r>
    </w:p>
    <w:p>
      <w:pPr>
        <w:pStyle w:val="Heading2"/>
        <w:spacing w:after="120" w:before="240"/>
      </w:pPr>
      <w:r>
        <w:rPr>
          <w:color w:val="1F3864"/>
        </w:rPr>
        <w:t xml:space="preserve">2.3 Los tres acentos (los que tienen presencia)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Tres colores acompañan a la marca dentro del contenido. Son la gama con presencia real en el producto: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1960"/>
      </w:tblGrid>
      <w:tr>
        <w:trPr>
          <w:tblHeader/>
        </w:trPr>
        <w:tc>
          <w:tcPr>
            <w:tcW w:type="dxa" w:w="1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2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42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96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Presencia</w:t>
            </w:r>
          </w:p>
        </w:tc>
      </w:tr>
      <w:tr>
        <w:tc>
          <w:tcPr>
            <w:tcW w:type="dxa" w:w="1100"/>
            <w:shd w:fill="FED210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Amarillo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#FED210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Energía y proceso: lo que está trabajando o en espera; toques de color en gráficos y métricas.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shd w:fill="A347D1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Violeta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#A347D1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 especial y lo inteligente: órdenes de compra adjuntas, sección de correcciones de IA.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shd w:fill="22C365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Verde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#22C365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 logrado: éxito, documento procesado, sistema saludable, foco de campos.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80"/>
        <w:jc w:val="both"/>
      </w:pPr>
      <w:r>
        <w:rPr>
          <w:i/>
          <w:iCs/>
          <w:sz w:val="22"/>
          <w:szCs w:val="22"/>
        </w:rPr>
        <w:t xml:space="preserve">Regla práctica: en una pantalla “sana” se ve blanco, crema, negro, el rojo de la navegación, y toques de verde/amarillo/violeta según el contenido. Ningún otro color debería dominar.</w:t>
      </w:r>
    </w:p>
    <w:p>
      <w:pPr>
        <w:pStyle w:val="Heading1"/>
        <w:spacing w:after="160" w:before="360"/>
      </w:pPr>
      <w:r>
        <w:rPr>
          <w:color w:val="1F3864"/>
        </w:rPr>
        <w:t xml:space="preserve">3. Tipografías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Tres tipografías, tres roles bien separados. Nunca se mezclan los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1960"/>
      </w:tblGrid>
      <w:tr>
        <w:trPr>
          <w:tblHeader/>
        </w:trPr>
        <w:tc>
          <w:tcPr>
            <w:tcW w:type="dxa" w:w="1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2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42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96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Presencia</w:t>
            </w:r>
          </w:p>
        </w:tc>
      </w:tr>
      <w:tr>
        <w:tc>
          <w:tcPr>
            <w:tcW w:type="dxa" w:w="1100"/>
            <w:shd w:fill="262626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Inter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#262626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letra de TODO el producto: textos, menús, tablas, botones, formularios. Pesos: 400, 500, 600 y 700. Google Fonts.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Dominante</w:t>
            </w:r>
          </w:p>
        </w:tc>
      </w:tr>
      <w:tr>
        <w:tc>
          <w:tcPr>
            <w:tcW w:type="dxa" w:w="1100"/>
            <w:shd w:fill="262626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Lora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#262626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Los NÚMEROS protagonistas: métricas del tablero, importes destacados, contadores. Serif elegante 600/700 con cifras tabulares.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shd w:fill="262626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Sugar Pie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#262626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 letra display de la marca: títulos cortos de tarjetas (“Documentos”, “Performance”). Fuente propia del proyecto. Nunca en párrafos.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Baja (identidad)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Inter</w:t>
      </w:r>
      <w:r>
        <w:rPr>
          <w:sz w:val="22"/>
          <w:szCs w:val="22"/>
        </w:rPr>
        <w:t xml:space="preserve"> responde: “¿qué dice acá?” — legibilidad ante todo.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Lora</w:t>
      </w:r>
      <w:r>
        <w:rPr>
          <w:sz w:val="22"/>
          <w:szCs w:val="22"/>
        </w:rPr>
        <w:t xml:space="preserve"> responde: “¿cuánto?” — los números importantes se visten distinto.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Sugar Pie</w:t>
      </w:r>
      <w:r>
        <w:rPr>
          <w:sz w:val="22"/>
          <w:szCs w:val="22"/>
        </w:rPr>
        <w:t xml:space="preserve"> responde: “¿quién soy?” — el toque de personalidad de la familia.</w:t>
      </w:r>
    </w:p>
    <w:p>
      <w:pPr>
        <w:pStyle w:val="Heading1"/>
        <w:spacing w:after="160" w:before="360"/>
      </w:pPr>
      <w:r>
        <w:rPr>
          <w:color w:val="1F3864"/>
        </w:rPr>
        <w:t xml:space="preserve">4. Colores funcionales (etiquetas y estados — NO son de marca)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interfaz usa además una pequeña gama de colores </w:t>
      </w:r>
      <w:r>
        <w:rPr>
          <w:b/>
          <w:bCs/>
          <w:sz w:val="22"/>
          <w:szCs w:val="22"/>
        </w:rPr>
        <w:t xml:space="preserve">utilitarios</w:t>
      </w:r>
      <w:r>
        <w:rPr>
          <w:sz w:val="22"/>
          <w:szCs w:val="22"/>
        </w:rPr>
        <w:t xml:space="preserve"> en badges, semáforos y avisos. Comunican estados puntuales, aparecen solo cuando el estado existe, y </w:t>
      </w:r>
      <w:r>
        <w:rPr>
          <w:b/>
          <w:bCs/>
          <w:sz w:val="22"/>
          <w:szCs w:val="22"/>
        </w:rPr>
        <w:t xml:space="preserve">no forman parte de la paleta de marca</w:t>
      </w:r>
      <w:r>
        <w:rPr>
          <w:sz w:val="22"/>
          <w:szCs w:val="22"/>
        </w:rPr>
        <w:t xml:space="preserve"> — un producto nuevo de la familia los reutiliza tal cual, sin resignificarlos: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1960"/>
      </w:tblGrid>
      <w:tr>
        <w:trPr>
          <w:tblHeader/>
        </w:trPr>
        <w:tc>
          <w:tcPr>
            <w:tcW w:type="dxa" w:w="1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Muestra</w:t>
            </w:r>
          </w:p>
        </w:tc>
        <w:tc>
          <w:tcPr>
            <w:tcW w:type="dxa" w:w="21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420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960"/>
            <w:shd w:fill="DCE6F1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Presencia</w:t>
            </w:r>
          </w:p>
        </w:tc>
      </w:tr>
      <w:tr>
        <w:tc>
          <w:tcPr>
            <w:tcW w:type="dxa" w:w="1100"/>
            <w:shd w:fill="22C365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Verde estado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#22C365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Badge “Exitoso” (coincide con el acento verde).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1100"/>
            <w:shd w:fill="F59E0B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Ámbar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#F59E0B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Badge “Con advertencia”: se procesó pero requiere revisión.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1100"/>
            <w:shd w:fill="E11D48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Rojo error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#E11D48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Badge “Fallido”, errores del sistema. Distinto del rojo de marca a propósito.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1100"/>
            <w:shd w:fill="3B82F6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Azul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#3B82F6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Información, “pendiente de aprobación”.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1100"/>
            <w:shd w:fill="EA580C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Naranja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#EA580C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Duplicados (“ojo, esto ya existía”).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1100"/>
            <w:shd w:fill="94A3B8" w:val="clea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Gris azulado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#94A3B8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Estados desconocidos o sin datos.</w:t>
            </w:r>
          </w:p>
        </w:tc>
        <w:tc>
          <w:tcPr>
            <w:tcW w:type="dxa" w:w="196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Funcional</w:t>
            </w:r>
          </w:p>
        </w:tc>
      </w:tr>
    </w:tbl>
    <w:p>
      <w:pPr>
        <w:spacing w:before="80"/>
        <w:jc w:val="both"/>
      </w:pPr>
      <w:r>
        <w:rPr>
          <w:i/>
          <w:iCs/>
          <w:sz w:val="22"/>
          <w:szCs w:val="22"/>
        </w:rPr>
        <w:t xml:space="preserve">La semántica es fija en toda la familia: verde = bien, ámbar = revisar, rojo = mal. Eso no se negocia nunca.</w:t>
      </w:r>
    </w:p>
    <w:p>
      <w:pPr>
        <w:pStyle w:val="Heading1"/>
        <w:spacing w:after="160" w:before="360"/>
      </w:pPr>
      <w:r>
        <w:rPr>
          <w:color w:val="1F3864"/>
        </w:rPr>
        <w:t xml:space="preserve">5. Formas y estilo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Esquinas redondeadas</w:t>
      </w:r>
      <w:r>
        <w:rPr>
          <w:sz w:val="22"/>
          <w:szCs w:val="22"/>
        </w:rPr>
        <w:t xml:space="preserve"> en todo: tarjetas, botones, inputs (radio de 10 px). Los badges de estado son píldoras completamente redondeadas.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Tarjetas con acento superior</w:t>
      </w:r>
      <w:r>
        <w:rPr>
          <w:sz w:val="22"/>
          <w:szCs w:val="22"/>
        </w:rPr>
        <w:t xml:space="preserve">: una barra fina de color en el borde superior anuncia el tema; la tarjeta se mantiene neutra.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Semáforos que se heredan</w:t>
      </w:r>
      <w:r>
        <w:rPr>
          <w:sz w:val="22"/>
          <w:szCs w:val="22"/>
        </w:rPr>
        <w:t xml:space="preserve">: si algo interno está mal, la tarjeta contenedora hereda el color de alerta — el problema se ve desde arriba.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Estados con fila coloreada</w:t>
      </w:r>
      <w:r>
        <w:rPr>
          <w:sz w:val="22"/>
          <w:szCs w:val="22"/>
        </w:rPr>
        <w:t xml:space="preserve">: borde izquierdo de color y fondo apenas teñido del mismo tono (8% de opacidad). Señal clara sin gritar.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Aire y sobriedad</w:t>
      </w:r>
      <w:r>
        <w:rPr>
          <w:sz w:val="22"/>
          <w:szCs w:val="22"/>
        </w:rPr>
        <w:t xml:space="preserve">: sombras suaves, sin degradados llamativos, un solo acento dominante por vista.</w:t>
      </w:r>
    </w:p>
    <w:p>
      <w:pPr>
        <w:pStyle w:val="Heading1"/>
        <w:spacing w:after="160" w:before="360"/>
      </w:pPr>
      <w:r>
        <w:rPr>
          <w:color w:val="1F3864"/>
        </w:rPr>
        <w:t xml:space="preserve">6. Cómo extender la familia a nuevos productos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La familia se reconoce porque </w:t>
      </w:r>
      <w:r>
        <w:rPr>
          <w:b/>
          <w:bCs/>
          <w:sz w:val="22"/>
          <w:szCs w:val="22"/>
        </w:rPr>
        <w:t xml:space="preserve">todo se mantiene igual salvo el énfasis de color</w:t>
      </w:r>
      <w:r>
        <w:rPr>
          <w:sz w:val="22"/>
          <w:szCs w:val="22"/>
        </w:rPr>
        <w:t xml:space="preserve">. Para un producto nuevo: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 conserva siempre</w:t>
      </w:r>
      <w:r>
        <w:rPr>
          <w:sz w:val="22"/>
          <w:szCs w:val="22"/>
        </w:rPr>
        <w:t xml:space="preserve">: los neutros (blanco / crema cálido / negro suave), las tres tipografías con sus roles, las formas (radios, tarjetas con acento, píldoras), los colores funcionales con su semántica, y el criterio de paleta corta.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 juega con la gama existente</w:t>
      </w:r>
      <w:r>
        <w:rPr>
          <w:sz w:val="22"/>
          <w:szCs w:val="22"/>
        </w:rPr>
        <w:t xml:space="preserve">: el producto nuevo puede tomar como identidad otro color de la familia — darle al amarillo, al violeta o al verde la presencia estructural que en Agora tiene el rojo — y reacomodar la jerarquía de los acentos restantes.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O sumar UN color nuevo</w:t>
      </w:r>
      <w:r>
        <w:rPr>
          <w:sz w:val="22"/>
          <w:szCs w:val="22"/>
        </w:rPr>
        <w:t xml:space="preserve">: si ninguno de la gama representa al producto, se agrega un solo color hermano — de saturación e intensidad comparables (ni pastel ni flúo), que conviva bien con los neutros cálidos — y entra a la gama de la familia.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Lo que no se hace</w:t>
      </w:r>
      <w:r>
        <w:rPr>
          <w:sz w:val="22"/>
          <w:szCs w:val="22"/>
        </w:rPr>
        <w:t xml:space="preserve">: cambiar tipografías, oscurecer la base, usar dos colores de identidad a la vez, agrandar la paleta porque sí, o resignificar los funcionales (un producto donde el rojo de error signifique “éxito” rompe a toda la familia).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Ejemplo práctico: un futuro producto de la familia podría ser </w:t>
      </w:r>
      <w:r>
        <w:rPr>
          <w:i/>
          <w:iCs/>
          <w:sz w:val="22"/>
          <w:szCs w:val="22"/>
        </w:rPr>
        <w:t xml:space="preserve">la misma interfaz</w:t>
      </w:r>
      <w:r>
        <w:rPr>
          <w:sz w:val="22"/>
          <w:szCs w:val="22"/>
        </w:rPr>
        <w:t xml:space="preserve"> con el violeta #A347D1 como color de identidad (logo y navegación) donde Agora usa el rojo — y un cliente que conoce uno sabe usar el otro al instante.</w:t>
      </w:r>
    </w:p>
    <w:p>
      <w:pPr>
        <w:pStyle w:val="Heading1"/>
        <w:spacing w:after="160" w:before="360"/>
      </w:pPr>
      <w:r>
        <w:rPr>
          <w:color w:val="1F3864"/>
        </w:rPr>
        <w:t xml:space="preserve">7. Ficha técnica rápida (para diseño y desarrollo)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Marca</w:t>
      </w:r>
      <w:r>
        <w:rPr>
          <w:sz w:val="22"/>
          <w:szCs w:val="22"/>
        </w:rPr>
        <w:t xml:space="preserve">: rojo #FF3131 (logo + navegación/menú activo/borde del panel lateral).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Neutros</w:t>
      </w:r>
      <w:r>
        <w:rPr>
          <w:sz w:val="22"/>
          <w:szCs w:val="22"/>
        </w:rPr>
        <w:t xml:space="preserve">: blanco #FFFFFF, crema cálido de tarjetas, negro suave de texto. Viven como variables del tema en el código (formato oklch); los hex de este documento son su equivalente aproximado.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Acentos de la gama</w:t>
      </w:r>
      <w:r>
        <w:rPr>
          <w:sz w:val="22"/>
          <w:szCs w:val="22"/>
        </w:rPr>
        <w:t xml:space="preserve">: amarillo #FED210, violeta #A347D1, verde #22C365.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Funcionales</w:t>
      </w:r>
      <w:r>
        <w:rPr>
          <w:sz w:val="22"/>
          <w:szCs w:val="22"/>
        </w:rPr>
        <w:t xml:space="preserve">: ámbar #F59E0B, rojo error #E11D48, azul #3B82F6, naranja #EA580C, gris #94A3B8.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Fuentes</w:t>
      </w:r>
      <w:r>
        <w:rPr>
          <w:sz w:val="22"/>
          <w:szCs w:val="22"/>
        </w:rPr>
        <w:t xml:space="preserve">: Inter 400/500/600/700 y Lora 600/700 (Google Fonts); Sugar Pie como archivo propio (woff2 + ttf).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Radio estándar</w:t>
      </w:r>
      <w:r>
        <w:rPr>
          <w:sz w:val="22"/>
          <w:szCs w:val="22"/>
        </w:rPr>
        <w:t xml:space="preserve">: 0.625rem (10 px).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2026-07-26T18:23:07.539Z</dcterms:created>
  <dcterms:modified xsi:type="dcterms:W3CDTF">2026-07-26T18:23:07.539Z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