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778"/>
        <w:gridCol w:w="1462"/>
        <w:gridCol w:w="5760"/>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Included Variables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Forested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Coniferous Forest, Mixed Forest, Deciduous Forest, Forest, Hedge Rows, Plantations – Tree Cultivated, Tallgrass Woodland, Treed Sand Dune</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Swamp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Treed Swamp, Marsh, Thicket Swamp, Bog, Open Beach/Bar, Fen</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 Water</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Tilled</w:t>
            </w:r>
          </w:p>
        </w:tc>
      </w:tr>
      <w:tr>
        <w:trPr>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Built-up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Built-Up Area – Impervious, Built-Up Area – Pervious, Transportation</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Other</w:t>
            </w:r>
            <w:r>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Undifferentiated, Extraction – Aggregate</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'Undifferentiated', as defined in the Southern Ontario Land Resource Information System Version 3.0 Data Specifications, 'Represents all remaining areas that are exclusive to the other data classes. Includes all agricultural lands not included in tilled (e.g., hay/pasture, orchards, vineyards, nurseries, and rural properties and farmland not currently in production), as well as urban brown fields, hydro right-of- ways, the edges of transportation corridors, upland thickets, and clearings within forests.'</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2023-10-30T15:51:34Z</dcterms:modified>
  <cp:category/>
</cp:coreProperties>
</file>