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961"/>
        <w:gridCol w:w="961"/>
        <w:gridCol w:w="961"/>
      </w:tblGrid>
      <w:tr>
        <w:trPr>
          <w:cantSplit/>
          <w:trHeight w:val="587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</w:t>
            </w:r>
            <w:r>
              <w:rPr>
                <w:rFonts w:ascii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</w:t>
            </w:r>
            <w:r>
              <w:rPr>
                <w:rFonts w:ascii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flowers/inflor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57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 2 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 (Inflorescences)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Chance of herbivory (before flowering)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(before flowering)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2.032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Chance of herbivory (after flowering)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(after flowering)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2.232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Chance of weevil damage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1.259</w:t>
            </w:r>
          </w:p>
        </w:tc>
      </w:tr>
      <w:tr>
        <w:trPr>
          <w:cantSplit/>
          <w:trHeight w:val="614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scar length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2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D. plexippus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cantSplit/>
          <w:trHeight w:val="612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asclepiadis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clivicollis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74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(before flowering)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(after flowering)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4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(before flowering)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(after flowering)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4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2022-10-31T21:50:08Z</dcterms:modified>
  <cp:category/>
</cp:coreProperties>
</file>