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Herbivory after flowering (binary)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Herbivory after flowering (quantitative)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R-squared estimates for Weevil damage (binary) Models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31"/>
        <w:gridCol w:w="961"/>
        <w:gridCol w:w="2366"/>
        <w:gridCol w:w="961"/>
        <w:gridCol w:w="2367"/>
        <w:gridCol w:w="961"/>
        <w:gridCol w:w="2415"/>
        <w:gridCol w:w="961"/>
        <w:gridCol w:w="2366"/>
        <w:gridCol w:w="961"/>
        <w:gridCol w:w="2367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theoretical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  <w:pgMar xmlns:w="http://schemas.openxmlformats.org/wordprocessingml/2006/main"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2023-01-20T17:04:15Z</dcterms:modified>
  <cp:category/>
</cp:coreProperties>
</file>