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1"/>
        <w:gridCol w:w="1866"/>
        <w:gridCol w:w="2221"/>
        <w:gridCol w:w="2282"/>
        <w:gridCol w:w="2221"/>
      </w:tblGrid>
      <w:tr>
        <w:trPr>
          <w:cantSplit/>
          <w:trHeight w:val="574" w:hRule="auto"/>
          <w:tblHeader/>
        </w:trPr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1/3</w:t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1/3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1/3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1/3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1/3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1/3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1/3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1/3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1/2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1/2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1/2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1/2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1/3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1/3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1/3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1/3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log(x + 1)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log(x + 1)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log(x + 1)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log(x + 1)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log(x)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log(x)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log(x)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log(x)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log(x)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log(x)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log(x)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log(x)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1/3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1/3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1/3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1/3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log(x)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log(x)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log(x)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log(x)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 - 170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 - 170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 - 170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 - 170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 - 170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 - 170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 - 170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 - 170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1/2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1/2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1/2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1/2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Cardenolides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2023-01-03T11:30:27Z</dcterms:modified>
  <cp:category/>
</cp:coreProperties>
</file>