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2159"/>
        <w:gridCol w:w="2221"/>
        <w:gridCol w:w="2282"/>
        <w:gridCol w:w="2221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Poisson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Binomial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 binomial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2023-01-03T11:39:02Z</dcterms:modified>
  <cp:category/>
</cp:coreProperties>
</file>