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As far as we know, there isn't a solid way to calculate percent variance explained for variables with a non-Gaussian distribution. The way that we handled this was to refit our non-Gaussian models (generalized linear mixed models) to general linear mixed models, then extract PVE for the last year of data collection. These new PVEs will be estimates. This is not a perfect solution but it will help us approximate PVE for these variables.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1084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97.858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99.524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973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97.887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2293"/>
        <w:gridCol w:w="1084"/>
        <w:gridCol w:w="2685"/>
        <w:gridCol w:w="1084"/>
        <w:gridCol w:w="2709"/>
        <w:gridCol w:w="973"/>
      </w:tblGrid>
      <w:tr>
        <w:trPr>
          <w:cantSplit/>
          <w:trHeight w:val="614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Danaus plexippus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Liriomyza asclepiadis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Labidomera clivicollis</w:t>
            </w:r>
          </w:p>
        </w:tc>
      </w:tr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  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97.403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88.107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2023-01-18T19:47:00Z</dcterms:modified>
  <cp:category/>
</cp:coreProperties>
</file>