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839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3.062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96.938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4079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26.796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0.492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2.932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0.087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0.136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0.713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Total_Height_late^(1/3) ~ (1 | Population/Family) + Block + Transect_ID +    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2.802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0.229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0.4055</w:t>
            </w:r>
          </w:p>
        </w:tc>
      </w:tr>
      <w:tr>
        <w:trPr>
          <w:cantSplit/>
          <w:trHeight w:val="571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2.095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96.689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01"/>
        <w:gridCol w:w="3688"/>
        <w:gridCol w:w="1084"/>
        <w:gridCol w:w="1347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Height after flowering: 2020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28.817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0.471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0.578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0.917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0.338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2023-01-20T14:48:12Z</dcterms:modified>
  <cp:category/>
</cp:coreProperties>
</file>