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4"/>
          <w:szCs w:val="24"/>
        </w:rPr>
        <w:t xml:space="preserve">CDC VTrckS / E008 — Backend Technical Specification</w:t>
      </w:r>
    </w:p>
    <w:p>
      <w:pPr>
        <w:spacing w:after="160"/>
      </w:pPr>
      <w:r>
        <w:rPr>
          <w:b/>
          <w:bCs/>
          <w:sz w:val="32"/>
          <w:szCs w:val="32"/>
        </w:rPr>
        <w:t xml:space="preserve">OrderCreate Action &amp; Core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F2F2F2" w:val="clear"/>
          </w:tcPr>
          <w:p>
            <w:pPr>
              <w:spacing w:after="35"/>
            </w:pPr>
            <w:r>
              <w:rPr>
                <w:b/>
                <w:bCs/>
                <w:sz w:val="19"/>
                <w:szCs w:val="19"/>
              </w:rPr>
              <w:t xml:space="preserve">Spec ID</w:t>
            </w:r>
          </w:p>
        </w:tc>
        <w:tc>
          <w:tcPr>
            <w:tcW w:type="dxa" w:w="7060"/>
          </w:tcPr>
          <w:p>
            <w:pPr>
              <w:spacing w:after="35"/>
            </w:pPr>
            <w:r>
              <w:rPr>
                <w:sz w:val="19"/>
                <w:szCs w:val="19"/>
              </w:rPr>
              <w:t xml:space="preserve">TS-E008-B1</w:t>
            </w:r>
          </w:p>
        </w:tc>
      </w:tr>
      <w:tr>
        <w:tc>
          <w:tcPr>
            <w:tcW w:type="dxa" w:w="2300"/>
            <w:shd w:fill="F2F2F2" w:val="clear"/>
          </w:tcPr>
          <w:p>
            <w:pPr>
              <w:spacing w:after="35"/>
            </w:pPr>
            <w:r>
              <w:rPr>
                <w:b/>
                <w:bCs/>
                <w:sz w:val="19"/>
                <w:szCs w:val="19"/>
              </w:rPr>
              <w:t xml:space="preserve">Object(s)</w:t>
            </w:r>
          </w:p>
        </w:tc>
        <w:tc>
          <w:tcPr>
            <w:tcW w:type="dxa" w:w="7060"/>
          </w:tcPr>
          <w:p>
            <w:pPr>
              <w:spacing w:after="35"/>
            </w:pPr>
            <w:r>
              <w:rPr>
                <w:sz w:val="19"/>
                <w:szCs w:val="19"/>
              </w:rPr>
              <w:t xml:space="preserve">ZCL_VR_ORDER_CREATE_CORE · ZIF_VR_SD_ORDER_API (+double) · action wrapper per B0.1 (ZVR_A_ORDERCREATE abstract entity if structured param)</w:t>
            </w:r>
          </w:p>
        </w:tc>
      </w:tr>
      <w:tr>
        <w:tc>
          <w:tcPr>
            <w:tcW w:type="dxa" w:w="2300"/>
            <w:shd w:fill="F2F2F2" w:val="clear"/>
          </w:tcPr>
          <w:p>
            <w:pPr>
              <w:spacing w:after="35"/>
            </w:pPr>
            <w:r>
              <w:rPr>
                <w:b/>
                <w:bCs/>
                <w:sz w:val="19"/>
                <w:szCs w:val="19"/>
              </w:rPr>
              <w:t xml:space="preserve">Object type</w:t>
            </w:r>
          </w:p>
        </w:tc>
        <w:tc>
          <w:tcPr>
            <w:tcW w:type="dxa" w:w="7060"/>
          </w:tcPr>
          <w:p>
            <w:pPr>
              <w:spacing w:after="35"/>
            </w:pPr>
            <w:r>
              <w:rPr>
                <w:sz w:val="19"/>
                <w:szCs w:val="19"/>
              </w:rPr>
              <w:t xml:space="preserve">RAP action + classes</w:t>
            </w:r>
          </w:p>
        </w:tc>
      </w:tr>
      <w:tr>
        <w:tc>
          <w:tcPr>
            <w:tcW w:type="dxa" w:w="2300"/>
            <w:shd w:fill="F2F2F2" w:val="clear"/>
          </w:tcPr>
          <w:p>
            <w:pPr>
              <w:spacing w:after="35"/>
            </w:pPr>
            <w:r>
              <w:rPr>
                <w:b/>
                <w:bCs/>
                <w:sz w:val="19"/>
                <w:szCs w:val="19"/>
              </w:rPr>
              <w:t xml:space="preserve">Package</w:t>
            </w:r>
          </w:p>
        </w:tc>
        <w:tc>
          <w:tcPr>
            <w:tcW w:type="dxa" w:w="7060"/>
          </w:tcPr>
          <w:p>
            <w:pPr>
              <w:spacing w:after="35"/>
            </w:pPr>
            <w:r>
              <w:rPr>
                <w:sz w:val="19"/>
                <w:szCs w:val="19"/>
              </w:rPr>
              <w:t xml:space="preserve">ZVR_EXT</w:t>
            </w:r>
          </w:p>
        </w:tc>
      </w:tr>
      <w:tr>
        <w:tc>
          <w:tcPr>
            <w:tcW w:type="dxa" w:w="2300"/>
            <w:shd w:fill="F2F2F2" w:val="clear"/>
          </w:tcPr>
          <w:p>
            <w:pPr>
              <w:spacing w:after="35"/>
            </w:pPr>
            <w:r>
              <w:rPr>
                <w:b/>
                <w:bCs/>
                <w:sz w:val="19"/>
                <w:szCs w:val="19"/>
              </w:rPr>
              <w:t xml:space="preserve">Backend task ref</w:t>
            </w:r>
          </w:p>
        </w:tc>
        <w:tc>
          <w:tcPr>
            <w:tcW w:type="dxa" w:w="7060"/>
          </w:tcPr>
          <w:p>
            <w:pPr>
              <w:spacing w:after="35"/>
            </w:pPr>
            <w:r>
              <w:rPr>
                <w:sz w:val="19"/>
                <w:szCs w:val="19"/>
              </w:rPr>
              <w:t xml:space="preserve">B1 (after B0 decisions)</w:t>
            </w:r>
          </w:p>
        </w:tc>
      </w:tr>
      <w:tr>
        <w:tc>
          <w:tcPr>
            <w:tcW w:type="dxa" w:w="2300"/>
            <w:shd w:fill="F2F2F2" w:val="clear"/>
          </w:tcPr>
          <w:p>
            <w:pPr>
              <w:spacing w:after="35"/>
            </w:pPr>
            <w:r>
              <w:rPr>
                <w:b/>
                <w:bCs/>
                <w:sz w:val="19"/>
                <w:szCs w:val="19"/>
              </w:rPr>
              <w:t xml:space="preserve">References</w:t>
            </w:r>
          </w:p>
        </w:tc>
        <w:tc>
          <w:tcPr>
            <w:tcW w:type="dxa" w:w="7060"/>
          </w:tcPr>
          <w:p>
            <w:pPr>
              <w:spacing w:after="35"/>
            </w:pPr>
            <w:r>
              <w:rPr>
                <w:sz w:val="19"/>
                <w:szCs w:val="19"/>
              </w:rPr>
              <w:t xml:space="preserve">E008_Service_Extension_Design.md; E008_Backend_Tasks_CRUD1.md; PAYLOAD_CONTRACT.md</w:t>
            </w:r>
          </w:p>
        </w:tc>
      </w:tr>
      <w:tr>
        <w:tc>
          <w:tcPr>
            <w:tcW w:type="dxa" w:w="2300"/>
            <w:shd w:fill="F2F2F2" w:val="clear"/>
          </w:tcPr>
          <w:p>
            <w:pPr>
              <w:spacing w:after="35"/>
            </w:pPr>
            <w:r>
              <w:rPr>
                <w:b/>
                <w:bCs/>
                <w:sz w:val="19"/>
                <w:szCs w:val="19"/>
              </w:rPr>
              <w:t xml:space="preserve">Status</w:t>
            </w:r>
          </w:p>
        </w:tc>
        <w:tc>
          <w:tcPr>
            <w:tcW w:type="dxa" w:w="7060"/>
          </w:tcPr>
          <w:p>
            <w:pPr>
              <w:spacing w:after="35"/>
            </w:pPr>
            <w:r>
              <w:rPr>
                <w:sz w:val="19"/>
                <w:szCs w:val="19"/>
              </w:rPr>
              <w:t xml:space="preserve">DRAFT v1.0 · 08/2026 · house rules apply: no invented names — resolve every TODO-VERIFY in ADT before build sign-off</w:t>
            </w:r>
          </w:p>
        </w:tc>
      </w:tr>
    </w:tbl>
    <w:p>
      <w:pPr>
        <w:spacing w:after="110"/>
      </w:pPr>
      <w:r>
        <w:rPr>
          <w:sz w:val="21"/>
          <w:szCs w:val="21"/>
        </w:rPr>
        <w:t xml:space="preserve"/>
      </w:r>
    </w:p>
    <w:p>
      <w:pPr>
        <w:pStyle w:val="Heading1"/>
        <w:spacing w:after="130" w:before="230"/>
      </w:pPr>
      <w:r>
        <w:rPr>
          <w:b/>
          <w:bCs/>
          <w:color w:val="1F4E79"/>
          <w:sz w:val="27"/>
          <w:szCs w:val="27"/>
        </w:rPr>
        <w:t xml:space="preserve">1. Purpose</w:t>
      </w:r>
    </w:p>
    <w:p>
      <w:pPr>
        <w:spacing w:after="110"/>
      </w:pPr>
      <w:r>
        <w:rPr>
          <w:sz w:val="21"/>
          <w:szCs w:val="21"/>
        </w:rPr>
        <w:t xml:space="preserve">Server-side creation of a Vaccine Request sales order (type ZKB) from a single structured payload collected by the Fiori create dialog. The action supplies all data determinations do not, enforces jurisdiction on the write path, and returns the new order key plus field-targeted messages. Creation is atomic: on any hard failure, no order exists.</w:t>
      </w:r>
    </w:p>
    <w:p>
      <w:pPr>
        <w:pStyle w:val="Heading1"/>
        <w:spacing w:after="130" w:before="230"/>
      </w:pPr>
      <w:r>
        <w:rPr>
          <w:b/>
          <w:bCs/>
          <w:color w:val="1F4E79"/>
          <w:sz w:val="27"/>
          <w:szCs w:val="27"/>
        </w:rPr>
        <w:t xml:space="preserve">2. Interface (per PAYLOAD_CONTRACT.md — confirm before build)</w:t>
      </w:r>
    </w:p>
    <w:p>
      <w:pPr>
        <w:shd w:fill="F5F3EE" w:val="clear"/>
        <w:spacing w:after="0" w:line="225" w:lineRule="exact"/>
        <w:ind w:left="180" w:right="180"/>
      </w:pPr>
      <w:r>
        <w:rPr>
          <w:rFonts w:ascii="Consolas" w:cs="Consolas" w:eastAsia="Consolas" w:hAnsi="Consolas"/>
          <w:sz w:val="17"/>
          <w:szCs w:val="17"/>
        </w:rPr>
        <w:t xml:space="preserve">IN : provider, description, contactId?, priority?, orderReason?, category?, exisId?,</w:t>
      </w:r>
    </w:p>
    <w:p>
      <w:pPr>
        <w:shd w:fill="F5F3EE" w:val="clear"/>
        <w:spacing w:after="0" w:line="225" w:lineRule="exact"/>
        <w:ind w:left="180" w:right="180"/>
      </w:pPr>
      <w:r>
        <w:rPr>
          <w:rFonts w:ascii="Consolas" w:cs="Consolas" w:eastAsia="Consolas" w:hAnsi="Consolas"/>
          <w:sz w:val="17"/>
          <w:szCs w:val="17"/>
        </w:rPr>
        <w:t xml:space="preserve">     items[ { ndc, quantity, uom, intention } ]  (uom supplied from NDC VH)</w:t>
      </w:r>
    </w:p>
    <w:p>
      <w:pPr>
        <w:shd w:fill="F5F3EE" w:val="clear"/>
        <w:spacing w:after="0" w:line="225" w:lineRule="exact"/>
        <w:ind w:left="180" w:right="180"/>
      </w:pPr>
      <w:r>
        <w:rPr>
          <w:rFonts w:ascii="Consolas" w:cs="Consolas" w:eastAsia="Consolas" w:hAnsi="Consolas"/>
          <w:sz w:val="17"/>
          <w:szCs w:val="17"/>
        </w:rPr>
        <w:t xml:space="preserve">OUT: salesDocument, messages[ { type(E/W/S), text, target? } ]</w:t>
      </w:r>
    </w:p>
    <w:p>
      <w:pPr>
        <w:shd w:fill="F5F3EE" w:val="clear"/>
        <w:spacing w:after="130" w:line="225" w:lineRule="exact"/>
        <w:ind w:left="180" w:right="180"/>
      </w:pPr>
      <w:r>
        <w:rPr>
          <w:rFonts w:ascii="Consolas" w:cs="Consolas" w:eastAsia="Consolas" w:hAnsi="Consolas"/>
          <w:sz w:val="17"/>
          <w:szCs w:val="17"/>
        </w:rPr>
        <w:t xml:space="preserve">Target grammar: header = payload field name; items = items/&lt;index&gt;/&lt;field&gt;</w:t>
      </w:r>
    </w:p>
    <w:p>
      <w:pPr>
        <w:pStyle w:val="ListParagraph"/>
        <w:numPr>
          <w:ilvl w:val="0"/>
          <w:numId w:val="2"/>
        </w:numPr>
        <w:spacing w:after="55"/>
      </w:pPr>
      <w:r>
        <w:rPr>
          <w:sz w:val="21"/>
          <w:szCs w:val="21"/>
        </w:rPr>
        <w:t xml:space="preserve">Parameter style per B0.1 outcome: structured abstract-entity parameter preferred; Edm.String JSON only if the exposure vehicle forces it. Record the shipped style in the contract file.</w:t>
      </w:r>
    </w:p>
    <w:p>
      <w:pPr>
        <w:pStyle w:val="Heading1"/>
        <w:spacing w:after="130" w:before="230"/>
      </w:pPr>
      <w:r>
        <w:rPr>
          <w:b/>
          <w:bCs/>
          <w:color w:val="1F4E79"/>
          <w:sz w:val="27"/>
          <w:szCs w:val="27"/>
        </w:rPr>
        <w:t xml:space="preserve">3. Processing Logic (core class — action wrapper stays thin)</w:t>
      </w:r>
    </w:p>
    <w:p>
      <w:pPr>
        <w:pStyle w:val="ListParagraph"/>
        <w:numPr>
          <w:ilvl w:val="0"/>
          <w:numId w:val="2"/>
        </w:numPr>
        <w:spacing w:after="55"/>
      </w:pPr>
      <w:r>
        <w:rPr>
          <w:sz w:val="21"/>
          <w:szCs w:val="21"/>
        </w:rPr>
        <w:t xml:space="preserve">Validate &amp; map inputs per the mapping table (§4). Reject with targeted messages on: unknown/blocked provider, unknown/blocked NDC, quantity ≤ 0, unknown code values.</w:t>
      </w:r>
    </w:p>
    <w:p>
      <w:pPr>
        <w:pStyle w:val="ListParagraph"/>
        <w:numPr>
          <w:ilvl w:val="0"/>
          <w:numId w:val="2"/>
        </w:numPr>
        <w:spacing w:after="55"/>
      </w:pPr>
      <w:r>
        <w:rPr>
          <w:b/>
          <w:bCs/>
          <w:sz w:val="21"/>
          <w:szCs w:val="21"/>
        </w:rPr>
        <w:t xml:space="preserve">Jurisdiction guard: </w:t>
      </w:r>
      <w:r>
        <w:rPr>
          <w:sz w:val="21"/>
          <w:szCs w:val="21"/>
        </w:rPr>
        <w:t xml:space="preserve">Awardee callers may create only for providers within their jurisdiction (Sales Office scope, same PFCG mapping as the read DCLs); CDC role unrestricted. This is the sole server-side jurisdiction control on the write path — implement first, test hardest.</w:t>
      </w:r>
    </w:p>
    <w:p>
      <w:pPr>
        <w:pStyle w:val="ListParagraph"/>
        <w:numPr>
          <w:ilvl w:val="0"/>
          <w:numId w:val="2"/>
        </w:numPr>
        <w:spacing w:after="55"/>
      </w:pPr>
      <w:r>
        <w:rPr>
          <w:sz w:val="21"/>
          <w:szCs w:val="21"/>
        </w:rPr>
        <w:t xml:space="preserve">Create via the standard sales order API behind ZIF_VR_SD_ORDER_API (injectable wrapper; production impl per B0.2 LUW pattern; test double for unit tests). Supply nothing determinations own (sales area, pricing, currency); surface determination failures as-is.</w:t>
      </w:r>
    </w:p>
    <w:p>
      <w:pPr>
        <w:pStyle w:val="ListParagraph"/>
        <w:numPr>
          <w:ilvl w:val="0"/>
          <w:numId w:val="2"/>
        </w:numPr>
        <w:spacing w:after="55"/>
      </w:pPr>
      <w:r>
        <w:rPr>
          <w:sz w:val="21"/>
          <w:szCs w:val="21"/>
        </w:rPr>
        <w:t xml:space="preserve">Items: NDC→MATNR, quantity, uom as passed, intention→MVGR1 code; item numbering by the API.</w:t>
      </w:r>
    </w:p>
    <w:p>
      <w:pPr>
        <w:pStyle w:val="ListParagraph"/>
        <w:numPr>
          <w:ilvl w:val="0"/>
          <w:numId w:val="2"/>
        </w:numPr>
        <w:spacing w:after="55"/>
      </w:pPr>
      <w:r>
        <w:rPr>
          <w:sz w:val="21"/>
          <w:szCs w:val="21"/>
        </w:rPr>
        <w:t xml:space="preserve">Post-create read-back: confirm order exists; return SalesDocument. Status is expected 1A from the ZKB status profile — the class asserts nothing and sets nothing; config gap handling is B4.2’s.</w:t>
      </w:r>
    </w:p>
    <w:p>
      <w:pPr>
        <w:pStyle w:val="ListParagraph"/>
        <w:numPr>
          <w:ilvl w:val="0"/>
          <w:numId w:val="2"/>
        </w:numPr>
        <w:spacing w:after="55"/>
      </w:pPr>
      <w:r>
        <w:rPr>
          <w:sz w:val="21"/>
          <w:szCs w:val="21"/>
        </w:rPr>
        <w:t xml:space="preserve">Structure the mapping/validation core for reuse by a future update variant and by the API channel (standing decision: callable core, thin wrappers).</w:t>
      </w:r>
    </w:p>
    <w:p>
      <w:pPr>
        <w:pStyle w:val="Heading1"/>
        <w:spacing w:after="130" w:before="230"/>
      </w:pPr>
      <w:r>
        <w:rPr>
          <w:b/>
          <w:bCs/>
          <w:color w:val="1F4E79"/>
          <w:sz w:val="27"/>
          <w:szCs w:val="27"/>
        </w:rPr>
        <w:t xml:space="preserve">4.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c>
          <w:tcPr>
            <w:tcW w:type="dxa" w:w="2100"/>
            <w:shd w:fill="1F4E79" w:val="clear"/>
          </w:tcPr>
          <w:p>
            <w:pPr>
              <w:spacing w:after="35"/>
            </w:pPr>
            <w:r>
              <w:rPr>
                <w:b/>
                <w:bCs/>
                <w:color w:val="FFFFFF"/>
                <w:sz w:val="19"/>
                <w:szCs w:val="19"/>
              </w:rPr>
              <w:t xml:space="preserve">Payload</w:t>
            </w:r>
          </w:p>
        </w:tc>
        <w:tc>
          <w:tcPr>
            <w:tcW w:type="dxa" w:w="2500"/>
            <w:shd w:fill="1F4E79" w:val="clear"/>
          </w:tcPr>
          <w:p>
            <w:pPr>
              <w:spacing w:after="35"/>
            </w:pPr>
            <w:r>
              <w:rPr>
                <w:b/>
                <w:bCs/>
                <w:color w:val="FFFFFF"/>
                <w:sz w:val="19"/>
                <w:szCs w:val="19"/>
              </w:rPr>
              <w:t xml:space="preserve">Target</w:t>
            </w:r>
          </w:p>
        </w:tc>
        <w:tc>
          <w:tcPr>
            <w:tcW w:type="dxa" w:w="4760"/>
            <w:shd w:fill="1F4E79" w:val="clear"/>
          </w:tcPr>
          <w:p>
            <w:pPr>
              <w:spacing w:after="35"/>
            </w:pPr>
            <w:r>
              <w:rPr>
                <w:b/>
                <w:bCs/>
                <w:color w:val="FFFFFF"/>
                <w:sz w:val="19"/>
                <w:szCs w:val="19"/>
              </w:rPr>
              <w:t xml:space="preserve">Notes</w:t>
            </w:r>
          </w:p>
        </w:tc>
      </w:tr>
      <w:tr>
        <w:tc>
          <w:tcPr>
            <w:tcW w:type="dxa" w:w="2100"/>
          </w:tcPr>
          <w:p>
            <w:pPr>
              <w:spacing w:after="35"/>
            </w:pPr>
            <w:r>
              <w:rPr>
                <w:sz w:val="19"/>
                <w:szCs w:val="19"/>
              </w:rPr>
              <w:t xml:space="preserve">provider</w:t>
            </w:r>
          </w:p>
        </w:tc>
        <w:tc>
          <w:tcPr>
            <w:tcW w:type="dxa" w:w="2500"/>
          </w:tcPr>
          <w:p>
            <w:pPr>
              <w:spacing w:after="35"/>
            </w:pPr>
            <w:r>
              <w:rPr>
                <w:rFonts w:ascii="Consolas" w:cs="Consolas" w:eastAsia="Consolas" w:hAnsi="Consolas"/>
                <w:sz w:val="19"/>
                <w:szCs w:val="19"/>
              </w:rPr>
              <w:t xml:space="preserve">Sold-to (KUNNR)</w:t>
            </w:r>
          </w:p>
        </w:tc>
        <w:tc>
          <w:tcPr>
            <w:tcW w:type="dxa" w:w="4760"/>
          </w:tcPr>
          <w:p>
            <w:pPr>
              <w:spacing w:after="35"/>
            </w:pPr>
            <w:r>
              <w:rPr>
                <w:sz w:val="19"/>
                <w:szCs w:val="19"/>
              </w:rPr>
              <w:t xml:space="preserve">Mandatory; existence + block check</w:t>
            </w:r>
          </w:p>
        </w:tc>
      </w:tr>
      <w:tr>
        <w:tc>
          <w:tcPr>
            <w:tcW w:type="dxa" w:w="2100"/>
          </w:tcPr>
          <w:p>
            <w:pPr>
              <w:spacing w:after="35"/>
            </w:pPr>
            <w:r>
              <w:rPr>
                <w:sz w:val="19"/>
                <w:szCs w:val="19"/>
              </w:rPr>
              <w:t xml:space="preserve">description</w:t>
            </w:r>
          </w:p>
        </w:tc>
        <w:tc>
          <w:tcPr>
            <w:tcW w:type="dxa" w:w="2500"/>
          </w:tcPr>
          <w:p>
            <w:pPr>
              <w:spacing w:after="35"/>
            </w:pPr>
            <w:r>
              <w:rPr>
                <w:rFonts w:ascii="Consolas" w:cs="Consolas" w:eastAsia="Consolas" w:hAnsi="Consolas"/>
                <w:sz w:val="19"/>
                <w:szCs w:val="19"/>
              </w:rPr>
              <w:t xml:space="preserve">VBAK-KTEXT</w:t>
            </w:r>
          </w:p>
        </w:tc>
        <w:tc>
          <w:tcPr>
            <w:tcW w:type="dxa" w:w="4760"/>
          </w:tcPr>
          <w:p>
            <w:pPr>
              <w:spacing w:after="35"/>
            </w:pPr>
            <w:r>
              <w:rPr>
                <w:sz w:val="19"/>
                <w:szCs w:val="19"/>
              </w:rPr>
              <w:t xml:space="preserve">Field exists but is not on order GUI screens (KBA 3199364). Write path: verify whether the create API header carries it; else the API’s extension mechanism. Never a post-create table write.</w:t>
            </w:r>
          </w:p>
        </w:tc>
      </w:tr>
      <w:tr>
        <w:tc>
          <w:tcPr>
            <w:tcW w:type="dxa" w:w="2100"/>
          </w:tcPr>
          <w:p>
            <w:pPr>
              <w:spacing w:after="35"/>
            </w:pPr>
            <w:r>
              <w:rPr>
                <w:sz w:val="19"/>
                <w:szCs w:val="19"/>
              </w:rPr>
              <w:t xml:space="preserve">contactId</w:t>
            </w:r>
          </w:p>
        </w:tc>
        <w:tc>
          <w:tcPr>
            <w:tcW w:type="dxa" w:w="2500"/>
          </w:tcPr>
          <w:p>
            <w:pPr>
              <w:spacing w:after="35"/>
            </w:pPr>
            <w:r>
              <w:rPr>
                <w:sz w:val="19"/>
                <w:szCs w:val="19"/>
              </w:rPr>
              <w:t xml:space="preserve">Contact-person partner function</w:t>
            </w:r>
          </w:p>
        </w:tc>
        <w:tc>
          <w:tcPr>
            <w:tcW w:type="dxa" w:w="4760"/>
          </w:tcPr>
          <w:p>
            <w:pPr>
              <w:spacing w:after="35"/>
            </w:pPr>
            <w:r>
              <w:rPr>
                <w:sz w:val="19"/>
                <w:szCs w:val="19"/>
              </w:rPr>
              <w:t xml:space="preserve">Function code per terminology map — TODO-VERIFY; BP↔KUNNR (CVI) mapping consistent with the Contact VH output</w:t>
            </w:r>
          </w:p>
        </w:tc>
      </w:tr>
      <w:tr>
        <w:tc>
          <w:tcPr>
            <w:tcW w:type="dxa" w:w="2100"/>
          </w:tcPr>
          <w:p>
            <w:pPr>
              <w:spacing w:after="35"/>
            </w:pPr>
            <w:r>
              <w:rPr>
                <w:sz w:val="19"/>
                <w:szCs w:val="19"/>
              </w:rPr>
              <w:t xml:space="preserve">priority</w:t>
            </w:r>
          </w:p>
        </w:tc>
        <w:tc>
          <w:tcPr>
            <w:tcW w:type="dxa" w:w="2500"/>
          </w:tcPr>
          <w:p>
            <w:pPr>
              <w:spacing w:after="35"/>
            </w:pPr>
            <w:r>
              <w:rPr>
                <w:sz w:val="19"/>
                <w:szCs w:val="19"/>
              </w:rPr>
              <w:t xml:space="preserve">Delivery-priority field</w:t>
            </w:r>
          </w:p>
        </w:tc>
        <w:tc>
          <w:tcPr>
            <w:tcW w:type="dxa" w:w="4760"/>
          </w:tcPr>
          <w:p>
            <w:pPr>
              <w:spacing w:after="35"/>
            </w:pPr>
            <w:r>
              <w:rPr>
                <w:sz w:val="19"/>
                <w:szCs w:val="19"/>
              </w:rPr>
              <w:t xml:space="preserve">Exact field + codes TODO-VERIFY / B4.3</w:t>
            </w:r>
          </w:p>
        </w:tc>
      </w:tr>
      <w:tr>
        <w:tc>
          <w:tcPr>
            <w:tcW w:type="dxa" w:w="2100"/>
          </w:tcPr>
          <w:p>
            <w:pPr>
              <w:spacing w:after="35"/>
            </w:pPr>
            <w:r>
              <w:rPr>
                <w:sz w:val="19"/>
                <w:szCs w:val="19"/>
              </w:rPr>
              <w:t xml:space="preserve">orderReason</w:t>
            </w:r>
          </w:p>
        </w:tc>
        <w:tc>
          <w:tcPr>
            <w:tcW w:type="dxa" w:w="2500"/>
          </w:tcPr>
          <w:p>
            <w:pPr>
              <w:spacing w:after="35"/>
            </w:pPr>
            <w:r>
              <w:rPr>
                <w:rFonts w:ascii="Consolas" w:cs="Consolas" w:eastAsia="Consolas" w:hAnsi="Consolas"/>
                <w:sz w:val="19"/>
                <w:szCs w:val="19"/>
              </w:rPr>
              <w:t xml:space="preserve">AUGRU</w:t>
            </w:r>
          </w:p>
        </w:tc>
        <w:tc>
          <w:tcPr>
            <w:tcW w:type="dxa" w:w="4760"/>
          </w:tcPr>
          <w:p>
            <w:pPr>
              <w:spacing w:after="35"/>
            </w:pPr>
            <w:r>
              <w:rPr>
                <w:sz w:val="19"/>
                <w:szCs w:val="19"/>
              </w:rPr>
              <w:t xml:space="preserve">Codes per B4.3 / ZVR_VH_ALLOW seed</w:t>
            </w:r>
          </w:p>
        </w:tc>
      </w:tr>
      <w:tr>
        <w:tc>
          <w:tcPr>
            <w:tcW w:type="dxa" w:w="2100"/>
          </w:tcPr>
          <w:p>
            <w:pPr>
              <w:spacing w:after="35"/>
            </w:pPr>
            <w:r>
              <w:rPr>
                <w:sz w:val="19"/>
                <w:szCs w:val="19"/>
              </w:rPr>
              <w:t xml:space="preserve">category</w:t>
            </w:r>
          </w:p>
        </w:tc>
        <w:tc>
          <w:tcPr>
            <w:tcW w:type="dxa" w:w="2500"/>
          </w:tcPr>
          <w:p>
            <w:pPr>
              <w:spacing w:after="35"/>
            </w:pPr>
            <w:r>
              <w:rPr>
                <w:sz w:val="19"/>
                <w:szCs w:val="19"/>
              </w:rPr>
              <w:t xml:space="preserve">Pending mapping</w:t>
            </w:r>
          </w:p>
        </w:tc>
        <w:tc>
          <w:tcPr>
            <w:tcW w:type="dxa" w:w="4760"/>
          </w:tcPr>
          <w:p>
            <w:pPr>
              <w:spacing w:after="35"/>
            </w:pPr>
            <w:r>
              <w:rPr>
                <w:sz w:val="19"/>
                <w:szCs w:val="19"/>
              </w:rPr>
              <w:t xml:space="preserve">Blocked until the Category field decision lands; omit from processing until then, reject if sent — or accept-and-ignore per functional ruling (record which)</w:t>
            </w:r>
          </w:p>
        </w:tc>
      </w:tr>
      <w:tr>
        <w:tc>
          <w:tcPr>
            <w:tcW w:type="dxa" w:w="2100"/>
          </w:tcPr>
          <w:p>
            <w:pPr>
              <w:spacing w:after="35"/>
            </w:pPr>
            <w:r>
              <w:rPr>
                <w:sz w:val="19"/>
                <w:szCs w:val="19"/>
              </w:rPr>
              <w:t xml:space="preserve">exisId</w:t>
            </w:r>
          </w:p>
        </w:tc>
        <w:tc>
          <w:tcPr>
            <w:tcW w:type="dxa" w:w="2500"/>
          </w:tcPr>
          <w:p>
            <w:pPr>
              <w:spacing w:after="35"/>
            </w:pPr>
            <w:r>
              <w:rPr>
                <w:rFonts w:ascii="Consolas" w:cs="Consolas" w:eastAsia="Consolas" w:hAnsi="Consolas"/>
                <w:sz w:val="19"/>
                <w:szCs w:val="19"/>
              </w:rPr>
              <w:t xml:space="preserve">BSTKD</w:t>
            </w:r>
          </w:p>
          <w:p>
            <w:pPr>
              <w:spacing w:after="35"/>
            </w:pPr>
            <w:r>
              <w:rPr>
                <w:sz w:val="19"/>
                <w:szCs w:val="19"/>
              </w:rPr>
              <w:t xml:space="preserve"> (PurchaseOrderByCustomer)</w:t>
            </w:r>
          </w:p>
        </w:tc>
        <w:tc>
          <w:tcPr>
            <w:tcW w:type="dxa" w:w="4760"/>
          </w:tcPr>
          <w:p>
            <w:pPr>
              <w:spacing w:after="35"/>
            </w:pPr>
            <w:r>
              <w:rPr>
                <w:sz w:val="19"/>
                <w:szCs w:val="19"/>
              </w:rPr>
              <w:t xml:space="preserve"/>
            </w:r>
          </w:p>
        </w:tc>
      </w:tr>
      <w:tr>
        <w:tc>
          <w:tcPr>
            <w:tcW w:type="dxa" w:w="2100"/>
          </w:tcPr>
          <w:p>
            <w:pPr>
              <w:spacing w:after="35"/>
            </w:pPr>
            <w:r>
              <w:rPr>
                <w:sz w:val="19"/>
                <w:szCs w:val="19"/>
              </w:rPr>
              <w:t xml:space="preserve">items[].intention</w:t>
            </w:r>
          </w:p>
        </w:tc>
        <w:tc>
          <w:tcPr>
            <w:tcW w:type="dxa" w:w="2500"/>
          </w:tcPr>
          <w:p>
            <w:pPr>
              <w:spacing w:after="35"/>
            </w:pPr>
            <w:r>
              <w:rPr>
                <w:rFonts w:ascii="Consolas" w:cs="Consolas" w:eastAsia="Consolas" w:hAnsi="Consolas"/>
                <w:sz w:val="19"/>
                <w:szCs w:val="19"/>
              </w:rPr>
              <w:t xml:space="preserve">VBAP-MVGR1</w:t>
            </w:r>
          </w:p>
        </w:tc>
        <w:tc>
          <w:tcPr>
            <w:tcW w:type="dxa" w:w="4760"/>
          </w:tcPr>
          <w:p>
            <w:pPr>
              <w:spacing w:after="35"/>
            </w:pPr>
            <w:r>
              <w:rPr>
                <w:sz w:val="19"/>
                <w:szCs w:val="19"/>
              </w:rPr>
              <w:t xml:space="preserve">Codes per B4.3</w:t>
            </w:r>
          </w:p>
        </w:tc>
      </w:tr>
    </w:tbl>
    <w:p>
      <w:pPr>
        <w:pStyle w:val="Heading1"/>
        <w:spacing w:after="130" w:before="230"/>
      </w:pPr>
      <w:r>
        <w:rPr>
          <w:b/>
          <w:bCs/>
          <w:color w:val="1F4E79"/>
          <w:sz w:val="27"/>
          <w:szCs w:val="27"/>
        </w:rPr>
        <w:t xml:space="preserve">5. Error Handling &amp; Authorization</w:t>
      </w:r>
    </w:p>
    <w:p>
      <w:pPr>
        <w:pStyle w:val="ListParagraph"/>
        <w:numPr>
          <w:ilvl w:val="0"/>
          <w:numId w:val="2"/>
        </w:numPr>
        <w:spacing w:after="55"/>
      </w:pPr>
      <w:r>
        <w:rPr>
          <w:sz w:val="21"/>
          <w:szCs w:val="21"/>
        </w:rPr>
        <w:t xml:space="preserve">All messages through the message table with severity + target; API messages (BAPIRET-style) mapped, preserving message class/number for supportability.</w:t>
      </w:r>
    </w:p>
    <w:p>
      <w:pPr>
        <w:pStyle w:val="ListParagraph"/>
        <w:numPr>
          <w:ilvl w:val="0"/>
          <w:numId w:val="2"/>
        </w:numPr>
        <w:spacing w:after="55"/>
      </w:pPr>
      <w:r>
        <w:rPr>
          <w:sz w:val="21"/>
          <w:szCs w:val="21"/>
        </w:rPr>
        <w:t xml:space="preserve">Hard failure ⇒ no persisted order (atomicity per B0.2 pattern). Partial item failure = hard failure of the whole request.</w:t>
      </w:r>
    </w:p>
    <w:p>
      <w:pPr>
        <w:pStyle w:val="ListParagraph"/>
        <w:numPr>
          <w:ilvl w:val="0"/>
          <w:numId w:val="2"/>
        </w:numPr>
        <w:spacing w:after="55"/>
      </w:pPr>
      <w:r>
        <w:rPr>
          <w:sz w:val="21"/>
          <w:szCs w:val="21"/>
        </w:rPr>
        <w:t xml:space="preserve">Authorization: standard SD create authorization applies via the API; jurisdiction guard per §3; action-level auth per exposure vehicle.</w:t>
      </w:r>
    </w:p>
    <w:p>
      <w:pPr>
        <w:pStyle w:val="Heading1"/>
        <w:spacing w:after="130" w:before="230"/>
      </w:pPr>
      <w:r>
        <w:rPr>
          <w:b/>
          <w:bCs/>
          <w:color w:val="1F4E79"/>
          <w:sz w:val="27"/>
          <w:szCs w:val="27"/>
        </w:rPr>
        <w:t xml:space="preserve">6. Verification &amp; Tests</w:t>
      </w:r>
    </w:p>
    <w:p>
      <w:pPr>
        <w:spacing w:after="110"/>
      </w:pPr>
      <w:r>
        <w:rPr>
          <w:b/>
          <w:bCs/>
          <w:color w:val="C00000"/>
          <w:sz w:val="19"/>
          <w:szCs w:val="19"/>
        </w:rPr>
        <w:t xml:space="preserve">TODO-VERIFY: </w:t>
      </w:r>
      <w:r>
        <w:rPr>
          <w:sz w:val="19"/>
          <w:szCs w:val="19"/>
        </w:rPr>
        <w:t xml:space="preserve">B0.1 exposure vehicle; B0.2 LUW pattern (do not code the API wrapper from memory); KTEXT write path; contact partner function code; priority/category fields; all code values (B4.3).</w:t>
      </w:r>
    </w:p>
    <w:p>
      <w:pPr>
        <w:pStyle w:val="ListParagraph"/>
        <w:numPr>
          <w:ilvl w:val="0"/>
          <w:numId w:val="2"/>
        </w:numPr>
        <w:spacing w:after="55"/>
      </w:pPr>
      <w:r>
        <w:rPr>
          <w:sz w:val="21"/>
          <w:szCs w:val="21"/>
        </w:rPr>
        <w:t xml:space="preserve">Unit tests (double-backed): mapping completeness per field present/absent; jurisdiction negative (Awardee, foreign provider); message-target mapping incl. item index; blocked NDC/provider rejection.</w:t>
      </w:r>
    </w:p>
    <w:p>
      <w:pPr>
        <w:pStyle w:val="ListParagraph"/>
        <w:numPr>
          <w:ilvl w:val="0"/>
          <w:numId w:val="2"/>
        </w:numPr>
        <w:spacing w:after="55"/>
      </w:pPr>
      <w:r>
        <w:rPr>
          <w:sz w:val="21"/>
          <w:szCs w:val="21"/>
        </w:rPr>
        <w:t xml:space="preserve">Acceptance: contract payload → real ZKB order verifiable in VA03 + SE16 (incl. KTEXT); all forced-failure paths return targeted messages and no order; joint test per B5.</w:t>
      </w:r>
    </w:p>
    <w:sectPr>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2026-08-19T17:09:23.470Z</dcterms:created>
  <dcterms:modified xsi:type="dcterms:W3CDTF">2026-08-19T17:09:23.487Z</dcterms:modified>
</cp:coreProperties>
</file>

<file path=docProps/custom.xml><?xml version="1.0" encoding="utf-8"?>
<Properties xmlns="http://schemas.openxmlformats.org/officeDocument/2006/custom-properties" xmlns:vt="http://schemas.openxmlformats.org/officeDocument/2006/docPropsVTypes"/>
</file>