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24"/>
          <w:szCs w:val="24"/>
        </w:rPr>
        <w:t xml:space="preserve">CDC VTrckS / E008 — Backend Technical Specification</w:t>
      </w:r>
    </w:p>
    <w:p>
      <w:pPr>
        <w:spacing w:after="160"/>
      </w:pPr>
      <w:r>
        <w:rPr>
          <w:b/>
          <w:bCs/>
          <w:sz w:val="32"/>
          <w:szCs w:val="32"/>
        </w:rPr>
        <w:t xml:space="preserve">Value Help — Providers (Sold-To)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Spec ID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TS-E008-B2.3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Object(s)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Decision-gated: standard SoldToParty VH reuse OR ZI_VR_PROVIDERVH · alias ZZ_ProviderVH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Object type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CDS value-help view (+ DCL)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Package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ZVR_EXT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Backend task ref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B2.3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References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E008_Service_Extension_Design.md; E008_Backend_Tasks_CRUD1.md; PAYLOAD_CONTRACT.md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DRAFT v1.0 · 08/2026 · house rules apply: no invented names — resolve every TODO-VERIFY in ADT before build sign-off</w:t>
            </w:r>
          </w:p>
        </w:tc>
      </w:tr>
    </w:tbl>
    <w:p>
      <w:pPr>
        <w:spacing w:after="110"/>
      </w:pPr>
      <w:r>
        <w:rPr>
          <w:sz w:val="21"/>
          <w:szCs w:val="21"/>
        </w:rPr>
        <w:t xml:space="preserve"/>
      </w:r>
    </w:p>
    <w:p>
      <w:pPr>
        <w:pStyle w:val="Heading1"/>
        <w:spacing w:after="130" w:before="230"/>
      </w:pPr>
      <w:r>
        <w:rPr>
          <w:b/>
          <w:bCs/>
          <w:color w:val="1F4E79"/>
          <w:sz w:val="27"/>
          <w:szCs w:val="27"/>
        </w:rPr>
        <w:t xml:space="preserve">1. Purpose</w:t>
      </w:r>
    </w:p>
    <w:p>
      <w:pPr>
        <w:spacing w:after="110"/>
      </w:pPr>
      <w:r>
        <w:rPr>
          <w:sz w:val="21"/>
          <w:szCs w:val="21"/>
        </w:rPr>
        <w:t xml:space="preserve">Provider (sold-to customer) search for the create dialog. Step 1 is a reuse check, not a build.</w:t>
      </w:r>
    </w:p>
    <w:p>
      <w:pPr>
        <w:pStyle w:val="Heading1"/>
        <w:spacing w:after="130" w:before="230"/>
      </w:pPr>
      <w:r>
        <w:rPr>
          <w:b/>
          <w:bCs/>
          <w:color w:val="1F4E79"/>
          <w:sz w:val="27"/>
          <w:szCs w:val="27"/>
        </w:rPr>
        <w:t xml:space="preserve">2. Source &amp; Logic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1"/>
          <w:szCs w:val="21"/>
        </w:rPr>
        <w:t xml:space="preserve">Step 1 (0.5 PD): </w:t>
      </w:r>
      <w:r>
        <w:rPr>
          <w:sz w:val="21"/>
          <w:szCs w:val="21"/>
        </w:rPr>
        <w:t xml:space="preserve">verify whether the standard SoldToParty value-help annotation on C_SalesOrderManage is consumable by the freestyle dialog (annotation present, entity reachable, filterable). If yes: document and STOP — no custom object.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Step 2 (only if step 1 fails): ZI_VR_PROVIDERVH over customer master (name, city, postal); structure so the Provider PIN column joins in later when the PIN field lands (leave a commented placeholder, not a fake field).</w:t>
      </w:r>
    </w:p>
    <w:p>
      <w:pPr>
        <w:spacing w:after="110"/>
      </w:pPr>
      <w:r>
        <w:rPr>
          <w:b/>
          <w:bCs/>
          <w:color w:val="C00000"/>
          <w:sz w:val="19"/>
          <w:szCs w:val="19"/>
        </w:rPr>
        <w:t xml:space="preserve">TODO-VERIFY: </w:t>
      </w:r>
      <w:r>
        <w:rPr>
          <w:sz w:val="19"/>
          <w:szCs w:val="19"/>
        </w:rPr>
        <w:t xml:space="preserve">Standard VH availability; customer source view choice on target release.</w:t>
      </w:r>
    </w:p>
    <w:p>
      <w:pPr>
        <w:pStyle w:val="Heading1"/>
        <w:spacing w:after="130" w:before="230"/>
      </w:pPr>
      <w:r>
        <w:rPr>
          <w:b/>
          <w:bCs/>
          <w:color w:val="1F4E79"/>
          <w:sz w:val="27"/>
          <w:szCs w:val="27"/>
        </w:rPr>
        <w:t xml:space="preserve">3. Interface (exposed fields)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1F4E79" w:val="clear"/>
          </w:tcPr>
          <w:p>
            <w:pPr>
              <w:spacing w:after="3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760"/>
            <w:shd w:fill="1F4E79" w:val="clear"/>
          </w:tcPr>
          <w:p>
            <w:pPr>
              <w:spacing w:after="3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</w:tcPr>
          <w:p>
            <w:pPr>
              <w:spacing w:after="35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Customer (KUNNR)</w:t>
            </w:r>
          </w:p>
        </w:tc>
        <w:tc>
          <w:tcPr>
            <w:tcW w:type="dxa" w:w="67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Payload provider value</w:t>
            </w:r>
          </w:p>
        </w:tc>
      </w:tr>
      <w:tr>
        <w:tc>
          <w:tcPr>
            <w:tcW w:type="dxa" w:w="2600"/>
          </w:tcPr>
          <w:p>
            <w:pPr>
              <w:spacing w:after="35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CustomerName</w:t>
            </w:r>
          </w:p>
        </w:tc>
        <w:tc>
          <w:tcPr>
            <w:tcW w:type="dxa" w:w="67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Display + search</w:t>
            </w:r>
          </w:p>
        </w:tc>
      </w:tr>
      <w:tr>
        <w:tc>
          <w:tcPr>
            <w:tcW w:type="dxa" w:w="2600"/>
          </w:tcPr>
          <w:p>
            <w:pPr>
              <w:spacing w:after="35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CityName / PostalCode</w:t>
            </w:r>
          </w:p>
        </w:tc>
        <w:tc>
          <w:tcPr>
            <w:tcW w:type="dxa" w:w="67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Disambiguation</w:t>
            </w:r>
          </w:p>
        </w:tc>
      </w:tr>
      <w:tr>
        <w:tc>
          <w:tcPr>
            <w:tcW w:type="dxa" w:w="2600"/>
          </w:tcPr>
          <w:p>
            <w:pPr>
              <w:spacing w:after="35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(future) ProviderPIN</w:t>
            </w:r>
          </w:p>
        </w:tc>
        <w:tc>
          <w:tcPr>
            <w:tcW w:type="dxa" w:w="67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Placeholder only — joins when master-data field exists</w:t>
            </w:r>
          </w:p>
        </w:tc>
      </w:tr>
    </w:tbl>
    <w:p>
      <w:pPr>
        <w:pStyle w:val="Heading1"/>
        <w:spacing w:after="130" w:before="230"/>
      </w:pPr>
      <w:r>
        <w:rPr>
          <w:b/>
          <w:bCs/>
          <w:color w:val="1F4E79"/>
          <w:sz w:val="27"/>
          <w:szCs w:val="27"/>
        </w:rPr>
        <w:t xml:space="preserve">4. Exposure, Restriction, Texts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Exposure: add to service definition extension ZVR_EXT_SALESORDERMANAGE; alias per Interface section. Activation ritual: activate → /IWFND/CACHE_CLEANUP + V4 cache cleanup → fresh-tab $metadata check → $filter round-trip test.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Restriction: master-data-driven filter per Logic section — explicitly NOT via ZVR_VH_ALLOW (config-code table only).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Texts: language-dependent via text association; no hardcoded texts. Client consumes texts as delivered.</w:t>
      </w:r>
    </w:p>
    <w:p>
      <w:pPr>
        <w:pStyle w:val="Heading1"/>
        <w:spacing w:after="130" w:before="230"/>
      </w:pPr>
      <w:r>
        <w:rPr>
          <w:b/>
          <w:bCs/>
          <w:color w:val="1F4E79"/>
          <w:sz w:val="27"/>
          <w:szCs w:val="27"/>
        </w:rPr>
        <w:t xml:space="preserve">5. Authorization (DCL)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Jurisdiction-scoped for Awardee users (their providers only) — this VH is the first place an Awardee could otherwise enumerate the national provider list; treat the DCL as mandatory, not hygiene.</w:t>
      </w:r>
    </w:p>
    <w:p>
      <w:pPr>
        <w:pStyle w:val="Heading1"/>
        <w:spacing w:after="130" w:before="230"/>
      </w:pPr>
      <w:r>
        <w:rPr>
          <w:b/>
          <w:bCs/>
          <w:color w:val="1F4E79"/>
          <w:sz w:val="27"/>
          <w:szCs w:val="27"/>
        </w:rPr>
        <w:t xml:space="preserve">6. Verification &amp; Acceptance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Acceptance: search by partial name and by ID; Awardee scoping proven; if standard VH reused, the same two tests against it, documented in NOTES.</w:t>
      </w:r>
    </w:p>
    <w:sectPr>
      <w:pgSz w:w="12240" w:h="15840" w:orient="portrait"/>
      <w:pgMar w:top="1000" w:right="144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2026-08-19T17:09:23.505Z</dcterms:created>
  <dcterms:modified xsi:type="dcterms:W3CDTF">2026-08-19T17:09:23.505Z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