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IoH Exposure — Option 4: Composite Read Root (PARKED — build gate applies)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TS-E008-IOH-OPT4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ZI_VR_ORDERIOH_C (composite read view) · optional ZC_ projection · service extension alias ZZ_OrderIoH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Read-only CDS composite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PARKED. Build gate: a NAMED cross-document requirement (reporting/admin list spanning orders+IoH). Do not build for the cockpit section — Option 1 serves it.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 §3 · E008_Extension_Build_Prompt.md · CR-002 · NOTES correction (non-draft BDEF)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 &amp; When This Exists</w:t>
      </w:r>
    </w:p>
    <w:p>
      <w:pPr>
        <w:spacing w:after="110"/>
      </w:pPr>
      <w:r>
        <w:rPr>
          <w:sz w:val="21"/>
          <w:szCs w:val="21"/>
        </w:rPr>
        <w:t xml:space="preserve">A combined order+IoH read model for CROSS-DOCUMENT list scenarios — e.g. “all ZKB orders with/without submitted IoH”, discrepancy or completeness reporting, admin worklists. It is NOT an alternative access path for the cockpit’s IoH section: single-order access stays Option 1. This spec exists so that when such a requirement lands, evaluation and build are a 1–2 PD exercise instead of a design debate.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Anti-goal: </w:t>
      </w:r>
      <w:r>
        <w:rPr>
          <w:sz w:val="21"/>
          <w:szCs w:val="21"/>
        </w:rPr>
        <w:t xml:space="preserve">no transactional behavior, no second write path, no duplication of Option 1’s exposure semantics. Read-only, single-purpose.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Design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define view entity ZI_VR_ORDERIOH_C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as select from I_SalesDocument as Order          " released; filter: E008 order types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association [0..1] to ZR_VR_IOHTP as _IoH        " OUR BO root; arrow points at us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on Order.SalesDocument = _IoH.SalesDocument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association [0..*] to ZR_VR_IOHLINETP as _IoHLine  " optional; only if line-level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on Order.SalesDocument = _IoHLine.SalesDocument   " reporting is in the requirement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key Order.SalesDocument,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Order.SalesDocumentType, Order.SoldToParty, Order.SalesOffice,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Order.CreationDate, ...                        " order columns per requirement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_IoH.IoHID, _IoH.IoHStatus,                    " flattened via [0..1] — legal join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case when _IoH.IoHID is null then '' else 'X' end as HasIoH,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_IoH, _IoHLine</w:t>
      </w:r>
    </w:p>
    <w:p>
      <w:pPr>
        <w:shd w:fill="F5F3EE" w:val="clear"/>
        <w:spacing w:after="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3EE" w:val="clear"/>
        <w:spacing w:after="130" w:line="225" w:lineRule="exact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where Order.SalesDocumentType = 'ZKB'               " + Replacement type when defined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Both associations originate on OUR side of the fence (released order view + our BO views) — no standard-object extension anywhere, which is precisely why this option is immune to the wall Option 1’s failed attempt hit.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The [0..1] cardinality that legalizes flattening _IoH fields is guaranteed by Option 1’s one-document-per-order rule — the two specs are coupled on that rule; note it in both.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Projection + exposure via ZVR_EXT (alias ZZ_OrderIoH) only when built; annotate for the consuming UI then, not speculatively.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Security &amp; Performance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DCL mandatory: jurisdiction filter on Order.SalesOffice (same PFCG mapping) — a cross-document list is exactly where an unscoped view would leak the national picture to an Awardee.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Performance: the Option 1 secondary index on SALESDOCUMENT carries the join; if the requirement implies large scans (completeness over seasons), evaluate an analytical-style projection at that time — with the OI-5 load figures, not before.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Build Gate &amp; Acceptance (when triggered)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Gate: named requirement + confirmation Option 1 cannot serve it with two queries. Record the requirement ID in this spec’s header when triggered.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 (post-build): HasIoH correct across three fixtures (order with IoH, without, foreign-jurisdiction); DCL negative test; join performance sane at dev data volumes; zero write capability confirmed in $metadata (no create/update on the exposure).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Released status of the chosen order columns on target release; Replacement order type value when defined.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2026-08-20T16:46:39.581Z</dcterms:created>
  <dcterms:modified xsi:type="dcterms:W3CDTF">2026-08-20T16:46:39.581Z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