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>E008 Technical Specification — RAP BO Service Extension Bridge</w:t>
      </w:r>
    </w:p>
    <w:p>
      <w:pPr>
        <w:jc w:val="center"/>
      </w:pPr>
      <w:r>
        <w:rPr>
          <w:rFonts w:ascii="Calibri" w:hAnsi="Calibri"/>
          <w:sz w:val="22"/>
        </w:rPr>
        <w:t>Service Definition: C_SALESORDERMANAGE_SD</w:t>
        <w:br/>
        <w:t>Status: Draft for backend-team review</w:t>
        <w:br/>
        <w:t>Date: 2026-08</w:t>
      </w:r>
    </w:p>
    <w:p>
      <w:r>
        <w:rPr>
          <w:rFonts w:ascii="Calibri" w:hAnsi="Calibri"/>
          <w:b/>
          <w:sz w:val="22"/>
        </w:rPr>
        <w:t xml:space="preserve">Scope: </w:t>
      </w:r>
      <w:r>
        <w:rPr>
          <w:rFonts w:ascii="Calibri" w:hAnsi="Calibri"/>
          <w:sz w:val="22"/>
        </w:rPr>
        <w:t>Extend the standard Manage Sales Orders V4 service to support all 13 cockpit sections for Vaccine Request order type ZKB, using additive service extension patterns and custom BOs where required.</w:t>
      </w:r>
    </w:p>
    <w:p>
      <w:pPr>
        <w:pStyle w:val="Heading1"/>
      </w:pPr>
      <w:r>
        <w:rPr>
          <w:rFonts w:ascii="Calibri" w:hAnsi="Calibri"/>
          <w:sz w:val="22"/>
        </w:rPr>
        <w:t>CR-002 IoH Final Disposition (Supersedes CR-001)</w:t>
      </w:r>
    </w:p>
    <w:p>
      <w:pPr>
        <w:pStyle w:val="ListBullet"/>
      </w:pPr>
      <w:r>
        <w:rPr>
          <w:rFonts w:ascii="Calibri" w:hAnsi="Calibri"/>
          <w:sz w:val="22"/>
        </w:rPr>
        <w:t>CR-001 (read-only Inventory on Hand) is void. Functional disposition confirms IoH must be editable.</w:t>
      </w:r>
    </w:p>
    <w:p>
      <w:pPr>
        <w:pStyle w:val="ListBullet"/>
      </w:pPr>
      <w:r>
        <w:rPr>
          <w:rFonts w:ascii="Calibri" w:hAnsi="Calibri"/>
          <w:sz w:val="22"/>
        </w:rPr>
        <w:t>IoH is modeled as a separate activity document with custom persistence (ZCDC_IOH family), created alongside ZKB request save; creation may be event-triggered and decoupled from standard save.</w:t>
      </w:r>
    </w:p>
    <w:p>
      <w:pPr>
        <w:pStyle w:val="ListBullet"/>
      </w:pPr>
      <w:r>
        <w:rPr>
          <w:rFonts w:ascii="Calibri" w:hAnsi="Calibri"/>
          <w:sz w:val="22"/>
        </w:rPr>
        <w:t>IoH lines are modifiable for rejected requests during resubmission.</w:t>
      </w:r>
    </w:p>
    <w:p>
      <w:pPr>
        <w:pStyle w:val="ListBullet"/>
      </w:pPr>
      <w:r>
        <w:rPr>
          <w:rFonts w:ascii="Calibri" w:hAnsi="Calibri"/>
          <w:sz w:val="22"/>
        </w:rPr>
        <w:t>Strict same-LUW composition with the standard order is retired by business decision; eventual consistency is accepted with compensating controls.</w:t>
      </w:r>
    </w:p>
    <w:p>
      <w:pPr>
        <w:pStyle w:val="ListBullet"/>
      </w:pPr>
      <w:r>
        <w:rPr>
          <w:rFonts w:ascii="Calibri" w:hAnsi="Calibri"/>
          <w:sz w:val="22"/>
        </w:rPr>
        <w:t>MVP-2 gate items remain: client draft protocol, action semantics envelope, field-control injection, jurisdiction DCL, and split enforcement.</w:t>
      </w:r>
    </w:p>
    <w:p>
      <w:pPr>
        <w:pStyle w:val="ListBullet"/>
      </w:pPr>
      <w:r>
        <w:rPr>
          <w:rFonts w:ascii="Calibri" w:hAnsi="Calibri"/>
          <w:sz w:val="22"/>
        </w:rPr>
        <w:t>Functional consequence: FR-07 remains editable under a decoupled creation model and associated ROM estimates are restored.</w:t>
      </w:r>
    </w:p>
    <w:p>
      <w:pPr>
        <w:pStyle w:val="Heading1"/>
      </w:pPr>
      <w:r>
        <w:rPr>
          <w:rFonts w:ascii="Calibri" w:hAnsi="Calibri"/>
          <w:sz w:val="22"/>
        </w:rPr>
        <w:t>1. Mechanism Overview</w:t>
      </w:r>
    </w:p>
    <w:p>
      <w:r>
        <w:rPr>
          <w:rFonts w:ascii="Calibri" w:hAnsi="Calibri"/>
          <w:sz w:val="22"/>
        </w:rPr>
        <w:t>The bridge architecture uses five implementation mechanisms. Each section explicitly maps to one or more mechanisms.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  <w:tc>
          <w:tcPr>
            <w:tcW w:type="dxa" w:w="2880"/>
          </w:tcPr>
          <w:p>
            <w:r>
              <w:t>Primary Use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Standard entities as delivered</w:t>
            </w:r>
          </w:p>
        </w:tc>
        <w:tc>
          <w:tcPr>
            <w:tcW w:type="dxa" w:w="2880"/>
          </w:tcPr>
          <w:p>
            <w:r>
              <w:t>Details core, Items core, Shipping, Organizational Data, Price Totals, Parties Involved, Alternative Shipping (read).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ZZ view extensions (R_SalesOrderTP + C_SalesOrderManage)</w:t>
            </w:r>
          </w:p>
        </w:tc>
        <w:tc>
          <w:tcPr>
            <w:tcW w:type="dxa" w:w="2880"/>
          </w:tcPr>
          <w:p>
            <w:r>
              <w:t>Flattened header/item fields such as contact name, ER name/PERNR, MVGR1/MVGR2, and verified ZZ opt-out mapping.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Custom read-only CDS entities via extend service</w:t>
            </w:r>
          </w:p>
        </w:tc>
        <w:tc>
          <w:tcPr>
            <w:tcW w:type="dxa" w:w="2880"/>
          </w:tcPr>
          <w:p>
            <w:r>
              <w:t>Shipping Transactions and Transaction History (VBFA), Change History (CDHDR/CDPOS).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Custom transactional RAP BO via extend service</w:t>
            </w:r>
          </w:p>
        </w:tc>
        <w:tc>
          <w:tcPr>
            <w:tcW w:type="dxa" w:w="2880"/>
          </w:tcPr>
          <w:p>
            <w:r>
              <w:t>Inventory on Hand (managed BO on own tables) and Notes (unmanaged BO over text APIs).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Reuse component without service change</w:t>
            </w:r>
          </w:p>
        </w:tc>
        <w:tc>
          <w:tcPr>
            <w:tcW w:type="dxa" w:w="2880"/>
          </w:tcPr>
          <w:p>
            <w:r>
              <w:t>Attachments via GOS/DMS reuse component on sales document context.</w:t>
            </w:r>
          </w:p>
        </w:tc>
      </w:tr>
    </w:tbl>
    <w:p>
      <w:r>
        <w:rPr>
          <w:rFonts w:ascii="Calibri" w:hAnsi="Calibri"/>
          <w:sz w:val="22"/>
        </w:rPr>
        <w:t>Service extension sketch: expose ZZ_IoH, ZZ_IoHLine, ZZ_Note, ZZ_DocFlow, ZZ_ChangeHistory, and ZZ_TextTypeVH from additive extend service object. Post-activation cache cleanup and metadata validation are mandatory.</w:t>
      </w:r>
    </w:p>
    <w:p>
      <w:pPr>
        <w:pStyle w:val="Heading1"/>
      </w:pPr>
      <w:r>
        <w:rPr>
          <w:rFonts w:ascii="Calibri" w:hAnsi="Calibri"/>
          <w:sz w:val="22"/>
        </w:rPr>
        <w:t>2. Section-by-Section Design</w:t>
      </w:r>
    </w:p>
    <w:p>
      <w:r>
        <w:rPr>
          <w:rFonts w:ascii="Calibri" w:hAnsi="Calibri"/>
          <w:b/>
          <w:sz w:val="22"/>
        </w:rPr>
        <w:t xml:space="preserve">Details (Form/Edit) — </w:t>
      </w:r>
      <w:r>
        <w:rPr>
          <w:rFonts w:ascii="Calibri" w:hAnsi="Calibri"/>
          <w:sz w:val="22"/>
        </w:rPr>
        <w:t>M1 + M2. Use standard VBAK/VBKD fields; verify KTEXT, AUGRU, BSTKD coverage. User Status selector constrained to five mapping values; expose via ZZ flattened status fields. Category mapping remains TODO-VERIFY.</w:t>
      </w:r>
    </w:p>
    <w:p>
      <w:r>
        <w:rPr>
          <w:rFonts w:ascii="Calibri" w:hAnsi="Calibri"/>
          <w:b/>
          <w:sz w:val="22"/>
        </w:rPr>
        <w:t xml:space="preserve">Item (List/CDE) — </w:t>
      </w:r>
      <w:r>
        <w:rPr>
          <w:rFonts w:ascii="Calibri" w:hAnsi="Calibri"/>
          <w:sz w:val="22"/>
        </w:rPr>
        <w:t>M1 + M2. Use standard item/procurement quantities and pricing exposures with S/4 corrections (VBUP replacement and PRCD_ELEMENTS). Verify MVGR1/MVGR2 exposure; use M2 where hidden.</w:t>
      </w:r>
    </w:p>
    <w:p>
      <w:r>
        <w:rPr>
          <w:rFonts w:ascii="Calibri" w:hAnsi="Calibri"/>
          <w:b/>
          <w:sz w:val="22"/>
        </w:rPr>
        <w:t xml:space="preserve">Inventory on Hand (List/CDE) — </w:t>
      </w:r>
      <w:r>
        <w:rPr>
          <w:rFonts w:ascii="Calibri" w:hAnsi="Calibri"/>
          <w:sz w:val="22"/>
        </w:rPr>
        <w:t>M4. Managed custom RAP BO with own persistence; editable by resubmission rules. Detailed in Section 3.</w:t>
      </w:r>
    </w:p>
    <w:p>
      <w:r>
        <w:rPr>
          <w:rFonts w:ascii="Calibri" w:hAnsi="Calibri"/>
          <w:b/>
          <w:sz w:val="22"/>
        </w:rPr>
        <w:t xml:space="preserve">Shipping (Form/Edit) — </w:t>
      </w:r>
      <w:r>
        <w:rPr>
          <w:rFonts w:ascii="Calibri" w:hAnsi="Calibri"/>
          <w:sz w:val="22"/>
        </w:rPr>
        <w:t>M1. Use standard VBPA/VBAK/LIFSK-derived shipping fields and delivery status.</w:t>
      </w:r>
    </w:p>
    <w:p>
      <w:r>
        <w:rPr>
          <w:rFonts w:ascii="Calibri" w:hAnsi="Calibri"/>
          <w:b/>
          <w:sz w:val="22"/>
        </w:rPr>
        <w:t xml:space="preserve">Alternative Shipping Address (Form/Edit) — </w:t>
      </w:r>
      <w:r>
        <w:rPr>
          <w:rFonts w:ascii="Calibri" w:hAnsi="Calibri"/>
          <w:sz w:val="22"/>
        </w:rPr>
        <w:t>M1 read; write is gate item. Read via standard partner/address association. Manual document-address write remains TODO-VERIFY on standard behavior.</w:t>
      </w:r>
    </w:p>
    <w:p>
      <w:r>
        <w:rPr>
          <w:rFonts w:ascii="Calibri" w:hAnsi="Calibri"/>
          <w:b/>
          <w:sz w:val="22"/>
        </w:rPr>
        <w:t xml:space="preserve">Shipping Transactions and Transaction History (List/RO) — </w:t>
      </w:r>
      <w:r>
        <w:rPr>
          <w:rFonts w:ascii="Calibri" w:hAnsi="Calibri"/>
          <w:sz w:val="22"/>
        </w:rPr>
        <w:t>M3. Read-only CDS view over VBFA and follow-on headers filtered by preceding sales document. Two UI sections consume filtered projections.</w:t>
      </w:r>
    </w:p>
    <w:p>
      <w:r>
        <w:rPr>
          <w:rFonts w:ascii="Calibri" w:hAnsi="Calibri"/>
          <w:b/>
          <w:sz w:val="22"/>
        </w:rPr>
        <w:t xml:space="preserve">Organizational Data (Form/Edit) — </w:t>
      </w:r>
      <w:r>
        <w:rPr>
          <w:rFonts w:ascii="Calibri" w:hAnsi="Calibri"/>
          <w:sz w:val="22"/>
        </w:rPr>
        <w:t>M1. VKORG, VTWEG, SPART, VKBUR, VKGRP from standard model. Service org fields remain free-text placeholders by design decision.</w:t>
      </w:r>
    </w:p>
    <w:p>
      <w:r>
        <w:rPr>
          <w:rFonts w:ascii="Calibri" w:hAnsi="Calibri"/>
          <w:b/>
          <w:sz w:val="22"/>
        </w:rPr>
        <w:t xml:space="preserve">Notes (List/CDE) — </w:t>
      </w:r>
      <w:r>
        <w:rPr>
          <w:rFonts w:ascii="Calibri" w:hAnsi="Calibri"/>
          <w:sz w:val="22"/>
        </w:rPr>
        <w:t>M4 unmanaged. Eight text types (1000, ZAPP, ZBHR, ZORD, ZORJ, ZSHP, ZVRH, ZVRL) through text APIs; text-ID configuration verification required.</w:t>
      </w:r>
    </w:p>
    <w:p>
      <w:r>
        <w:rPr>
          <w:rFonts w:ascii="Calibri" w:hAnsi="Calibri"/>
          <w:b/>
          <w:sz w:val="22"/>
        </w:rPr>
        <w:t xml:space="preserve">Parties Involved (List/CDE) — </w:t>
      </w:r>
      <w:r>
        <w:rPr>
          <w:rFonts w:ascii="Calibri" w:hAnsi="Calibri"/>
          <w:sz w:val="22"/>
        </w:rPr>
        <w:t>M1 read. Read-only partner/BP/address data now; partner editing deferred as gate item. Territory fields remain parked pending source definition.</w:t>
      </w:r>
    </w:p>
    <w:p>
      <w:r>
        <w:rPr>
          <w:rFonts w:ascii="Calibri" w:hAnsi="Calibri"/>
          <w:b/>
          <w:sz w:val="22"/>
        </w:rPr>
        <w:t xml:space="preserve">Attachments (List/CDE) — </w:t>
      </w:r>
      <w:r>
        <w:rPr>
          <w:rFonts w:ascii="Calibri" w:hAnsi="Calibri"/>
          <w:sz w:val="22"/>
        </w:rPr>
        <w:t>M5. Reuse GOS/DMS component; no service extension. Security policy (virus scan/MIME) enforced by platform workstream.</w:t>
      </w:r>
    </w:p>
    <w:p>
      <w:r>
        <w:rPr>
          <w:rFonts w:ascii="Calibri" w:hAnsi="Calibri"/>
          <w:b/>
          <w:sz w:val="22"/>
        </w:rPr>
        <w:t xml:space="preserve">Price Totals (Form/Edit) — </w:t>
      </w:r>
      <w:r>
        <w:rPr>
          <w:rFonts w:ascii="Calibri" w:hAnsi="Calibri"/>
          <w:sz w:val="22"/>
        </w:rPr>
        <w:t>M1 read. Use standard header pricing entities with condition-type filtering. Pricing condition edits on standard BO remain gate item.</w:t>
      </w:r>
    </w:p>
    <w:p>
      <w:r>
        <w:rPr>
          <w:rFonts w:ascii="Calibri" w:hAnsi="Calibri"/>
          <w:b/>
          <w:sz w:val="22"/>
        </w:rPr>
        <w:t xml:space="preserve">Change History (List/RO) — </w:t>
      </w:r>
      <w:r>
        <w:rPr>
          <w:rFonts w:ascii="Calibri" w:hAnsi="Calibri"/>
          <w:sz w:val="22"/>
        </w:rPr>
        <w:t>M3. Read entity over VERKBELEG change docs keyed by VBELN. If CDS access limits apply, use owned query implementation fallback.</w:t>
      </w:r>
    </w:p>
    <w:p>
      <w:r>
        <w:rPr>
          <w:rFonts w:ascii="Calibri" w:hAnsi="Calibri"/>
          <w:b/>
          <w:sz w:val="22"/>
        </w:rPr>
        <w:t xml:space="preserve">Private Notes (List/CDE) — </w:t>
      </w:r>
      <w:r>
        <w:rPr>
          <w:rFonts w:ascii="Calibri" w:hAnsi="Calibri"/>
          <w:sz w:val="22"/>
        </w:rPr>
        <w:t>M4. Additional text type or user-scoped note kind in Notes BO with author-only visibility via DCL/feature control.</w:t>
      </w:r>
    </w:p>
    <w:p>
      <w:pPr>
        <w:pStyle w:val="Heading1"/>
      </w:pPr>
      <w:r>
        <w:rPr>
          <w:rFonts w:ascii="Calibri" w:hAnsi="Calibri"/>
          <w:sz w:val="22"/>
        </w:rPr>
        <w:t>3. Inventory on Hand (IoH) — Custom RAP BO</w:t>
      </w:r>
    </w:p>
    <w:p>
      <w:r>
        <w:rPr>
          <w:rFonts w:ascii="Calibri" w:hAnsi="Calibri"/>
          <w:sz w:val="22"/>
        </w:rPr>
        <w:t>Pattern: managed RAP BO with own persistence, draft-free, fully owned validations/features/authorization, exposed through service extension.</w:t>
      </w:r>
    </w:p>
    <w:p>
      <w:pPr>
        <w:pStyle w:val="ListBullet"/>
      </w:pPr>
      <w:r>
        <w:rPr>
          <w:rFonts w:ascii="Calibri" w:hAnsi="Calibri"/>
          <w:sz w:val="22"/>
        </w:rPr>
        <w:t>Data model:</w:t>
      </w:r>
    </w:p>
    <w:p>
      <w:pPr>
        <w:pStyle w:val="ListBullet2"/>
      </w:pPr>
      <w:r>
        <w:rPr>
          <w:rFonts w:ascii="Calibri" w:hAnsi="Calibri"/>
          <w:sz w:val="22"/>
        </w:rPr>
        <w:t>ZVR_IOH_H (header): IOH_ID key, SALESDOCUMENT, PROVIDER, JURISDICTION snapshot, IOH_STATUS, CREATED_BY/AT, LOCAL_LAST_CHANGED_AT.</w:t>
      </w:r>
    </w:p>
    <w:p>
      <w:pPr>
        <w:pStyle w:val="ListBullet2"/>
      </w:pPr>
      <w:r>
        <w:rPr>
          <w:rFonts w:ascii="Calibri" w:hAnsi="Calibri"/>
          <w:sz w:val="22"/>
        </w:rPr>
        <w:t>ZVR_IOH_I (line): IOH_ID + LINE_ID key, NDC, LOT, QUANTITY, UOM, EXPIRATION_DATE, ZSOURCE (prepop/manual).</w:t>
      </w:r>
    </w:p>
    <w:p>
      <w:pPr>
        <w:pStyle w:val="ListBullet"/>
      </w:pPr>
      <w:r>
        <w:rPr>
          <w:rFonts w:ascii="Calibri" w:hAnsi="Calibri"/>
          <w:sz w:val="22"/>
        </w:rPr>
        <w:t>Behavior profile:</w:t>
      </w:r>
    </w:p>
    <w:p>
      <w:pPr>
        <w:pStyle w:val="ListBullet2"/>
      </w:pPr>
      <w:r>
        <w:rPr>
          <w:rFonts w:ascii="Calibri" w:hAnsi="Calibri"/>
          <w:sz w:val="22"/>
        </w:rPr>
        <w:t>Managed strict(2), no draft, submit action, defaulting on create, save-time validation requiring at least one entered/modified line.</w:t>
      </w:r>
    </w:p>
    <w:p>
      <w:pPr>
        <w:pStyle w:val="ListBullet2"/>
      </w:pPr>
      <w:r>
        <w:rPr>
          <w:rFonts w:ascii="Calibri" w:hAnsi="Calibri"/>
          <w:sz w:val="22"/>
        </w:rPr>
        <w:t>Feature control enforces editability only for unsaved/new-session context or when referenced order status is Rejected.</w:t>
      </w:r>
    </w:p>
    <w:p>
      <w:pPr>
        <w:pStyle w:val="ListBullet"/>
      </w:pPr>
      <w:r>
        <w:rPr>
          <w:rFonts w:ascii="Calibri" w:hAnsi="Calibri"/>
          <w:sz w:val="22"/>
        </w:rPr>
        <w:t>Creation flow:</w:t>
      </w:r>
    </w:p>
    <w:p>
      <w:pPr>
        <w:pStyle w:val="ListBullet2"/>
      </w:pPr>
      <w:r>
        <w:rPr>
          <w:rFonts w:ascii="Calibri" w:hAnsi="Calibri"/>
          <w:sz w:val="22"/>
        </w:rPr>
        <w:t>Primary path: client orchestrates deep create (header + lines) immediately after order activation and executes submit.</w:t>
      </w:r>
    </w:p>
    <w:p>
      <w:pPr>
        <w:pStyle w:val="ListBullet2"/>
      </w:pPr>
      <w:r>
        <w:rPr>
          <w:rFonts w:ascii="Calibri" w:hAnsi="Calibri"/>
          <w:sz w:val="22"/>
        </w:rPr>
        <w:t>Assurance path: event-driven creation check ensures every ZKB order has an IoH document; compensates accepted eventual consistency gap.</w:t>
      </w:r>
    </w:p>
    <w:p>
      <w:pPr>
        <w:pStyle w:val="ListBullet2"/>
      </w:pPr>
      <w:r>
        <w:rPr>
          <w:rFonts w:ascii="Calibri" w:hAnsi="Calibri"/>
          <w:sz w:val="22"/>
        </w:rPr>
        <w:t>Pre-population path: consignment read seeds lines and applies “last submitted IoH + shipments since” rule.</w:t>
      </w:r>
    </w:p>
    <w:p>
      <w:pPr>
        <w:pStyle w:val="Heading1"/>
      </w:pPr>
      <w:r>
        <w:rPr>
          <w:rFonts w:ascii="Calibri" w:hAnsi="Calibri"/>
          <w:sz w:val="22"/>
        </w:rPr>
        <w:t>4. Notes BO — Unmanaged Text API Wrapper</w:t>
      </w:r>
    </w:p>
    <w:p>
      <w:r>
        <w:rPr>
          <w:rFonts w:ascii="Calibri" w:hAnsi="Calibri"/>
          <w:sz w:val="22"/>
        </w:rPr>
        <w:t>Notes are implemented as an unmanaged RAP BO because SD long texts are API-mediated rather than directly table-writable. Entity ZC_VR_Note wraps released READ/SAVE text APIs, supports C/D/E handlers, and applies order-status-based feature control.</w:t>
      </w:r>
    </w:p>
    <w:p>
      <w:pPr>
        <w:pStyle w:val="Heading1"/>
      </w:pPr>
      <w:r>
        <w:rPr>
          <w:rFonts w:ascii="Calibri" w:hAnsi="Calibri"/>
          <w:sz w:val="22"/>
        </w:rPr>
        <w:t>5. Verification Checklist</w:t>
      </w:r>
    </w:p>
    <w:p>
      <w:r>
        <w:rPr>
          <w:rFonts w:ascii="Calibri" w:hAnsi="Calibri"/>
          <w:sz w:val="22"/>
        </w:rPr>
        <w:t>☐ Replacement order type code confirmed (mapping currently authoritative for ZKB).</w:t>
      </w:r>
    </w:p>
    <w:p>
      <w:r>
        <w:rPr>
          <w:rFonts w:ascii="Calibri" w:hAnsi="Calibri"/>
          <w:sz w:val="22"/>
        </w:rPr>
        <w:t>☐ Header field coverage verified: KTEXT, AUGRU, BSTKD.</w:t>
      </w:r>
    </w:p>
    <w:p>
      <w:r>
        <w:rPr>
          <w:rFonts w:ascii="Calibri" w:hAnsi="Calibri"/>
          <w:sz w:val="22"/>
        </w:rPr>
        <w:t>☐ Item coverage verified: MVGR1, MVGR2, and fulfillment/pricing-derived columns.</w:t>
      </w:r>
    </w:p>
    <w:p>
      <w:r>
        <w:rPr>
          <w:rFonts w:ascii="Calibri" w:hAnsi="Calibri"/>
          <w:sz w:val="22"/>
        </w:rPr>
        <w:t>☐ Alternative shipping document-address write capability on standard BO verified or formally gated.</w:t>
      </w:r>
    </w:p>
    <w:p>
      <w:r>
        <w:rPr>
          <w:rFonts w:ascii="Calibri" w:hAnsi="Calibri"/>
          <w:sz w:val="22"/>
        </w:rPr>
        <w:t>☐ Text types ZAPP..ZVRL present in text determination and released text API confirmed.</w:t>
      </w:r>
    </w:p>
    <w:p>
      <w:r>
        <w:rPr>
          <w:rFonts w:ascii="Calibri" w:hAnsi="Calibri"/>
          <w:sz w:val="22"/>
        </w:rPr>
        <w:t>☐ CDHDR/CDPOS CDS readability confirmed for target release; query-class fallback retained if needed.</w:t>
      </w:r>
    </w:p>
    <w:p>
      <w:r>
        <w:rPr>
          <w:rFonts w:ascii="Calibri" w:hAnsi="Calibri"/>
          <w:sz w:val="22"/>
        </w:rPr>
        <w:t>☐ Sales-order-created event availability and on-prem eventing wiring verified for assurance path.</w:t>
      </w:r>
    </w:p>
    <w:p>
      <w:r>
        <w:rPr>
          <w:rFonts w:ascii="Calibri" w:hAnsi="Calibri"/>
          <w:sz w:val="22"/>
        </w:rPr>
        <w:t>☐ ADT extension grant list confirmed for required M2 fields, including ZZOPT_OUT vs ZZ1_* naming reconciliation.</w:t>
      </w:r>
    </w:p>
    <w:p>
      <w:r>
        <w:rPr>
          <w:rFonts w:ascii="Calibri" w:hAnsi="Calibri"/>
          <w:sz w:val="22"/>
        </w:rPr>
        <w:t>☐ Number range object for IOH_ID provisioned and transportable.</w:t>
      </w:r>
    </w:p>
    <w:p>
      <w:pPr>
        <w:pStyle w:val="Heading1"/>
      </w:pPr>
      <w:r>
        <w:rPr>
          <w:rFonts w:ascii="Calibri" w:hAnsi="Calibri"/>
          <w:sz w:val="22"/>
        </w:rPr>
        <w:t>6. Resolver Config Seed Guidance</w:t>
      </w:r>
    </w:p>
    <w:p>
      <w:r>
        <w:rPr>
          <w:rFonts w:ascii="Calibri" w:hAnsi="Calibri"/>
          <w:sz w:val="22"/>
        </w:rPr>
        <w:t>Columns L/M from the mapping workbook are the functional source of truth for AD-8 per-order-type applicability. Transcribe verbatim into resolver seed data (table load or interim hardcoded resolver) and treat the workbook as signed source content. Seed data also includes: (a) the five selectable user-status values and (b) fixed order type ZKB replacing legacy placeholder values in ServiceSchema fixed-order-type filters.</w:t>
      </w:r>
    </w:p>
    <w:p>
      <w:pPr>
        <w:pStyle w:val="Heading1"/>
      </w:pPr>
      <w:r>
        <w:rPr>
          <w:rFonts w:ascii="Calibri" w:hAnsi="Calibri"/>
          <w:sz w:val="22"/>
        </w:rPr>
        <w:t>7. Implementation and Activation Notes</w:t>
      </w:r>
    </w:p>
    <w:p>
      <w:pPr>
        <w:pStyle w:val="ListBullet"/>
      </w:pPr>
      <w:r>
        <w:rPr>
          <w:rFonts w:ascii="Calibri" w:hAnsi="Calibri"/>
          <w:sz w:val="22"/>
        </w:rPr>
        <w:t>Implementation follows additive extension only; no destructive change to standard service artifacts.</w:t>
      </w:r>
    </w:p>
    <w:p>
      <w:pPr>
        <w:pStyle w:val="ListBullet"/>
      </w:pPr>
      <w:r>
        <w:rPr>
          <w:rFonts w:ascii="Calibri" w:hAnsi="Calibri"/>
          <w:sz w:val="22"/>
        </w:rPr>
        <w:t>After activation, execute OData cache cleanup and validate refreshed $metadata before integration testing.</w:t>
      </w:r>
    </w:p>
    <w:p>
      <w:pPr>
        <w:pStyle w:val="ListBullet"/>
      </w:pPr>
      <w:r>
        <w:rPr>
          <w:rFonts w:ascii="Calibri" w:hAnsi="Calibri"/>
          <w:sz w:val="22"/>
        </w:rPr>
        <w:t>Jurisdiction-scoped DCL pattern introduced on IoH entities is reusable for subsequent custom entities in the bridge service.</w:t>
      </w:r>
    </w:p>
    <w:p>
      <w:pPr>
        <w:pStyle w:val="ListBullet"/>
      </w:pPr>
      <w:r>
        <w:rPr>
          <w:rFonts w:ascii="Calibri" w:hAnsi="Calibri"/>
          <w:sz w:val="22"/>
        </w:rPr>
        <w:t>All TODO-VERIFY decisions are resolved in ADT/live system evidence, never from memory or assumed naming.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