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6"/>
          <w:szCs w:val="36"/>
        </w:rPr>
        <w:t xml:space="preserve">CDC VTrckS Migration to S/4HANA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Cross-Document Consistency &amp; Review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0"/>
      </w:tblGrid>
      <w:tr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Documents Reviewed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"Fiori-Awardee-UI-Orders" v2 (07/22/2026, approved 05/11/2026); BPD SO-010-010 Provider Order Processing v2 (01/05/2026); Fit-Gap Analysis (referenced); E006 Order Save Validations (referenced, not reviewed)</w:t>
            </w:r>
          </w:p>
        </w:tc>
      </w:tr>
      <w:tr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Prepared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07/24/2026 — Solution Architecture review</w:t>
            </w:r>
          </w:p>
        </w:tc>
      </w:tr>
      <w:tr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1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Record cross-document findings, impacts, and proposed dispositions ahead of E008 build sign-off. Note: the BPD (01/2026) predates the custom-app determination in the E008 FSD (03/2026); several findings below are consequences of that sequencing rather than active disagreements.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F4E79"/>
          <w:sz w:val="25"/>
          <w:szCs w:val="25"/>
        </w:rPr>
        <w:t xml:space="preserve">Severity Legend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0"/>
      </w:tblGrid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13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Blocks build sign-off or creates unbudgeted scope; resolve before build.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ED7D31"/>
                <w:sz w:val="19"/>
                <w:szCs w:val="19"/>
              </w:rPr>
              <w:t xml:space="preserve">High</w:t>
            </w:r>
          </w:p>
        </w:tc>
        <w:tc>
          <w:tcPr>
            <w:tcW w:type="dxa" w:w="13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Drives core logic (status model, authorization, channel scope); resolve during design.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13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Quality/consistency defects with rework risk if unaddressed.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Low</w:t>
            </w:r>
          </w:p>
        </w:tc>
        <w:tc>
          <w:tcPr>
            <w:tcW w:type="dxa" w:w="13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Administrative or single-question clarifications.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F4E79"/>
          <w:sz w:val="25"/>
          <w:szCs w:val="25"/>
        </w:rPr>
        <w:t xml:space="preserve">Findings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100"/>
        <w:gridCol w:w="4400"/>
        <w:gridCol w:w="3100"/>
        <w:gridCol w:w="3100"/>
      </w:tblGrid>
      <w:tr>
        <w:trPr>
          <w:tblHeader/>
        </w:trPr>
        <w:tc>
          <w:tcPr>
            <w:tcW w:type="dxa" w:w="8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1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/ Section</w:t>
            </w:r>
          </w:p>
        </w:tc>
        <w:tc>
          <w:tcPr>
            <w:tcW w:type="dxa" w:w="44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1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1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Proposed Disposition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CL-01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SO-010-010-210 vs. E008 FSD (entire doc)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Un-cancel scenario is specified in the BPD (CDC un-cancels a Grantee-cancelled order/line when the distributor has already shipped, re-consuming Budget/SPC and informing the Grantee) but is entirely absent from the E008 FSD: no UI action, no field-control rule, no test scenario. FSD states a cancelled order allows "no further action."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Functional gap discovered at SIT/UAT would trigger a change order. Cross-cuts E008 (UI action), E006 (budget re-commitment rules), EDI inbound (ASN posting), and Grantee notification.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 Un-Cancel Order/Line Item as a CDC-role-restricted action to E008 scope (see Solution Spec FR-04). Confirm budget/SPC re-commitment logic ownership with E006 team. Define Grantee notification mechanism. Add positive/negative test scenarios.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CL-02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§4.1 Security Requirements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 section is effectively empty (all TBC); the sole authorization reference is transaction code VA01 — a GUI tcode concept — for an external-facing federal ordering application. The single substantive requirement ("Awardees flag only their Jurisdiction data") has no authorization design behind it.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Jurisdiction-scoped data isolation and the pre/post-approval x direct-ship x role cancellation matrix are the highest-risk controls in the application. Retrofitting authorization after build is expensive and error-prone.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Author a full authorization concept before build sign-off: three role tiers (CDC, Awardee jurisdiction-scoped, Provider excluded from direct access), instance authorization keyed on Sales Office/Grantee, action-level restrictions for cancel/un-cancel/replacement. See Solution Spec §5.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CL-03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ED7D31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-100 vs. E008 FSD status list(s)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vocabulary drifts across signed documents. BPD task -100 is titled "Approved by Awardee" but described as "Awardee Approval Required" (opposite states). FSD uses "1E Approved by Grantee - Req". Awardee and Grantee are used interchangeably. FSD header dropdown lists statuses 1A/1B/1E/1F while the process narrative uses 1A-1G including 1C Rejected and 1D Approved.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entire field-control matrix, cancellation logic, and batch re-validation job hang off these statuses. Ambiguity here propagates directly into defects.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Publish a single status dictionary (code, name, meaning, allowed transitions, set-by role, user-selectable vs. system-set) as a controlled artifact referenced by E006, E008, and the BPD. Draft included in Solution Spec §6.2 for confirmation.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CL-04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ED7D31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-030 vs. -050 L4 attribute blocks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Attribute blocks for tasks -030 ("Order Entry through other system (API)") and -050 ("Order Entry through Fiori by Awardees") appear swapped: -030 carries Screen=F3893/Manual; -050 carries System=API, Job Profile=N/A, Automated, and an API-interface description. The conflation propagated into the E008 FSD requirement wording ("Order entry through Fiori by Awardees, interfaced via API").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Obscures whether the machine API channel is inside E008 RICE scope or a separate object; muddies test planning and authorization design for the two channels.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Correct the BPD taxonomy so interactive Fiori entry and machine API entry are distinct tasks. Recommend: shared RAP behavior layer, but separate service binding, auth concept, and test plan for the API channel (Solution Spec FR-11); track as distinct workstream line item.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CL-05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ED7D31"/>
                <w:sz w:val="19"/>
                <w:szCs w:val="19"/>
              </w:rPr>
              <w:t xml:space="preserve">High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§3.1 (three references to E006)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role-based cancellation matrix is referenced to E006 in three places but not embedded or versioned-linked. E008 field enablement depends on it field-by-field.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E006 does not contain the complete pre/post-approval matrix, E008 build stalls or teams improvise inconsistent rules.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Verify E006 contains the full matrix including the un-cancel path (CL-01); embed the matrix (or a version-pinned reference) in E008. Matrix as currently understood is reproduced in Solution Spec §5.3 for confirmation.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CL-06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§3.4.1.2 Field List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Field mappings reference retired ECC data model artifacts: status fields mapped to VBUK/VBUP (eliminated in S/4HANA simplification; statuses live on VBAK/VBAP), pricing conditions mapped to KONV (replaced by PRCD_ELEMENTS). Compatibility views exist but should not be build targets.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Developers pointed at retired tables; latent defects and rework during build. Signals the field list was lifted from ECC/CRM unreviewed.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Update mappings to S/4 data model (verify exact state on target release/FPS). Corrected mapping table provided in Solution Spec §6.1.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CL-07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§3.4.1.4 Error Handling table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Error-handling table includes Temp Log submission, Doses Administered age-group validation, and pandemic ancillary rules — items belonging to E007 (Support Documents) per the FSD's own assumptions.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Scope boundary drift between E006/E007/E008 is where integration defects and change-order disputes originate.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Clarify the boundary; remove or explicitly cross-reference E007-owned validations. E008 retains only order-flow and IoH-block errors (Solution Spec §9).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CL-08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Screen attributes (throughout); FSD Access Method §3.2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Screen attribute cites "F3893 - Manage Sales Orders" on nearly every interactive task; the BPD is positioned as a training/onboarding reference and predates (v2, 1/5/2026) the custom-app determination (FSD 3/31/2026). FSD Access Method section still lists VA01/VA02/VA03 and empty custom tile placeholders.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Training material will point users to an app that does not serve their process; launchpad entry model undefined.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Schedule a BPD revision to replace Screen attributes with the E008 app reference post-naming; define the Fiori launchpad catalog/group/tile model in E008 (Solution Spec §7.1). Formally close FSD open item dated 04/21 (standard vs. custom) citing the fit-gap.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CL-09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-280/-310 vs. E008 FSD service design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defines an asynchronous API pattern — Status Service API for polling submitted request status ("applies to all API services") and shipment details via API — consistent with the soft-stop model (order persists as Rejected; batch job re-validates within 60 days). E008 FSD does not reflect an async submit/poll contract.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Bolting async semantics (acceptance, correlation ID, status retrieval) onto a synchronous service design later forces rework of the API contract.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 the Web API binding as submit-and-poll from day one (Solution Spec FR-11). Confirm whether the Status Service API is an E008 deliverable or a shared platform object.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CL-10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-040/-110 (Provider User, "Provider portal")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third persona (Provider User) and a "Provider portal" screen appear in the BPD. E008 is Awardee/CDC-facing; providers order via EXiS/Awardee systems.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Without an explicit exclusion, direct Provider access risks being added later without an authorization design.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security section to state explicitly: Provider users have no direct E008 access; provider-originated orders arrive via EXiS/API channels only. Three-tier role model in Solution Spec §5.1.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CL-11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§2.3 / §3.5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Expected System Load and Performance Requirements are both "NA" for CDC's central, heavily used ordering application.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Peak ordering-season concurrency and search-result volumes influence whether search reads target an analytical CDS projection or transactional reads, and sizing of value helps.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Capture at minimum: peak concurrent users, orders/day at seasonal peak, average/max line items, search result volume expectations. Placeholders defined in Solution Spec §10.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CL-12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Medium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§3.4 UI mockups; §3.2 naming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UI mockups are CRM WebDynpro screenshots; vocabulary is CRM-native ("assignment blocks," "Request Transactions"); stated intent to reuse CRM naming conventions.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Risk of a 1:1 WebDynpro port that carries forward legacy dead ends and constrains the future enhancement roadmap the custom app is meant to enable.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Treat CRM screens as click-economy reference only; re-derive layout from task flows in design phase. UI design principles codified in Solution Spec §7.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CL-13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Low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BPD -170 Print Vaccine Request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Print Vaccine Request is categorized Migrate with F3893 as screen; but if users trigger printing from the order UI, the trigger lands in E008 even if the output form itself is migrated.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Orphaned deliverable risk: form migrated, no UI trigger built (or vice versa).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clarifying question to output/forms workstream: confirm form ownership (migrated object) and assign the UI print trigger to E008 (Solution Spec FR-12).</w:t>
            </w:r>
          </w:p>
        </w:tc>
      </w:tr>
      <w:tr>
        <w:tc>
          <w:tcPr>
            <w:tcW w:type="dxa" w:w="8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CL-14</w:t>
            </w:r>
          </w:p>
        </w:tc>
        <w:tc>
          <w:tcPr>
            <w:tcW w:type="dxa" w:w="900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Low</w:t>
            </w:r>
          </w:p>
        </w:tc>
        <w:tc>
          <w:tcPr>
            <w:tcW w:type="dxa" w:w="2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E008 FSD Document Control / Open Items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item dated 04/21/2026 ("CDC needs to review the standard Fiori App / custom Fiori app...") remains open despite business-owner sign-off of a custom-enhancement FSD on 05/11/2026.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Unclosed governance items resurface at gate reviews and audits.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Close formally, citing the fit-gap analysis and this log as disposition evidence.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19"/>
          <w:szCs w:val="19"/>
        </w:rPr>
        <w:t xml:space="preserve">Disposition column references sections of the companion document "E008 Custom Vaccine Ordering Application — Solution Functional Specification" where the proposed resolution is elaborated.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2026-07-24T13:20:46.336Z</dcterms:created>
  <dcterms:modified xsi:type="dcterms:W3CDTF">2026-07-24T13:20:46.352Z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