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34"/>
          <w:szCs w:val="34"/>
        </w:rPr>
        <w:t xml:space="preserve">CDC Vaccine Tracking System Migration to S/4HANA</w:t>
      </w:r>
    </w:p>
    <w:p>
      <w:pPr>
        <w:spacing w:after="120"/>
        <w:jc w:val="center"/>
      </w:pPr>
      <w:r>
        <w:rPr>
          <w:b/>
          <w:bCs/>
          <w:sz w:val="44"/>
          <w:szCs w:val="44"/>
        </w:rPr>
        <w:t xml:space="preserve">E008 — Custom Vaccine Ordering Application</w:t>
      </w:r>
    </w:p>
    <w:p>
      <w:pPr>
        <w:spacing w:after="400"/>
        <w:jc w:val="center"/>
      </w:pPr>
      <w:r>
        <w:rPr>
          <w:color w:val="555555"/>
          <w:sz w:val="26"/>
          <w:szCs w:val="26"/>
        </w:rPr>
        <w:t xml:space="preserve">Solution Functional Specification (Freestyle SAPUI5 on RAP)</w:t>
      </w:r>
    </w:p>
    <w:p>
      <w:pPr>
        <w:spacing w:after="80"/>
        <w:jc w:val="center"/>
      </w:pPr>
      <w:r>
        <w:rPr>
          <w:color w:val="555555"/>
          <w:sz w:val="20"/>
          <w:szCs w:val="20"/>
        </w:rPr>
        <w:t xml:space="preserve">Object ID: E008    |    Object Type: Enhancement    |    Process Area: Provider Orders &amp; Fulfillment</w:t>
      </w:r>
    </w:p>
    <w:p>
      <w:pPr>
        <w:jc w:val="center"/>
      </w:pPr>
      <w:r>
        <w:rPr>
          <w:color w:val="555555"/>
          <w:sz w:val="20"/>
          <w:szCs w:val="20"/>
        </w:rPr>
        <w:t xml:space="preserve">Status: DRAFT for review    |    Prepared: 07/24/2026</w:t>
      </w:r>
    </w:p>
    <w:p>
      <w:r>
        <w:br w:type="page"/>
      </w:r>
    </w:p>
    <w:p>
      <w:pPr>
        <w:pStyle w:val="Heading1"/>
        <w:spacing w:after="160" w:before="280"/>
      </w:pPr>
      <w:r>
        <w:rPr>
          <w:b/>
          <w:bCs/>
          <w:color w:val="1F4E79"/>
          <w:sz w:val="30"/>
          <w:szCs w:val="30"/>
        </w:rPr>
        <w:t xml:space="preserve">1. Purpose &amp; Positioning</w:t>
      </w:r>
    </w:p>
    <w:p>
      <w:pPr>
        <w:spacing w:after="120"/>
      </w:pPr>
      <w:r>
        <w:rPr>
          <w:sz w:val="21"/>
          <w:szCs w:val="21"/>
        </w:rPr>
        <w:t xml:space="preserve">This document specifies the solution design for Enhancement E008, the custom Fiori application through which Awardee and CDC users create, manage, search, cancel, and display provider vaccine orders in S/4HANA, including inline Inventory on Hand (IoH) submission during order creation. It translates the approved E008 Functional Specification (v2, 07/22/2026) and the SO-010-010 Business Process Document (v2, 01/05/2026) into a buildable architecture and requirement set, and incorporates the dispositions proposed in the companion Cross-Document Consistency Log (CL-01 through CL-14).</w:t>
      </w:r>
    </w:p>
    <w:p>
      <w:pPr>
        <w:spacing w:after="120"/>
      </w:pPr>
      <w:r>
        <w:rPr>
          <w:sz w:val="21"/>
          <w:szCs w:val="21"/>
        </w:rPr>
        <w:t xml:space="preserve">It supersedes neither source document; where this specification proposes corrections (data model references, status dictionary, un-cancel scope), those are marked as open items requiring confirmation by the respective document owners.</w:t>
      </w:r>
    </w:p>
    <w:p>
      <w:pPr>
        <w:pStyle w:val="Heading2"/>
        <w:spacing w:after="120" w:before="220"/>
      </w:pPr>
      <w:r>
        <w:rPr>
          <w:b/>
          <w:bCs/>
          <w:color w:val="1F4E79"/>
          <w:sz w:val="25"/>
          <w:szCs w:val="25"/>
        </w:rPr>
        <w:t xml:space="preserve">1.1 Architecture Decision Summary</w:t>
      </w:r>
    </w:p>
    <w:p>
      <w:pPr>
        <w:spacing w:after="120"/>
      </w:pPr>
      <w:r>
        <w:rPr>
          <w:sz w:val="21"/>
          <w:szCs w:val="21"/>
        </w:rPr>
        <w:t xml:space="preserve">The following decisions were evaluated during solution review and underpin every section of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F4E79" w:val="clear"/>
          </w:tcPr>
          <w:p>
            <w:pPr>
              <w:spacing w:after="40"/>
            </w:pPr>
            <w:r>
              <w:rPr>
                <w:b/>
                <w:bCs/>
                <w:color w:val="FFFFFF"/>
                <w:sz w:val="19"/>
                <w:szCs w:val="19"/>
              </w:rPr>
              <w:t xml:space="preserve">#</w:t>
            </w:r>
          </w:p>
        </w:tc>
        <w:tc>
          <w:tcPr>
            <w:tcW w:type="dxa" w:w="3200"/>
            <w:shd w:fill="1F4E79" w:val="clear"/>
          </w:tcPr>
          <w:p>
            <w:pPr>
              <w:spacing w:after="40"/>
            </w:pPr>
            <w:r>
              <w:rPr>
                <w:b/>
                <w:bCs/>
                <w:color w:val="FFFFFF"/>
                <w:sz w:val="19"/>
                <w:szCs w:val="19"/>
              </w:rPr>
              <w:t xml:space="preserve">Decision</w:t>
            </w:r>
          </w:p>
        </w:tc>
        <w:tc>
          <w:tcPr>
            <w:tcW w:type="dxa" w:w="5260"/>
            <w:shd w:fill="1F4E79" w:val="clear"/>
          </w:tcPr>
          <w:p>
            <w:pPr>
              <w:spacing w:after="40"/>
            </w:pPr>
            <w:r>
              <w:rPr>
                <w:b/>
                <w:bCs/>
                <w:color w:val="FFFFFF"/>
                <w:sz w:val="19"/>
                <w:szCs w:val="19"/>
              </w:rPr>
              <w:t xml:space="preserve">Rationale (condensed)</w:t>
            </w:r>
          </w:p>
        </w:tc>
      </w:tr>
      <w:tr>
        <w:tc>
          <w:tcPr>
            <w:tcW w:type="dxa" w:w="900"/>
          </w:tcPr>
          <w:p>
            <w:pPr>
              <w:spacing w:after="40"/>
            </w:pPr>
            <w:r>
              <w:rPr>
                <w:sz w:val="19"/>
                <w:szCs w:val="19"/>
              </w:rPr>
              <w:t xml:space="preserve">AD-1</w:t>
            </w:r>
          </w:p>
        </w:tc>
        <w:tc>
          <w:tcPr>
            <w:tcW w:type="dxa" w:w="3200"/>
          </w:tcPr>
          <w:p>
            <w:pPr>
              <w:spacing w:after="40"/>
            </w:pPr>
            <w:r>
              <w:rPr>
                <w:sz w:val="19"/>
                <w:szCs w:val="19"/>
              </w:rPr>
              <w:t xml:space="preserve">Custom application; no adaptation of F3893</w:t>
            </w:r>
          </w:p>
        </w:tc>
        <w:tc>
          <w:tcPr>
            <w:tcW w:type="dxa" w:w="5260"/>
          </w:tcPr>
          <w:p>
            <w:pPr>
              <w:spacing w:after="40"/>
            </w:pPr>
            <w:r>
              <w:rPr>
                <w:sz w:val="19"/>
                <w:szCs w:val="19"/>
              </w:rPr>
              <w:t xml:space="preserve">F3893 targets internal sales representatives with a limited order-type/field set; the E008 gaps (role-based cancellation, inline IoH, copy/return/replacement with reference, fix-and-resubmit) are behavioral, not cosmetic. Extending the standard app at that depth creates upgrade-fragile BAdI/extension meshes and has documented difficulty even restricting data per external customer.</w:t>
            </w:r>
          </w:p>
        </w:tc>
      </w:tr>
      <w:tr>
        <w:tc>
          <w:tcPr>
            <w:tcW w:type="dxa" w:w="900"/>
          </w:tcPr>
          <w:p>
            <w:pPr>
              <w:spacing w:after="40"/>
            </w:pPr>
            <w:r>
              <w:rPr>
                <w:sz w:val="19"/>
                <w:szCs w:val="19"/>
              </w:rPr>
              <w:t xml:space="preserve">AD-2</w:t>
            </w:r>
          </w:p>
        </w:tc>
        <w:tc>
          <w:tcPr>
            <w:tcW w:type="dxa" w:w="3200"/>
          </w:tcPr>
          <w:p>
            <w:pPr>
              <w:spacing w:after="40"/>
            </w:pPr>
            <w:r>
              <w:rPr>
                <w:sz w:val="19"/>
                <w:szCs w:val="19"/>
              </w:rPr>
              <w:t xml:space="preserve">RAP behavior layer (unmanaged) over the standard SD sales order API</w:t>
            </w:r>
          </w:p>
        </w:tc>
        <w:tc>
          <w:tcPr>
            <w:tcW w:type="dxa" w:w="5260"/>
          </w:tcPr>
          <w:p>
            <w:pPr>
              <w:spacing w:after="40"/>
            </w:pPr>
            <w:r>
              <w:rPr>
                <w:sz w:val="19"/>
                <w:szCs w:val="19"/>
              </w:rPr>
              <w:t xml:space="preserve">One behavior definition enforces validations, determinations, status-driven field control, instance authorization, and actions for all channels (Fiori UI, machine API, EXiS-originated). Test evidence in the FSD expects real sales orders visible in VA02/VA03, confirming the unmanaged-over-standard-API pattern.</w:t>
            </w:r>
          </w:p>
        </w:tc>
      </w:tr>
      <w:tr>
        <w:tc>
          <w:tcPr>
            <w:tcW w:type="dxa" w:w="900"/>
          </w:tcPr>
          <w:p>
            <w:pPr>
              <w:spacing w:after="40"/>
            </w:pPr>
            <w:r>
              <w:rPr>
                <w:sz w:val="19"/>
                <w:szCs w:val="19"/>
              </w:rPr>
              <w:t xml:space="preserve">AD-3</w:t>
            </w:r>
          </w:p>
        </w:tc>
        <w:tc>
          <w:tcPr>
            <w:tcW w:type="dxa" w:w="3200"/>
          </w:tcPr>
          <w:p>
            <w:pPr>
              <w:spacing w:after="40"/>
            </w:pPr>
            <w:r>
              <w:rPr>
                <w:sz w:val="19"/>
                <w:szCs w:val="19"/>
              </w:rPr>
              <w:t xml:space="preserve">OData V4 UI service binding</w:t>
            </w:r>
          </w:p>
        </w:tc>
        <w:tc>
          <w:tcPr>
            <w:tcW w:type="dxa" w:w="5260"/>
          </w:tcPr>
          <w:p>
            <w:pPr>
              <w:spacing w:after="40"/>
            </w:pPr>
            <w:r>
              <w:rPr>
                <w:sz w:val="19"/>
                <w:szCs w:val="19"/>
              </w:rPr>
              <w:t xml:space="preserve">First-class bound actions (copy, cancel, un-cancel, return, replacement), side-effect annotations for field interdependencies, efficient $batch/$expand. A separate Web API binding (V4 or V2 per integrator need) is published from the same behavior for the API channel.</w:t>
            </w:r>
          </w:p>
        </w:tc>
      </w:tr>
      <w:tr>
        <w:tc>
          <w:tcPr>
            <w:tcW w:type="dxa" w:w="900"/>
          </w:tcPr>
          <w:p>
            <w:pPr>
              <w:spacing w:after="40"/>
            </w:pPr>
            <w:r>
              <w:rPr>
                <w:sz w:val="19"/>
                <w:szCs w:val="19"/>
              </w:rPr>
              <w:t xml:space="preserve">AD-4</w:t>
            </w:r>
          </w:p>
        </w:tc>
        <w:tc>
          <w:tcPr>
            <w:tcW w:type="dxa" w:w="3200"/>
          </w:tcPr>
          <w:p>
            <w:pPr>
              <w:spacing w:after="40"/>
            </w:pPr>
            <w:r>
              <w:rPr>
                <w:sz w:val="19"/>
                <w:szCs w:val="19"/>
              </w:rPr>
              <w:t xml:space="preserve">Freestyle SAPUI5 order cockpit; Fiori Elements List Report for search/list</w:t>
            </w:r>
          </w:p>
        </w:tc>
        <w:tc>
          <w:tcPr>
            <w:tcW w:type="dxa" w:w="5260"/>
          </w:tcPr>
          <w:p>
            <w:pPr>
              <w:spacing w:after="40"/>
            </w:pPr>
            <w:r>
              <w:rPr>
                <w:sz w:val="19"/>
                <w:szCs w:val="19"/>
              </w:rPr>
              <w:t xml:space="preserve">The create/edit surface is a stateful, interdependent single-page cockpit (the interaction pattern users lost in the F3893 proposal); FE object pages reproduce the rejected tab/click paradigm. The search screen, by contrast, maps almost 1:1 to an FE List Report with condition-based filtering, variants, and Excel export — near-zero-cost where FE is uncontroversial.</w:t>
            </w:r>
          </w:p>
        </w:tc>
      </w:tr>
      <w:tr>
        <w:tc>
          <w:tcPr>
            <w:tcW w:type="dxa" w:w="900"/>
          </w:tcPr>
          <w:p>
            <w:pPr>
              <w:spacing w:after="40"/>
            </w:pPr>
            <w:r>
              <w:rPr>
                <w:sz w:val="19"/>
                <w:szCs w:val="19"/>
              </w:rPr>
              <w:t xml:space="preserve">AD-5</w:t>
            </w:r>
          </w:p>
        </w:tc>
        <w:tc>
          <w:tcPr>
            <w:tcW w:type="dxa" w:w="3200"/>
          </w:tcPr>
          <w:p>
            <w:pPr>
              <w:spacing w:after="40"/>
            </w:pPr>
            <w:r>
              <w:rPr>
                <w:sz w:val="19"/>
                <w:szCs w:val="19"/>
              </w:rPr>
              <w:t xml:space="preserve">No draft handling; client-managed unsaved state</w:t>
            </w:r>
          </w:p>
        </w:tc>
        <w:tc>
          <w:tcPr>
            <w:tcW w:type="dxa" w:w="5260"/>
          </w:tcPr>
          <w:p>
            <w:pPr>
              <w:spacing w:after="40"/>
            </w:pPr>
            <w:r>
              <w:rPr>
                <w:sz w:val="19"/>
                <w:szCs w:val="19"/>
              </w:rPr>
              <w:t xml:space="preserve">Draft over an unmanaged sales-order wrapper is the highest-complexity RAP combination and delivers little here: the business model already persists imperfect orders (soft stop → 1C Rejected → fix-and-resubmit). Unsaved-changes protection is handled client-side.</w:t>
            </w:r>
          </w:p>
        </w:tc>
      </w:tr>
      <w:tr>
        <w:tc>
          <w:tcPr>
            <w:tcW w:type="dxa" w:w="900"/>
          </w:tcPr>
          <w:p>
            <w:pPr>
              <w:spacing w:after="40"/>
            </w:pPr>
            <w:r>
              <w:rPr>
                <w:sz w:val="19"/>
                <w:szCs w:val="19"/>
              </w:rPr>
              <w:t xml:space="preserve">AD-6</w:t>
            </w:r>
          </w:p>
        </w:tc>
        <w:tc>
          <w:tcPr>
            <w:tcW w:type="dxa" w:w="3200"/>
          </w:tcPr>
          <w:p>
            <w:pPr>
              <w:spacing w:after="40"/>
            </w:pPr>
            <w:r>
              <w:rPr>
                <w:sz w:val="19"/>
                <w:szCs w:val="19"/>
              </w:rPr>
              <w:t xml:space="preserve">Async submit-and-poll contract for the API channel</w:t>
            </w:r>
          </w:p>
        </w:tc>
        <w:tc>
          <w:tcPr>
            <w:tcW w:type="dxa" w:w="5260"/>
          </w:tcPr>
          <w:p>
            <w:pPr>
              <w:spacing w:after="40"/>
            </w:pPr>
            <w:r>
              <w:rPr>
                <w:sz w:val="19"/>
                <w:szCs w:val="19"/>
              </w:rPr>
              <w:t xml:space="preserve">The BPD defines a Status Service API applying to all API services (SO-010-010-310) and the soft-stop/batch-revalidation model is inherently asynchronous. The API contract is designed accordingly from day one (CL-09).</w:t>
            </w:r>
          </w:p>
        </w:tc>
      </w:tr>
    </w:tbl>
    <w:p>
      <w:pPr>
        <w:pStyle w:val="Heading1"/>
        <w:spacing w:after="160" w:before="280"/>
      </w:pPr>
      <w:r>
        <w:rPr>
          <w:b/>
          <w:bCs/>
          <w:color w:val="1F4E79"/>
          <w:sz w:val="30"/>
          <w:szCs w:val="30"/>
        </w:rPr>
        <w:t xml:space="preserve">2. Scope</w:t>
      </w:r>
    </w:p>
    <w:p>
      <w:pPr>
        <w:pStyle w:val="Heading2"/>
        <w:spacing w:after="120" w:before="220"/>
      </w:pPr>
      <w:r>
        <w:rPr>
          <w:b/>
          <w:bCs/>
          <w:color w:val="1F4E79"/>
          <w:sz w:val="25"/>
          <w:szCs w:val="25"/>
        </w:rPr>
        <w:t xml:space="preserve">2.1 In Scope</w:t>
      </w:r>
    </w:p>
    <w:p>
      <w:pPr>
        <w:pStyle w:val="ListParagraph"/>
        <w:numPr>
          <w:ilvl w:val="0"/>
          <w:numId w:val="2"/>
        </w:numPr>
        <w:spacing w:after="60"/>
      </w:pPr>
      <w:r>
        <w:rPr>
          <w:b/>
          <w:bCs/>
          <w:sz w:val="21"/>
          <w:szCs w:val="21"/>
        </w:rPr>
        <w:t xml:space="preserve">FR-01: </w:t>
      </w:r>
      <w:r>
        <w:rPr>
          <w:sz w:val="21"/>
          <w:szCs w:val="21"/>
        </w:rPr>
        <w:t xml:space="preserve">Order creation cockpit with inline IoH submission</w:t>
      </w:r>
    </w:p>
    <w:p>
      <w:pPr>
        <w:pStyle w:val="ListParagraph"/>
        <w:numPr>
          <w:ilvl w:val="0"/>
          <w:numId w:val="2"/>
        </w:numPr>
        <w:spacing w:after="60"/>
      </w:pPr>
      <w:r>
        <w:rPr>
          <w:b/>
          <w:bCs/>
          <w:sz w:val="21"/>
          <w:szCs w:val="21"/>
        </w:rPr>
        <w:t xml:space="preserve">FR-02: </w:t>
      </w:r>
      <w:r>
        <w:rPr>
          <w:sz w:val="21"/>
          <w:szCs w:val="21"/>
        </w:rPr>
        <w:t xml:space="preserve">Copy existing vaccine order (SO-010-010-010)</w:t>
      </w:r>
    </w:p>
    <w:p>
      <w:pPr>
        <w:pStyle w:val="ListParagraph"/>
        <w:numPr>
          <w:ilvl w:val="0"/>
          <w:numId w:val="2"/>
        </w:numPr>
        <w:spacing w:after="60"/>
      </w:pPr>
      <w:r>
        <w:rPr>
          <w:b/>
          <w:bCs/>
          <w:sz w:val="21"/>
          <w:szCs w:val="21"/>
        </w:rPr>
        <w:t xml:space="preserve">FR-03: </w:t>
      </w:r>
      <w:r>
        <w:rPr>
          <w:sz w:val="21"/>
          <w:szCs w:val="21"/>
        </w:rPr>
        <w:t xml:space="preserve">Cancel order / line item with role-based restrictions (SO-010-010-160)</w:t>
      </w:r>
    </w:p>
    <w:p>
      <w:pPr>
        <w:pStyle w:val="ListParagraph"/>
        <w:numPr>
          <w:ilvl w:val="0"/>
          <w:numId w:val="2"/>
        </w:numPr>
        <w:spacing w:after="60"/>
      </w:pPr>
      <w:r>
        <w:rPr>
          <w:b/>
          <w:bCs/>
          <w:sz w:val="21"/>
          <w:szCs w:val="21"/>
        </w:rPr>
        <w:t xml:space="preserve">FR-04: </w:t>
      </w:r>
      <w:r>
        <w:rPr>
          <w:sz w:val="21"/>
          <w:szCs w:val="21"/>
        </w:rPr>
        <w:t xml:space="preserve">Un-cancel order / line item, CDC-restricted (BPD SO-010-010-210; CL-01) — pending scope confirmation</w:t>
      </w:r>
    </w:p>
    <w:p>
      <w:pPr>
        <w:pStyle w:val="ListParagraph"/>
        <w:numPr>
          <w:ilvl w:val="0"/>
          <w:numId w:val="2"/>
        </w:numPr>
        <w:spacing w:after="60"/>
      </w:pPr>
      <w:r>
        <w:rPr>
          <w:b/>
          <w:bCs/>
          <w:sz w:val="21"/>
          <w:szCs w:val="21"/>
        </w:rPr>
        <w:t xml:space="preserve">FR-05: </w:t>
      </w:r>
      <w:r>
        <w:rPr>
          <w:sz w:val="21"/>
          <w:szCs w:val="21"/>
        </w:rPr>
        <w:t xml:space="preserve">Search &amp; list provider orders (SO-010-010-260)</w:t>
      </w:r>
    </w:p>
    <w:p>
      <w:pPr>
        <w:pStyle w:val="ListParagraph"/>
        <w:numPr>
          <w:ilvl w:val="0"/>
          <w:numId w:val="2"/>
        </w:numPr>
        <w:spacing w:after="60"/>
      </w:pPr>
      <w:r>
        <w:rPr>
          <w:b/>
          <w:bCs/>
          <w:sz w:val="21"/>
          <w:szCs w:val="21"/>
        </w:rPr>
        <w:t xml:space="preserve">FR-06: </w:t>
      </w:r>
      <w:r>
        <w:rPr>
          <w:sz w:val="21"/>
          <w:szCs w:val="21"/>
        </w:rPr>
        <w:t xml:space="preserve">Display provider order (SO-010-010-270)</w:t>
      </w:r>
    </w:p>
    <w:p>
      <w:pPr>
        <w:pStyle w:val="ListParagraph"/>
        <w:numPr>
          <w:ilvl w:val="0"/>
          <w:numId w:val="2"/>
        </w:numPr>
        <w:spacing w:after="60"/>
      </w:pPr>
      <w:r>
        <w:rPr>
          <w:b/>
          <w:bCs/>
          <w:sz w:val="21"/>
          <w:szCs w:val="21"/>
        </w:rPr>
        <w:t xml:space="preserve">FR-07: </w:t>
      </w:r>
      <w:r>
        <w:rPr>
          <w:sz w:val="21"/>
          <w:szCs w:val="21"/>
        </w:rPr>
        <w:t xml:space="preserve">IoH submission during order creation (SO-010-030-030)</w:t>
      </w:r>
    </w:p>
    <w:p>
      <w:pPr>
        <w:pStyle w:val="ListParagraph"/>
        <w:numPr>
          <w:ilvl w:val="0"/>
          <w:numId w:val="2"/>
        </w:numPr>
        <w:spacing w:after="60"/>
      </w:pPr>
      <w:r>
        <w:rPr>
          <w:b/>
          <w:bCs/>
          <w:sz w:val="21"/>
          <w:szCs w:val="21"/>
        </w:rPr>
        <w:t xml:space="preserve">FR-08: </w:t>
      </w:r>
      <w:r>
        <w:rPr>
          <w:sz w:val="21"/>
          <w:szCs w:val="21"/>
        </w:rPr>
        <w:t xml:space="preserve">Fix data issues &amp; resubmit rejected orders (SO-010-010-090)</w:t>
      </w:r>
    </w:p>
    <w:p>
      <w:pPr>
        <w:pStyle w:val="ListParagraph"/>
        <w:numPr>
          <w:ilvl w:val="0"/>
          <w:numId w:val="2"/>
        </w:numPr>
        <w:spacing w:after="60"/>
      </w:pPr>
      <w:r>
        <w:rPr>
          <w:b/>
          <w:bCs/>
          <w:sz w:val="21"/>
          <w:szCs w:val="21"/>
        </w:rPr>
        <w:t xml:space="preserve">FR-09: </w:t>
      </w:r>
      <w:r>
        <w:rPr>
          <w:sz w:val="21"/>
          <w:szCs w:val="21"/>
        </w:rPr>
        <w:t xml:space="preserve">Return order with reference (RW-010-010-010)</w:t>
      </w:r>
    </w:p>
    <w:p>
      <w:pPr>
        <w:pStyle w:val="ListParagraph"/>
        <w:numPr>
          <w:ilvl w:val="0"/>
          <w:numId w:val="2"/>
        </w:numPr>
        <w:spacing w:after="60"/>
      </w:pPr>
      <w:r>
        <w:rPr>
          <w:b/>
          <w:bCs/>
          <w:sz w:val="21"/>
          <w:szCs w:val="21"/>
        </w:rPr>
        <w:t xml:space="preserve">FR-10: </w:t>
      </w:r>
      <w:r>
        <w:rPr>
          <w:sz w:val="21"/>
          <w:szCs w:val="21"/>
        </w:rPr>
        <w:t xml:space="preserve">Replacement order with reference, budget validation bypassed (SO-020-010-020)</w:t>
      </w:r>
    </w:p>
    <w:p>
      <w:pPr>
        <w:pStyle w:val="ListParagraph"/>
        <w:numPr>
          <w:ilvl w:val="0"/>
          <w:numId w:val="2"/>
        </w:numPr>
        <w:spacing w:after="60"/>
      </w:pPr>
      <w:r>
        <w:rPr>
          <w:b/>
          <w:bCs/>
          <w:sz w:val="21"/>
          <w:szCs w:val="21"/>
        </w:rPr>
        <w:t xml:space="preserve">FR-11: </w:t>
      </w:r>
      <w:r>
        <w:rPr>
          <w:sz w:val="21"/>
          <w:szCs w:val="21"/>
        </w:rPr>
        <w:t xml:space="preserve">Machine API channel over the shared behavior layer (SO-010-010-030/-050; CL-04)</w:t>
      </w:r>
    </w:p>
    <w:p>
      <w:pPr>
        <w:pStyle w:val="ListParagraph"/>
        <w:numPr>
          <w:ilvl w:val="0"/>
          <w:numId w:val="2"/>
        </w:numPr>
        <w:spacing w:after="60"/>
      </w:pPr>
      <w:r>
        <w:rPr>
          <w:b/>
          <w:bCs/>
          <w:sz w:val="21"/>
          <w:szCs w:val="21"/>
        </w:rPr>
        <w:t xml:space="preserve">FR-12: </w:t>
      </w:r>
      <w:r>
        <w:rPr>
          <w:sz w:val="21"/>
          <w:szCs w:val="21"/>
        </w:rPr>
        <w:t xml:space="preserve">Print Vaccine Request trigger from the order UI (SO-010-010-170; CL-13) — output form ownership TBD</w:t>
      </w:r>
    </w:p>
    <w:p>
      <w:pPr>
        <w:pStyle w:val="Heading2"/>
        <w:spacing w:after="120" w:before="220"/>
      </w:pPr>
      <w:r>
        <w:rPr>
          <w:b/>
          <w:bCs/>
          <w:color w:val="1F4E79"/>
          <w:sz w:val="25"/>
          <w:szCs w:val="25"/>
        </w:rPr>
        <w:t xml:space="preserve">2.2 Out of Scope</w:t>
      </w:r>
    </w:p>
    <w:p>
      <w:pPr>
        <w:pStyle w:val="ListParagraph"/>
        <w:numPr>
          <w:ilvl w:val="0"/>
          <w:numId w:val="2"/>
        </w:numPr>
        <w:spacing w:after="60"/>
      </w:pPr>
      <w:r>
        <w:rPr>
          <w:sz w:val="21"/>
          <w:szCs w:val="21"/>
        </w:rPr>
        <w:t xml:space="preserve">Business validation rule content (E006) — E008 invokes E006 logic on save/cancel/un-cancel events; rule definitions live in E006.</w:t>
      </w:r>
    </w:p>
    <w:p>
      <w:pPr>
        <w:pStyle w:val="ListParagraph"/>
        <w:numPr>
          <w:ilvl w:val="0"/>
          <w:numId w:val="2"/>
        </w:numPr>
        <w:spacing w:after="60"/>
      </w:pPr>
      <w:r>
        <w:rPr>
          <w:sz w:val="21"/>
          <w:szCs w:val="21"/>
        </w:rPr>
        <w:t xml:space="preserve">Support documents: Temp Log, Doses Administered, standalone IoH document maintenance (E007). The IoH block inside order creation reuses E007 consignment logic but the IoH document object is E007-owned (CL-07).</w:t>
      </w:r>
    </w:p>
    <w:p>
      <w:pPr>
        <w:pStyle w:val="ListParagraph"/>
        <w:numPr>
          <w:ilvl w:val="0"/>
          <w:numId w:val="2"/>
        </w:numPr>
        <w:spacing w:after="60"/>
      </w:pPr>
      <w:r>
        <w:rPr>
          <w:sz w:val="21"/>
          <w:szCs w:val="21"/>
        </w:rPr>
        <w:t xml:space="preserve">Fulfillment chain: EDI to distributor, ASN receipt, delivery/PGI, consignment fill-up, backorder flags — categorized Migrate in the BPD and outside E008.</w:t>
      </w:r>
    </w:p>
    <w:p>
      <w:pPr>
        <w:pStyle w:val="ListParagraph"/>
        <w:numPr>
          <w:ilvl w:val="0"/>
          <w:numId w:val="2"/>
        </w:numPr>
        <w:spacing w:after="60"/>
      </w:pPr>
      <w:r>
        <w:rPr>
          <w:sz w:val="21"/>
          <w:szCs w:val="21"/>
        </w:rPr>
        <w:t xml:space="preserve">Direct Provider-user access. Providers order via EXiS / Awardee systems; provider-originated orders reach S/4 through interface channels only (CL-10).</w:t>
      </w:r>
    </w:p>
    <w:p>
      <w:pPr>
        <w:pStyle w:val="ListParagraph"/>
        <w:numPr>
          <w:ilvl w:val="0"/>
          <w:numId w:val="2"/>
        </w:numPr>
        <w:spacing w:after="60"/>
      </w:pPr>
      <w:r>
        <w:rPr>
          <w:sz w:val="21"/>
          <w:szCs w:val="21"/>
        </w:rPr>
        <w:t xml:space="preserve">Sales order document type, item category, user status profile, and partner determination configuration (prerequisite config per FSD assumptions; consumed, not delivered, by E008).</w:t>
      </w:r>
    </w:p>
    <w:p>
      <w:pPr>
        <w:pStyle w:val="Heading1"/>
        <w:spacing w:after="160" w:before="280"/>
      </w:pPr>
      <w:r>
        <w:rPr>
          <w:b/>
          <w:bCs/>
          <w:color w:val="1F4E79"/>
          <w:sz w:val="30"/>
          <w:szCs w:val="30"/>
        </w:rPr>
        <w:t xml:space="preserve">3. Solution Architecture</w:t>
      </w:r>
    </w:p>
    <w:p>
      <w:pPr>
        <w:pStyle w:val="Heading2"/>
        <w:spacing w:after="120" w:before="220"/>
      </w:pPr>
      <w:r>
        <w:rPr>
          <w:b/>
          <w:bCs/>
          <w:color w:val="1F4E79"/>
          <w:sz w:val="25"/>
          <w:szCs w:val="25"/>
        </w:rPr>
        <w:t xml:space="preserve">3.1 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79" w:val="clear"/>
          </w:tcPr>
          <w:p>
            <w:pPr>
              <w:spacing w:after="40"/>
            </w:pPr>
            <w:r>
              <w:rPr>
                <w:b/>
                <w:bCs/>
                <w:color w:val="FFFFFF"/>
                <w:sz w:val="19"/>
                <w:szCs w:val="19"/>
              </w:rPr>
              <w:t xml:space="preserve">Layer</w:t>
            </w:r>
          </w:p>
        </w:tc>
        <w:tc>
          <w:tcPr>
            <w:tcW w:type="dxa" w:w="6860"/>
            <w:shd w:fill="1F4E79" w:val="clear"/>
          </w:tcPr>
          <w:p>
            <w:pPr>
              <w:spacing w:after="40"/>
            </w:pPr>
            <w:r>
              <w:rPr>
                <w:b/>
                <w:bCs/>
                <w:color w:val="FFFFFF"/>
                <w:sz w:val="19"/>
                <w:szCs w:val="19"/>
              </w:rPr>
              <w:t xml:space="preserve">Content</w:t>
            </w:r>
          </w:p>
        </w:tc>
      </w:tr>
      <w:tr>
        <w:tc>
          <w:tcPr>
            <w:tcW w:type="dxa" w:w="2500"/>
          </w:tcPr>
          <w:p>
            <w:pPr>
              <w:spacing w:after="40"/>
            </w:pPr>
            <w:r>
              <w:rPr>
                <w:b/>
                <w:bCs/>
                <w:sz w:val="19"/>
                <w:szCs w:val="19"/>
              </w:rPr>
              <w:t xml:space="preserve">Consumption — Freestyle Cockpit</w:t>
            </w:r>
          </w:p>
        </w:tc>
        <w:tc>
          <w:tcPr>
            <w:tcW w:type="dxa" w:w="6860"/>
          </w:tcPr>
          <w:p>
            <w:pPr>
              <w:spacing w:after="40"/>
            </w:pPr>
            <w:r>
              <w:rPr>
                <w:sz w:val="19"/>
                <w:szCs w:val="19"/>
              </w:rPr>
              <w:t xml:space="preserve">SAPUI5 freestyle application (OData V4 model): single-page order cockpit for create / edit / display / copy / cancel / un-cancel / resubmit, with Header, Items, Inventory on Hand, Shipping, Alternative Shipping, Transactions, and Organizational Data as collapsible sections on one working surface. Consumes field-control, side-effect, and message metadata from the service; contains no business rules.</w:t>
            </w:r>
          </w:p>
        </w:tc>
      </w:tr>
      <w:tr>
        <w:tc>
          <w:tcPr>
            <w:tcW w:type="dxa" w:w="2500"/>
          </w:tcPr>
          <w:p>
            <w:pPr>
              <w:spacing w:after="40"/>
            </w:pPr>
            <w:r>
              <w:rPr>
                <w:b/>
                <w:bCs/>
                <w:sz w:val="19"/>
                <w:szCs w:val="19"/>
              </w:rPr>
              <w:t xml:space="preserve">Consumption — FE List Report</w:t>
            </w:r>
          </w:p>
        </w:tc>
        <w:tc>
          <w:tcPr>
            <w:tcW w:type="dxa" w:w="6860"/>
          </w:tcPr>
          <w:p>
            <w:pPr>
              <w:spacing w:after="40"/>
            </w:pPr>
            <w:r>
              <w:rPr>
                <w:sz w:val="19"/>
                <w:szCs w:val="19"/>
              </w:rPr>
              <w:t xml:space="preserve">Fiori Elements (V4) List Report over a dedicated search projection: multi-criteria filter bar with condition operators (is / contains / starts with / between / less than / greater than), saved search variants, Excel export, navigation to the cockpit and to Provider / Contact objects.</w:t>
            </w:r>
          </w:p>
        </w:tc>
      </w:tr>
      <w:tr>
        <w:tc>
          <w:tcPr>
            <w:tcW w:type="dxa" w:w="2500"/>
          </w:tcPr>
          <w:p>
            <w:pPr>
              <w:spacing w:after="40"/>
            </w:pPr>
            <w:r>
              <w:rPr>
                <w:b/>
                <w:bCs/>
                <w:sz w:val="19"/>
                <w:szCs w:val="19"/>
              </w:rPr>
              <w:t xml:space="preserve">Consumption — Web API</w:t>
            </w:r>
          </w:p>
        </w:tc>
        <w:tc>
          <w:tcPr>
            <w:tcW w:type="dxa" w:w="6860"/>
          </w:tcPr>
          <w:p>
            <w:pPr>
              <w:spacing w:after="40"/>
            </w:pPr>
            <w:r>
              <w:rPr>
                <w:sz w:val="19"/>
                <w:szCs w:val="19"/>
              </w:rPr>
              <w:t xml:space="preserve">Web API service binding from the same behavior definition for machine order entry (EXiS and other systems). Asynchronous submit-and-poll contract (FR-11); shipment details retrieval; status service integration.</w:t>
            </w:r>
          </w:p>
        </w:tc>
      </w:tr>
      <w:tr>
        <w:tc>
          <w:tcPr>
            <w:tcW w:type="dxa" w:w="2500"/>
          </w:tcPr>
          <w:p>
            <w:pPr>
              <w:spacing w:after="40"/>
            </w:pPr>
            <w:r>
              <w:rPr>
                <w:b/>
                <w:bCs/>
                <w:sz w:val="19"/>
                <w:szCs w:val="19"/>
              </w:rPr>
              <w:t xml:space="preserve">Behavior — RAP BO</w:t>
            </w:r>
          </w:p>
        </w:tc>
        <w:tc>
          <w:tcPr>
            <w:tcW w:type="dxa" w:w="6860"/>
          </w:tcPr>
          <w:p>
            <w:pPr>
              <w:spacing w:after="40"/>
            </w:pPr>
            <w:r>
              <w:rPr>
                <w:sz w:val="19"/>
                <w:szCs w:val="19"/>
              </w:rPr>
              <w:t xml:space="preserve">Unmanaged RAP business object ZR_VaccineRequestTP (naming TBC) wrapping the standard S/4 sales order API. Owns: validations (delegating rule content to E006), determinations (Channel="UI"/"API", Employee Responsible, defaults), dynamic instance feature control from the status dictionary, instance authorization (jurisdiction scoping), and bound actions: copyOrder, cancelOrder, cancelItem, unCancelItem, createReturn, createReplacement, resubmit, print.</w:t>
            </w:r>
          </w:p>
        </w:tc>
      </w:tr>
      <w:tr>
        <w:tc>
          <w:tcPr>
            <w:tcW w:type="dxa" w:w="2500"/>
          </w:tcPr>
          <w:p>
            <w:pPr>
              <w:spacing w:after="40"/>
            </w:pPr>
            <w:r>
              <w:rPr>
                <w:b/>
                <w:bCs/>
                <w:sz w:val="19"/>
                <w:szCs w:val="19"/>
              </w:rPr>
              <w:t xml:space="preserve">Data</w:t>
            </w:r>
          </w:p>
        </w:tc>
        <w:tc>
          <w:tcPr>
            <w:tcW w:type="dxa" w:w="6860"/>
          </w:tcPr>
          <w:p>
            <w:pPr>
              <w:spacing w:after="40"/>
            </w:pPr>
            <w:r>
              <w:rPr>
                <w:sz w:val="19"/>
                <w:szCs w:val="19"/>
              </w:rPr>
              <w:t xml:space="preserve">Standard SD persistence (VBAK/VBAP/VBKD/VBPA/VBEP, PRCD_ELEMENTS, user status via status objects). CDS interface + projection views for cockpit and search; analytical-style search projection if load numbers (§10) warrant. No custom tables required per FSD; revisit if un-cancel audit trail (FR-04) demands one.</w:t>
            </w:r>
          </w:p>
        </w:tc>
      </w:tr>
    </w:tbl>
    <w:p>
      <w:pPr>
        <w:pStyle w:val="Heading2"/>
        <w:spacing w:after="120" w:before="220"/>
      </w:pPr>
      <w:r>
        <w:rPr>
          <w:b/>
          <w:bCs/>
          <w:color w:val="1F4E79"/>
          <w:sz w:val="25"/>
          <w:szCs w:val="25"/>
        </w:rPr>
        <w:t xml:space="preserve">3.2 Why One Behavior Layer Matters Here</w:t>
      </w:r>
    </w:p>
    <w:p>
      <w:pPr>
        <w:spacing w:after="120"/>
      </w:pPr>
      <w:r>
        <w:rPr>
          <w:sz w:val="21"/>
          <w:szCs w:val="21"/>
        </w:rPr>
        <w:t xml:space="preserve">The BPD shows four order entry channels: the Fiori cockpit, machine API, EXiS-originated interfaces, and provider-originated flows surfacing through Awardee systems. Every channel is subject to identical spend-plan, eligibility, budget, contract, and attribute checks, and to the identical cancellation control that releases committed budget and SPC allocation. Implementing those controls once, in the RAP behavior definition, is the only design in which "unauthorized cancellation → incorrect budget release" (the FSD's own named risk) cannot arise from channel drift. UI-level or per-service enforcement would require keeping four doors consistent forever.</w:t>
      </w:r>
    </w:p>
    <w:p>
      <w:pPr>
        <w:pStyle w:val="Heading1"/>
        <w:spacing w:after="160" w:before="280"/>
      </w:pPr>
      <w:r>
        <w:rPr>
          <w:b/>
          <w:bCs/>
          <w:color w:val="1F4E79"/>
          <w:sz w:val="30"/>
          <w:szCs w:val="30"/>
        </w:rPr>
        <w:t xml:space="preserve">4. Users &amp; Authorization Concept</w:t>
      </w:r>
    </w:p>
    <w:p>
      <w:pPr>
        <w:pStyle w:val="Heading2"/>
        <w:spacing w:after="120" w:before="220"/>
      </w:pPr>
      <w:r>
        <w:rPr>
          <w:b/>
          <w:bCs/>
          <w:color w:val="1F4E79"/>
          <w:sz w:val="25"/>
          <w:szCs w:val="25"/>
        </w:rPr>
        <w:t xml:space="preserve">4.1 Role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shd w:fill="1F4E79" w:val="clear"/>
          </w:tcPr>
          <w:p>
            <w:pPr>
              <w:spacing w:after="40"/>
            </w:pPr>
            <w:r>
              <w:rPr>
                <w:b/>
                <w:bCs/>
                <w:color w:val="FFFFFF"/>
                <w:sz w:val="19"/>
                <w:szCs w:val="19"/>
              </w:rPr>
              <w:t xml:space="preserve">Role</w:t>
            </w:r>
          </w:p>
        </w:tc>
        <w:tc>
          <w:tcPr>
            <w:tcW w:type="dxa" w:w="3300"/>
            <w:shd w:fill="1F4E79" w:val="clear"/>
          </w:tcPr>
          <w:p>
            <w:pPr>
              <w:spacing w:after="40"/>
            </w:pPr>
            <w:r>
              <w:rPr>
                <w:b/>
                <w:bCs/>
                <w:color w:val="FFFFFF"/>
                <w:sz w:val="19"/>
                <w:szCs w:val="19"/>
              </w:rPr>
              <w:t xml:space="preserve">Access</w:t>
            </w:r>
          </w:p>
        </w:tc>
        <w:tc>
          <w:tcPr>
            <w:tcW w:type="dxa" w:w="3860"/>
            <w:shd w:fill="1F4E79" w:val="clear"/>
          </w:tcPr>
          <w:p>
            <w:pPr>
              <w:spacing w:after="40"/>
            </w:pPr>
            <w:r>
              <w:rPr>
                <w:b/>
                <w:bCs/>
                <w:color w:val="FFFFFF"/>
                <w:sz w:val="19"/>
                <w:szCs w:val="19"/>
              </w:rPr>
              <w:t xml:space="preserve">Data Scope</w:t>
            </w:r>
          </w:p>
        </w:tc>
      </w:tr>
      <w:tr>
        <w:tc>
          <w:tcPr>
            <w:tcW w:type="dxa" w:w="2200"/>
          </w:tcPr>
          <w:p>
            <w:pPr>
              <w:spacing w:after="40"/>
            </w:pPr>
            <w:r>
              <w:rPr>
                <w:b/>
                <w:bCs/>
                <w:sz w:val="19"/>
                <w:szCs w:val="19"/>
              </w:rPr>
              <w:t xml:space="preserve">CDC User</w:t>
            </w:r>
          </w:p>
        </w:tc>
        <w:tc>
          <w:tcPr>
            <w:tcW w:type="dxa" w:w="3300"/>
          </w:tcPr>
          <w:p>
            <w:pPr>
              <w:spacing w:after="40"/>
            </w:pPr>
            <w:r>
              <w:rPr>
                <w:sz w:val="19"/>
                <w:szCs w:val="19"/>
              </w:rPr>
              <w:t xml:space="preserve">Full cockpit + search; all actions incl. un-cancel, replacement, direct-ship cancellation post-approval; Grantee field entry mandatory.</w:t>
            </w:r>
          </w:p>
        </w:tc>
        <w:tc>
          <w:tcPr>
            <w:tcW w:type="dxa" w:w="3860"/>
          </w:tcPr>
          <w:p>
            <w:pPr>
              <w:spacing w:after="40"/>
            </w:pPr>
            <w:r>
              <w:rPr>
                <w:sz w:val="19"/>
                <w:szCs w:val="19"/>
              </w:rPr>
              <w:t xml:space="preserve">All Awardees / jurisdictions.</w:t>
            </w:r>
          </w:p>
        </w:tc>
      </w:tr>
      <w:tr>
        <w:tc>
          <w:tcPr>
            <w:tcW w:type="dxa" w:w="2200"/>
          </w:tcPr>
          <w:p>
            <w:pPr>
              <w:spacing w:after="40"/>
            </w:pPr>
            <w:r>
              <w:rPr>
                <w:b/>
                <w:bCs/>
                <w:sz w:val="19"/>
                <w:szCs w:val="19"/>
              </w:rPr>
              <w:t xml:space="preserve">Awardee User</w:t>
            </w:r>
          </w:p>
        </w:tc>
        <w:tc>
          <w:tcPr>
            <w:tcW w:type="dxa" w:w="3300"/>
          </w:tcPr>
          <w:p>
            <w:pPr>
              <w:spacing w:after="40"/>
            </w:pPr>
            <w:r>
              <w:rPr>
                <w:sz w:val="19"/>
                <w:szCs w:val="19"/>
              </w:rPr>
              <w:t xml:space="preserve">Cockpit + search; create, copy, resubmit, cancel per matrix (§4.3); manual approval of own orders. Grantee defaults and is display-only.</w:t>
            </w:r>
          </w:p>
        </w:tc>
        <w:tc>
          <w:tcPr>
            <w:tcW w:type="dxa" w:w="3860"/>
          </w:tcPr>
          <w:p>
            <w:pPr>
              <w:spacing w:after="40"/>
            </w:pPr>
            <w:r>
              <w:rPr>
                <w:sz w:val="19"/>
                <w:szCs w:val="19"/>
              </w:rPr>
              <w:t xml:space="preserve">Instance authorization restricted to own jurisdiction — Grantee ↔ Sales Office (VKBUR) per FSD assumption. Enforced on every read and every operation in the behavior layer, not by UI filtering.</w:t>
            </w:r>
          </w:p>
        </w:tc>
      </w:tr>
      <w:tr>
        <w:tc>
          <w:tcPr>
            <w:tcW w:type="dxa" w:w="2200"/>
          </w:tcPr>
          <w:p>
            <w:pPr>
              <w:spacing w:after="40"/>
            </w:pPr>
            <w:r>
              <w:rPr>
                <w:b/>
                <w:bCs/>
                <w:sz w:val="19"/>
                <w:szCs w:val="19"/>
              </w:rPr>
              <w:t xml:space="preserve">Provider User</w:t>
            </w:r>
          </w:p>
        </w:tc>
        <w:tc>
          <w:tcPr>
            <w:tcW w:type="dxa" w:w="3300"/>
          </w:tcPr>
          <w:p>
            <w:pPr>
              <w:spacing w:after="40"/>
            </w:pPr>
            <w:r>
              <w:rPr>
                <w:b/>
                <w:bCs/>
                <w:sz w:val="19"/>
                <w:szCs w:val="19"/>
              </w:rPr>
              <w:t xml:space="preserve">No direct E008 access. </w:t>
            </w:r>
          </w:p>
          <w:p>
            <w:pPr>
              <w:spacing w:after="40"/>
            </w:pPr>
            <w:r>
              <w:rPr>
                <w:sz w:val="19"/>
                <w:szCs w:val="19"/>
              </w:rPr>
              <w:t xml:space="preserve">Provider-originated orders arrive via EXiS / API channels under Awardee credentials/interface users (CL-10).</w:t>
            </w:r>
          </w:p>
        </w:tc>
        <w:tc>
          <w:tcPr>
            <w:tcW w:type="dxa" w:w="3860"/>
          </w:tcPr>
          <w:p>
            <w:pPr>
              <w:spacing w:after="40"/>
            </w:pPr>
            <w:r>
              <w:rPr>
                <w:sz w:val="19"/>
                <w:szCs w:val="19"/>
              </w:rPr>
              <w:t xml:space="preserve">N/A (interface-mediated).</w:t>
            </w:r>
          </w:p>
        </w:tc>
      </w:tr>
    </w:tbl>
    <w:p>
      <w:pPr>
        <w:pStyle w:val="Heading2"/>
        <w:spacing w:after="120" w:before="220"/>
      </w:pPr>
      <w:r>
        <w:rPr>
          <w:b/>
          <w:bCs/>
          <w:color w:val="1F4E79"/>
          <w:sz w:val="25"/>
          <w:szCs w:val="25"/>
        </w:rPr>
        <w:t xml:space="preserve">4.2 Enforcement Model</w:t>
      </w:r>
    </w:p>
    <w:p>
      <w:pPr>
        <w:pStyle w:val="ListParagraph"/>
        <w:numPr>
          <w:ilvl w:val="0"/>
          <w:numId w:val="2"/>
        </w:numPr>
        <w:spacing w:after="60"/>
      </w:pPr>
      <w:r>
        <w:rPr>
          <w:sz w:val="21"/>
          <w:szCs w:val="21"/>
        </w:rPr>
        <w:t xml:space="preserve">Instance authorization handler in the RAP behavior evaluates jurisdiction on retrieve, update, and every action — a CDC-only action invoked by an Awardee fails in the behavior layer even if a client renders the button in error.</w:t>
      </w:r>
    </w:p>
    <w:p>
      <w:pPr>
        <w:pStyle w:val="ListParagraph"/>
        <w:numPr>
          <w:ilvl w:val="0"/>
          <w:numId w:val="2"/>
        </w:numPr>
        <w:spacing w:after="60"/>
      </w:pPr>
      <w:r>
        <w:rPr>
          <w:sz w:val="21"/>
          <w:szCs w:val="21"/>
        </w:rPr>
        <w:t xml:space="preserve">Action-level authorization: unCancelItem and createReplacement are CDC-only; cancelItem for direct-ship items post-approval is CDC-only; all other cancellations follow the matrix below.</w:t>
      </w:r>
    </w:p>
    <w:p>
      <w:pPr>
        <w:pStyle w:val="ListParagraph"/>
        <w:numPr>
          <w:ilvl w:val="0"/>
          <w:numId w:val="2"/>
        </w:numPr>
        <w:spacing w:after="60"/>
      </w:pPr>
      <w:r>
        <w:rPr>
          <w:sz w:val="21"/>
          <w:szCs w:val="21"/>
        </w:rPr>
        <w:t xml:space="preserve">Front-end catalogs/roles control tile visibility only; they are convenience, not control (PFCG roles + catalogs to be defined with the launchpad model, §7.1).</w:t>
      </w:r>
    </w:p>
    <w:p>
      <w:pPr>
        <w:pStyle w:val="ListParagraph"/>
        <w:numPr>
          <w:ilvl w:val="0"/>
          <w:numId w:val="2"/>
        </w:numPr>
        <w:spacing w:after="60"/>
      </w:pPr>
      <w:r>
        <w:rPr>
          <w:sz w:val="21"/>
          <w:szCs w:val="21"/>
        </w:rPr>
        <w:t xml:space="preserve">Section 508 / accessibility and audit logging requirements apply to both consumption apps (§10).</w:t>
      </w:r>
    </w:p>
    <w:p>
      <w:pPr>
        <w:pStyle w:val="Heading2"/>
        <w:spacing w:after="120" w:before="220"/>
      </w:pPr>
      <w:r>
        <w:rPr>
          <w:b/>
          <w:bCs/>
          <w:color w:val="1F4E79"/>
          <w:sz w:val="25"/>
          <w:szCs w:val="25"/>
        </w:rPr>
        <w:t xml:space="preserve">4.3 Cancellation &amp; Editability Matrix (as currently understood — confirm against E006, CL-05)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300"/>
        <w:gridCol w:w="2300"/>
        <w:gridCol w:w="2410"/>
      </w:tblGrid>
      <w:tr>
        <w:trPr>
          <w:tblHeader/>
        </w:trPr>
        <w:tc>
          <w:tcPr>
            <w:tcW w:type="dxa" w:w="2350"/>
            <w:shd w:fill="1F4E79" w:val="clear"/>
          </w:tcPr>
          <w:p>
            <w:pPr>
              <w:spacing w:after="40"/>
            </w:pPr>
            <w:r>
              <w:rPr>
                <w:b/>
                <w:bCs/>
                <w:color w:val="FFFFFF"/>
                <w:sz w:val="19"/>
                <w:szCs w:val="19"/>
              </w:rPr>
              <w:t xml:space="preserve">Order/Item State</w:t>
            </w:r>
          </w:p>
        </w:tc>
        <w:tc>
          <w:tcPr>
            <w:tcW w:type="dxa" w:w="2300"/>
            <w:shd w:fill="1F4E79" w:val="clear"/>
          </w:tcPr>
          <w:p>
            <w:pPr>
              <w:spacing w:after="40"/>
            </w:pPr>
            <w:r>
              <w:rPr>
                <w:b/>
                <w:bCs/>
                <w:color w:val="FFFFFF"/>
                <w:sz w:val="19"/>
                <w:szCs w:val="19"/>
              </w:rPr>
              <w:t xml:space="preserve">Awardee may</w:t>
            </w:r>
          </w:p>
        </w:tc>
        <w:tc>
          <w:tcPr>
            <w:tcW w:type="dxa" w:w="2300"/>
            <w:shd w:fill="1F4E79" w:val="clear"/>
          </w:tcPr>
          <w:p>
            <w:pPr>
              <w:spacing w:after="40"/>
            </w:pPr>
            <w:r>
              <w:rPr>
                <w:b/>
                <w:bCs/>
                <w:color w:val="FFFFFF"/>
                <w:sz w:val="19"/>
                <w:szCs w:val="19"/>
              </w:rPr>
              <w:t xml:space="preserve">CDC may</w:t>
            </w:r>
          </w:p>
        </w:tc>
        <w:tc>
          <w:tcPr>
            <w:tcW w:type="dxa" w:w="2410"/>
            <w:shd w:fill="1F4E79" w:val="clear"/>
          </w:tcPr>
          <w:p>
            <w:pPr>
              <w:spacing w:after="40"/>
            </w:pPr>
            <w:r>
              <w:rPr>
                <w:b/>
                <w:bCs/>
                <w:color w:val="FFFFFF"/>
                <w:sz w:val="19"/>
                <w:szCs w:val="19"/>
              </w:rPr>
              <w:t xml:space="preserve">Field Editability</w:t>
            </w:r>
          </w:p>
        </w:tc>
      </w:tr>
      <w:tr>
        <w:tc>
          <w:tcPr>
            <w:tcW w:type="dxa" w:w="2350"/>
          </w:tcPr>
          <w:p>
            <w:pPr>
              <w:spacing w:after="40"/>
            </w:pPr>
            <w:r>
              <w:rPr>
                <w:sz w:val="19"/>
                <w:szCs w:val="19"/>
              </w:rPr>
              <w:t xml:space="preserve">Pre-approval (1A/1B/1C)</w:t>
            </w:r>
          </w:p>
        </w:tc>
        <w:tc>
          <w:tcPr>
            <w:tcW w:type="dxa" w:w="2300"/>
          </w:tcPr>
          <w:p>
            <w:pPr>
              <w:spacing w:after="40"/>
            </w:pPr>
            <w:r>
              <w:rPr>
                <w:sz w:val="19"/>
                <w:szCs w:val="19"/>
              </w:rPr>
              <w:t xml:space="preserve">Cancel any order or line (direct &amp; non-direct ship); edit per status; resubmit after fixes</w:t>
            </w:r>
          </w:p>
        </w:tc>
        <w:tc>
          <w:tcPr>
            <w:tcW w:type="dxa" w:w="2300"/>
          </w:tcPr>
          <w:p>
            <w:pPr>
              <w:spacing w:after="40"/>
            </w:pPr>
            <w:r>
              <w:rPr>
                <w:sz w:val="19"/>
                <w:szCs w:val="19"/>
              </w:rPr>
              <w:t xml:space="preserve">Cancel any order or line</w:t>
            </w:r>
          </w:p>
        </w:tc>
        <w:tc>
          <w:tcPr>
            <w:tcW w:type="dxa" w:w="2410"/>
          </w:tcPr>
          <w:p>
            <w:pPr>
              <w:spacing w:after="40"/>
            </w:pPr>
            <w:r>
              <w:rPr>
                <w:sz w:val="19"/>
                <w:szCs w:val="19"/>
              </w:rPr>
              <w:t xml:space="preserve">Per status dictionary §5.2; General Data editable while not completed/cancelled</w:t>
            </w:r>
          </w:p>
        </w:tc>
      </w:tr>
      <w:tr>
        <w:tc>
          <w:tcPr>
            <w:tcW w:type="dxa" w:w="2350"/>
          </w:tcPr>
          <w:p>
            <w:pPr>
              <w:spacing w:after="40"/>
            </w:pPr>
            <w:r>
              <w:rPr>
                <w:sz w:val="19"/>
                <w:szCs w:val="19"/>
              </w:rPr>
              <w:t xml:space="preserve">1D Approved</w:t>
            </w:r>
          </w:p>
        </w:tc>
        <w:tc>
          <w:tcPr>
            <w:tcW w:type="dxa" w:w="2300"/>
          </w:tcPr>
          <w:p>
            <w:pPr>
              <w:spacing w:after="40"/>
            </w:pPr>
            <w:r>
              <w:rPr>
                <w:sz w:val="19"/>
                <w:szCs w:val="19"/>
              </w:rPr>
              <w:t xml:space="preserve">Cancel non-direct-ship orders/lines; set status → Approved by Awardee or Cancelled</w:t>
            </w:r>
          </w:p>
        </w:tc>
        <w:tc>
          <w:tcPr>
            <w:tcW w:type="dxa" w:w="2300"/>
          </w:tcPr>
          <w:p>
            <w:pPr>
              <w:spacing w:after="40"/>
            </w:pPr>
            <w:r>
              <w:rPr>
                <w:sz w:val="19"/>
                <w:szCs w:val="19"/>
              </w:rPr>
              <w:t xml:space="preserve">Cancel any line incl. direct ship (cancelling a direct-ship line also cancels the linked PO and PR)</w:t>
            </w:r>
          </w:p>
        </w:tc>
        <w:tc>
          <w:tcPr>
            <w:tcW w:type="dxa" w:w="2410"/>
          </w:tcPr>
          <w:p>
            <w:pPr>
              <w:spacing w:after="40"/>
            </w:pPr>
            <w:r>
              <w:rPr>
                <w:sz w:val="19"/>
                <w:szCs w:val="19"/>
              </w:rPr>
              <w:t xml:space="preserve">Only Status and Rejection Reason changeable</w:t>
            </w:r>
          </w:p>
        </w:tc>
      </w:tr>
      <w:tr>
        <w:tc>
          <w:tcPr>
            <w:tcW w:type="dxa" w:w="2350"/>
          </w:tcPr>
          <w:p>
            <w:pPr>
              <w:spacing w:after="40"/>
            </w:pPr>
            <w:r>
              <w:rPr>
                <w:sz w:val="19"/>
                <w:szCs w:val="19"/>
              </w:rPr>
              <w:t xml:space="preserve">1E Approved by Awardee</w:t>
            </w:r>
          </w:p>
        </w:tc>
        <w:tc>
          <w:tcPr>
            <w:tcW w:type="dxa" w:w="2300"/>
          </w:tcPr>
          <w:p>
            <w:pPr>
              <w:spacing w:after="40"/>
            </w:pPr>
            <w:r>
              <w:rPr>
                <w:sz w:val="19"/>
                <w:szCs w:val="19"/>
              </w:rPr>
              <w:t xml:space="preserve">Cancel non-direct-ship; status → Cancelled</w:t>
            </w:r>
          </w:p>
        </w:tc>
        <w:tc>
          <w:tcPr>
            <w:tcW w:type="dxa" w:w="2300"/>
          </w:tcPr>
          <w:p>
            <w:pPr>
              <w:spacing w:after="40"/>
            </w:pPr>
            <w:r>
              <w:rPr>
                <w:sz w:val="19"/>
                <w:szCs w:val="19"/>
              </w:rPr>
              <w:t xml:space="preserve">Cancel any line incl. direct ship</w:t>
            </w:r>
          </w:p>
        </w:tc>
        <w:tc>
          <w:tcPr>
            <w:tcW w:type="dxa" w:w="2410"/>
          </w:tcPr>
          <w:p>
            <w:pPr>
              <w:spacing w:after="40"/>
            </w:pPr>
            <w:r>
              <w:rPr>
                <w:sz w:val="19"/>
                <w:szCs w:val="19"/>
              </w:rPr>
              <w:t xml:space="preserve">Status, Rejection Reason, Category editable; Priority and Order Reason locked</w:t>
            </w:r>
          </w:p>
        </w:tc>
      </w:tr>
      <w:tr>
        <w:tc>
          <w:tcPr>
            <w:tcW w:type="dxa" w:w="2350"/>
          </w:tcPr>
          <w:p>
            <w:pPr>
              <w:spacing w:after="40"/>
            </w:pPr>
            <w:r>
              <w:rPr>
                <w:sz w:val="19"/>
                <w:szCs w:val="19"/>
              </w:rPr>
              <w:t xml:space="preserve">Post-shipment (ASN posted)</w:t>
            </w:r>
          </w:p>
        </w:tc>
        <w:tc>
          <w:tcPr>
            <w:tcW w:type="dxa" w:w="2300"/>
          </w:tcPr>
          <w:p>
            <w:pPr>
              <w:spacing w:after="40"/>
            </w:pPr>
            <w:r>
              <w:rPr>
                <w:sz w:val="19"/>
                <w:szCs w:val="19"/>
              </w:rPr>
              <w:t xml:space="preserve">—</w:t>
            </w:r>
          </w:p>
        </w:tc>
        <w:tc>
          <w:tcPr>
            <w:tcW w:type="dxa" w:w="2300"/>
          </w:tcPr>
          <w:p>
            <w:pPr>
              <w:spacing w:after="40"/>
            </w:pPr>
            <w:r>
              <w:rPr>
                <w:sz w:val="19"/>
                <w:szCs w:val="19"/>
              </w:rPr>
              <w:t xml:space="preserve">Un-cancel a cancelled line to post ASN; budget/SPC re-consumed; Grantee informed (FR-04)</w:t>
            </w:r>
          </w:p>
        </w:tc>
        <w:tc>
          <w:tcPr>
            <w:tcW w:type="dxa" w:w="2410"/>
          </w:tcPr>
          <w:p>
            <w:pPr>
              <w:spacing w:after="40"/>
            </w:pPr>
            <w:r>
              <w:rPr>
                <w:sz w:val="19"/>
                <w:szCs w:val="19"/>
              </w:rPr>
              <w:t xml:space="preserve">Line restored to normal fulfillment editability rules</w:t>
            </w:r>
          </w:p>
        </w:tc>
      </w:tr>
      <w:tr>
        <w:tc>
          <w:tcPr>
            <w:tcW w:type="dxa" w:w="2350"/>
          </w:tcPr>
          <w:p>
            <w:pPr>
              <w:spacing w:after="40"/>
            </w:pPr>
            <w:r>
              <w:rPr>
                <w:sz w:val="19"/>
                <w:szCs w:val="19"/>
              </w:rPr>
              <w:t xml:space="preserve">1F Cancelled / 1G Complete</w:t>
            </w:r>
          </w:p>
        </w:tc>
        <w:tc>
          <w:tcPr>
            <w:tcW w:type="dxa" w:w="2300"/>
          </w:tcPr>
          <w:p>
            <w:pPr>
              <w:spacing w:after="40"/>
            </w:pPr>
            <w:r>
              <w:rPr>
                <w:sz w:val="19"/>
                <w:szCs w:val="19"/>
              </w:rPr>
              <w:t xml:space="preserve">Display only</w:t>
            </w:r>
          </w:p>
        </w:tc>
        <w:tc>
          <w:tcPr>
            <w:tcW w:type="dxa" w:w="2300"/>
          </w:tcPr>
          <w:p>
            <w:pPr>
              <w:spacing w:after="40"/>
            </w:pPr>
            <w:r>
              <w:rPr>
                <w:sz w:val="19"/>
                <w:szCs w:val="19"/>
              </w:rPr>
              <w:t xml:space="preserve">Display only (except FR-04 path)</w:t>
            </w:r>
          </w:p>
        </w:tc>
        <w:tc>
          <w:tcPr>
            <w:tcW w:type="dxa" w:w="2410"/>
          </w:tcPr>
          <w:p>
            <w:pPr>
              <w:spacing w:after="40"/>
            </w:pPr>
            <w:r>
              <w:rPr>
                <w:sz w:val="19"/>
                <w:szCs w:val="19"/>
              </w:rPr>
              <w:t xml:space="preserve">All locked</w:t>
            </w:r>
          </w:p>
        </w:tc>
      </w:tr>
    </w:tbl>
    <w:p>
      <w:pPr>
        <w:spacing w:after="120"/>
      </w:pPr>
      <w:r>
        <w:rPr>
          <w:b/>
          <w:bCs/>
          <w:sz w:val="21"/>
          <w:szCs w:val="21"/>
        </w:rPr>
        <w:t xml:space="preserve">Header-level cancellation semantics: </w:t>
      </w:r>
      <w:r>
        <w:rPr>
          <w:sz w:val="21"/>
          <w:szCs w:val="21"/>
        </w:rPr>
        <w:t xml:space="preserve">Awardee header cancel cancels all open non-direct-ship lines; CDC header cancel cancels all open lines including direct ship.</w:t>
      </w:r>
    </w:p>
    <w:p>
      <w:pPr>
        <w:pStyle w:val="Heading1"/>
        <w:spacing w:after="160" w:before="280"/>
      </w:pPr>
      <w:r>
        <w:rPr>
          <w:b/>
          <w:bCs/>
          <w:color w:val="1F4E79"/>
          <w:sz w:val="30"/>
          <w:szCs w:val="30"/>
        </w:rPr>
        <w:t xml:space="preserve">5. Data Model &amp; Status Dictionary</w:t>
      </w:r>
    </w:p>
    <w:p>
      <w:pPr>
        <w:pStyle w:val="Heading2"/>
        <w:spacing w:after="120" w:before="220"/>
      </w:pPr>
      <w:r>
        <w:rPr>
          <w:b/>
          <w:bCs/>
          <w:color w:val="1F4E79"/>
          <w:sz w:val="25"/>
          <w:szCs w:val="25"/>
        </w:rPr>
        <w:t xml:space="preserve">5.1 Corrected S/4HANA Field Mapping (CL-06)</w:t>
      </w:r>
    </w:p>
    <w:p>
      <w:pPr>
        <w:spacing w:after="120"/>
      </w:pPr>
      <w:r>
        <w:rPr>
          <w:sz w:val="21"/>
          <w:szCs w:val="21"/>
        </w:rPr>
        <w:t xml:space="preserve">Mappings below replace the retired ECC references in FSD §3.4.1.2. Verify against the target S/4 release/FPS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shd w:fill="1F4E79" w:val="clear"/>
          </w:tcPr>
          <w:p>
            <w:pPr>
              <w:spacing w:after="40"/>
            </w:pPr>
            <w:r>
              <w:rPr>
                <w:b/>
                <w:bCs/>
                <w:color w:val="FFFFFF"/>
                <w:sz w:val="19"/>
                <w:szCs w:val="19"/>
              </w:rPr>
              <w:t xml:space="preserve">Field (spec name)</w:t>
            </w:r>
          </w:p>
        </w:tc>
        <w:tc>
          <w:tcPr>
            <w:tcW w:type="dxa" w:w="2900"/>
            <w:shd w:fill="1F4E79" w:val="clear"/>
          </w:tcPr>
          <w:p>
            <w:pPr>
              <w:spacing w:after="40"/>
            </w:pPr>
            <w:r>
              <w:rPr>
                <w:b/>
                <w:bCs/>
                <w:color w:val="FFFFFF"/>
                <w:sz w:val="19"/>
                <w:szCs w:val="19"/>
              </w:rPr>
              <w:t xml:space="preserve">FSD mapping (legacy)</w:t>
            </w:r>
          </w:p>
        </w:tc>
        <w:tc>
          <w:tcPr>
            <w:tcW w:type="dxa" w:w="3460"/>
            <w:shd w:fill="1F4E79" w:val="clear"/>
          </w:tcPr>
          <w:p>
            <w:pPr>
              <w:spacing w:after="40"/>
            </w:pPr>
            <w:r>
              <w:rPr>
                <w:b/>
                <w:bCs/>
                <w:color w:val="FFFFFF"/>
                <w:sz w:val="19"/>
                <w:szCs w:val="19"/>
              </w:rPr>
              <w:t xml:space="preserve">S/4 mapping (corrected)</w:t>
            </w:r>
          </w:p>
        </w:tc>
      </w:tr>
      <w:tr>
        <w:tc>
          <w:tcPr>
            <w:tcW w:type="dxa" w:w="3000"/>
          </w:tcPr>
          <w:p>
            <w:pPr>
              <w:spacing w:after="40"/>
            </w:pPr>
            <w:r>
              <w:rPr>
                <w:sz w:val="19"/>
                <w:szCs w:val="19"/>
              </w:rPr>
              <w:t xml:space="preserve">Header overall / delivery status</w:t>
            </w:r>
          </w:p>
        </w:tc>
        <w:tc>
          <w:tcPr>
            <w:tcW w:type="dxa" w:w="2900"/>
          </w:tcPr>
          <w:p>
            <w:pPr>
              <w:spacing w:after="40"/>
            </w:pPr>
            <w:r>
              <w:rPr>
                <w:sz w:val="19"/>
                <w:szCs w:val="19"/>
              </w:rPr>
              <w:t xml:space="preserve">VBUK-GBSTK / VBUK-LFSTK</w:t>
            </w:r>
          </w:p>
        </w:tc>
        <w:tc>
          <w:tcPr>
            <w:tcW w:type="dxa" w:w="3460"/>
          </w:tcPr>
          <w:p>
            <w:pPr>
              <w:spacing w:after="40"/>
            </w:pPr>
            <w:r>
              <w:rPr>
                <w:sz w:val="19"/>
                <w:szCs w:val="19"/>
              </w:rPr>
              <w:t xml:space="preserve">VBAK status fields (VBUK eliminated in S/4 simplification); CDS: I_SalesDocument status attributes</w:t>
            </w:r>
          </w:p>
        </w:tc>
      </w:tr>
      <w:tr>
        <w:tc>
          <w:tcPr>
            <w:tcW w:type="dxa" w:w="3000"/>
          </w:tcPr>
          <w:p>
            <w:pPr>
              <w:spacing w:after="40"/>
            </w:pPr>
            <w:r>
              <w:rPr>
                <w:sz w:val="19"/>
                <w:szCs w:val="19"/>
              </w:rPr>
              <w:t xml:space="preserve">Item processing / delivery status</w:t>
            </w:r>
          </w:p>
        </w:tc>
        <w:tc>
          <w:tcPr>
            <w:tcW w:type="dxa" w:w="2900"/>
          </w:tcPr>
          <w:p>
            <w:pPr>
              <w:spacing w:after="40"/>
            </w:pPr>
            <w:r>
              <w:rPr>
                <w:sz w:val="19"/>
                <w:szCs w:val="19"/>
              </w:rPr>
              <w:t xml:space="preserve">VBUP-GBSTA / VBUP-LFSTA</w:t>
            </w:r>
          </w:p>
        </w:tc>
        <w:tc>
          <w:tcPr>
            <w:tcW w:type="dxa" w:w="3460"/>
          </w:tcPr>
          <w:p>
            <w:pPr>
              <w:spacing w:after="40"/>
            </w:pPr>
            <w:r>
              <w:rPr>
                <w:sz w:val="19"/>
                <w:szCs w:val="19"/>
              </w:rPr>
              <w:t xml:space="preserve">VBAP status fields; CDS: I_SalesDocumentItem status attributes</w:t>
            </w:r>
          </w:p>
        </w:tc>
      </w:tr>
      <w:tr>
        <w:tc>
          <w:tcPr>
            <w:tcW w:type="dxa" w:w="3000"/>
          </w:tcPr>
          <w:p>
            <w:pPr>
              <w:spacing w:after="40"/>
            </w:pPr>
            <w:r>
              <w:rPr>
                <w:sz w:val="19"/>
                <w:szCs w:val="19"/>
              </w:rPr>
              <w:t xml:space="preserve">Pricing condition amount / currency</w:t>
            </w:r>
          </w:p>
        </w:tc>
        <w:tc>
          <w:tcPr>
            <w:tcW w:type="dxa" w:w="2900"/>
          </w:tcPr>
          <w:p>
            <w:pPr>
              <w:spacing w:after="40"/>
            </w:pPr>
            <w:r>
              <w:rPr>
                <w:sz w:val="19"/>
                <w:szCs w:val="19"/>
              </w:rPr>
              <w:t xml:space="preserve">KONV-KBETR / KONV-KONWA</w:t>
            </w:r>
          </w:p>
        </w:tc>
        <w:tc>
          <w:tcPr>
            <w:tcW w:type="dxa" w:w="3460"/>
          </w:tcPr>
          <w:p>
            <w:pPr>
              <w:spacing w:after="40"/>
            </w:pPr>
            <w:r>
              <w:rPr>
                <w:sz w:val="19"/>
                <w:szCs w:val="19"/>
              </w:rPr>
              <w:t xml:space="preserve">PRCD_ELEMENTS (compatibility view V_KONV not a build target)</w:t>
            </w:r>
          </w:p>
        </w:tc>
      </w:tr>
      <w:tr>
        <w:tc>
          <w:tcPr>
            <w:tcW w:type="dxa" w:w="3000"/>
          </w:tcPr>
          <w:p>
            <w:pPr>
              <w:spacing w:after="40"/>
            </w:pPr>
            <w:r>
              <w:rPr>
                <w:sz w:val="19"/>
                <w:szCs w:val="19"/>
              </w:rPr>
              <w:t xml:space="preserve">User status (1A–1G)</w:t>
            </w:r>
          </w:p>
        </w:tc>
        <w:tc>
          <w:tcPr>
            <w:tcW w:type="dxa" w:w="2900"/>
          </w:tcPr>
          <w:p>
            <w:pPr>
              <w:spacing w:after="40"/>
            </w:pPr>
            <w:r>
              <w:rPr>
                <w:sz w:val="19"/>
                <w:szCs w:val="19"/>
              </w:rPr>
              <w:t xml:space="preserve">VBUK- (unspecified)</w:t>
            </w:r>
          </w:p>
        </w:tc>
        <w:tc>
          <w:tcPr>
            <w:tcW w:type="dxa" w:w="3460"/>
          </w:tcPr>
          <w:p>
            <w:pPr>
              <w:spacing w:after="40"/>
            </w:pPr>
            <w:r>
              <w:rPr>
                <w:sz w:val="19"/>
                <w:szCs w:val="19"/>
              </w:rPr>
              <w:t xml:space="preserve">User status via status object/profile on the sales document (JEST/status framework); surfaced through CDS association for field control</w:t>
            </w:r>
          </w:p>
        </w:tc>
      </w:tr>
      <w:tr>
        <w:tc>
          <w:tcPr>
            <w:tcW w:type="dxa" w:w="3000"/>
          </w:tcPr>
          <w:p>
            <w:pPr>
              <w:spacing w:after="40"/>
            </w:pPr>
            <w:r>
              <w:rPr>
                <w:sz w:val="19"/>
                <w:szCs w:val="19"/>
              </w:rPr>
              <w:t xml:space="preserve">Channel</w:t>
            </w:r>
          </w:p>
        </w:tc>
        <w:tc>
          <w:tcPr>
            <w:tcW w:type="dxa" w:w="2900"/>
          </w:tcPr>
          <w:p>
            <w:pPr>
              <w:spacing w:after="40"/>
            </w:pPr>
            <w:r>
              <w:rPr>
                <w:sz w:val="19"/>
                <w:szCs w:val="19"/>
              </w:rPr>
              <w:t xml:space="preserve">VBKD-BSARK</w:t>
            </w:r>
          </w:p>
        </w:tc>
        <w:tc>
          <w:tcPr>
            <w:tcW w:type="dxa" w:w="3460"/>
          </w:tcPr>
          <w:p>
            <w:pPr>
              <w:spacing w:after="40"/>
            </w:pPr>
            <w:r>
              <w:rPr>
                <w:sz w:val="19"/>
                <w:szCs w:val="19"/>
              </w:rPr>
              <w:t xml:space="preserve">VBKD-BSARK (unchanged) — determination sets "UI" for cockpit-created, "API" recommended for machine channel (confirm value set)</w:t>
            </w:r>
          </w:p>
        </w:tc>
      </w:tr>
    </w:tbl>
    <w:p>
      <w:pPr>
        <w:spacing w:after="120"/>
      </w:pPr>
      <w:r>
        <w:rPr>
          <w:sz w:val="21"/>
          <w:szCs w:val="21"/>
        </w:rPr>
        <w:t xml:space="preserve">All other VBAK/VBAP/VBPA/VBEP/LIPS/VBRP references in the FSD field list remain valid.</w:t>
      </w:r>
    </w:p>
    <w:p>
      <w:pPr>
        <w:pStyle w:val="Heading2"/>
        <w:spacing w:after="120" w:before="220"/>
      </w:pPr>
      <w:r>
        <w:rPr>
          <w:b/>
          <w:bCs/>
          <w:color w:val="1F4E79"/>
          <w:sz w:val="25"/>
          <w:szCs w:val="25"/>
        </w:rPr>
        <w:t xml:space="preserve">5.2 Status Dictionary (DRAFT for confirmation — CL-03)</w:t>
      </w:r>
    </w:p>
    <w:p>
      <w:pPr>
        <w:spacing w:after="120"/>
      </w:pPr>
      <w:r>
        <w:rPr>
          <w:sz w:val="21"/>
          <w:szCs w:val="21"/>
        </w:rPr>
        <w:t xml:space="preserve">A single controlled status dictionary must be ratified across E006, E008, and the BPD. The draft below reconciles the two documents; conflicts are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60"/>
        <w:gridCol w:w="1450"/>
        <w:gridCol w:w="1450"/>
      </w:tblGrid>
      <w:tr>
        <w:trPr>
          <w:tblHeader/>
        </w:trPr>
        <w:tc>
          <w:tcPr>
            <w:tcW w:type="dxa" w:w="900"/>
            <w:shd w:fill="1F4E79" w:val="clear"/>
          </w:tcPr>
          <w:p>
            <w:pPr>
              <w:spacing w:after="40"/>
            </w:pPr>
            <w:r>
              <w:rPr>
                <w:b/>
                <w:bCs/>
                <w:color w:val="FFFFFF"/>
                <w:sz w:val="19"/>
                <w:szCs w:val="19"/>
              </w:rPr>
              <w:t xml:space="preserve">Code</w:t>
            </w:r>
          </w:p>
        </w:tc>
        <w:tc>
          <w:tcPr>
            <w:tcW w:type="dxa" w:w="2600"/>
            <w:shd w:fill="1F4E79" w:val="clear"/>
          </w:tcPr>
          <w:p>
            <w:pPr>
              <w:spacing w:after="40"/>
            </w:pPr>
            <w:r>
              <w:rPr>
                <w:b/>
                <w:bCs/>
                <w:color w:val="FFFFFF"/>
                <w:sz w:val="19"/>
                <w:szCs w:val="19"/>
              </w:rPr>
              <w:t xml:space="preserve">Name (proposed)</w:t>
            </w:r>
          </w:p>
        </w:tc>
        <w:tc>
          <w:tcPr>
            <w:tcW w:type="dxa" w:w="2960"/>
            <w:shd w:fill="1F4E79" w:val="clear"/>
          </w:tcPr>
          <w:p>
            <w:pPr>
              <w:spacing w:after="40"/>
            </w:pPr>
            <w:r>
              <w:rPr>
                <w:b/>
                <w:bCs/>
                <w:color w:val="FFFFFF"/>
                <w:sz w:val="19"/>
                <w:szCs w:val="19"/>
              </w:rPr>
              <w:t xml:space="preserve">Meaning</w:t>
            </w:r>
          </w:p>
        </w:tc>
        <w:tc>
          <w:tcPr>
            <w:tcW w:type="dxa" w:w="1450"/>
            <w:shd w:fill="1F4E79" w:val="clear"/>
          </w:tcPr>
          <w:p>
            <w:pPr>
              <w:spacing w:after="40"/>
            </w:pPr>
            <w:r>
              <w:rPr>
                <w:b/>
                <w:bCs/>
                <w:color w:val="FFFFFF"/>
                <w:sz w:val="19"/>
                <w:szCs w:val="19"/>
              </w:rPr>
              <w:t xml:space="preserve">Set by</w:t>
            </w:r>
          </w:p>
        </w:tc>
        <w:tc>
          <w:tcPr>
            <w:tcW w:type="dxa" w:w="1450"/>
            <w:shd w:fill="1F4E79" w:val="clear"/>
          </w:tcPr>
          <w:p>
            <w:pPr>
              <w:spacing w:after="40"/>
            </w:pPr>
            <w:r>
              <w:rPr>
                <w:b/>
                <w:bCs/>
                <w:color w:val="FFFFFF"/>
                <w:sz w:val="19"/>
                <w:szCs w:val="19"/>
              </w:rPr>
              <w:t xml:space="preserve">User-selectable</w:t>
            </w:r>
          </w:p>
        </w:tc>
      </w:tr>
      <w:tr>
        <w:tc>
          <w:tcPr>
            <w:tcW w:type="dxa" w:w="900"/>
          </w:tcPr>
          <w:p>
            <w:pPr>
              <w:spacing w:after="40"/>
            </w:pPr>
            <w:r>
              <w:rPr>
                <w:sz w:val="19"/>
                <w:szCs w:val="19"/>
              </w:rPr>
              <w:t xml:space="preserve">1A</w:t>
            </w:r>
          </w:p>
        </w:tc>
        <w:tc>
          <w:tcPr>
            <w:tcW w:type="dxa" w:w="2600"/>
          </w:tcPr>
          <w:p>
            <w:pPr>
              <w:spacing w:after="40"/>
            </w:pPr>
            <w:r>
              <w:rPr>
                <w:sz w:val="19"/>
                <w:szCs w:val="19"/>
              </w:rPr>
              <w:t xml:space="preserve">In Process – Request</w:t>
            </w:r>
          </w:p>
        </w:tc>
        <w:tc>
          <w:tcPr>
            <w:tcW w:type="dxa" w:w="2960"/>
          </w:tcPr>
          <w:p>
            <w:pPr>
              <w:spacing w:after="40"/>
            </w:pPr>
            <w:r>
              <w:rPr>
                <w:sz w:val="19"/>
                <w:szCs w:val="19"/>
              </w:rPr>
              <w:t xml:space="preserve">Initial status on first save</w:t>
            </w:r>
          </w:p>
        </w:tc>
        <w:tc>
          <w:tcPr>
            <w:tcW w:type="dxa" w:w="1450"/>
          </w:tcPr>
          <w:p>
            <w:pPr>
              <w:spacing w:after="40"/>
            </w:pPr>
            <w:r>
              <w:rPr>
                <w:sz w:val="19"/>
                <w:szCs w:val="19"/>
              </w:rPr>
              <w:t xml:space="preserve">System</w:t>
            </w:r>
          </w:p>
        </w:tc>
        <w:tc>
          <w:tcPr>
            <w:tcW w:type="dxa" w:w="1450"/>
          </w:tcPr>
          <w:p>
            <w:pPr>
              <w:spacing w:after="40"/>
            </w:pPr>
            <w:r>
              <w:rPr>
                <w:sz w:val="19"/>
                <w:szCs w:val="19"/>
              </w:rPr>
              <w:t xml:space="preserve">Default</w:t>
            </w:r>
          </w:p>
        </w:tc>
      </w:tr>
      <w:tr>
        <w:tc>
          <w:tcPr>
            <w:tcW w:type="dxa" w:w="900"/>
          </w:tcPr>
          <w:p>
            <w:pPr>
              <w:spacing w:after="40"/>
            </w:pPr>
            <w:r>
              <w:rPr>
                <w:sz w:val="19"/>
                <w:szCs w:val="19"/>
              </w:rPr>
              <w:t xml:space="preserve">1B</w:t>
            </w:r>
          </w:p>
        </w:tc>
        <w:tc>
          <w:tcPr>
            <w:tcW w:type="dxa" w:w="2600"/>
          </w:tcPr>
          <w:p>
            <w:pPr>
              <w:spacing w:after="40"/>
            </w:pPr>
            <w:r>
              <w:rPr>
                <w:sz w:val="19"/>
                <w:szCs w:val="19"/>
              </w:rPr>
              <w:t xml:space="preserve">Order on Hold – Request</w:t>
            </w:r>
          </w:p>
        </w:tc>
        <w:tc>
          <w:tcPr>
            <w:tcW w:type="dxa" w:w="2960"/>
          </w:tcPr>
          <w:p>
            <w:pPr>
              <w:spacing w:after="40"/>
            </w:pPr>
            <w:r>
              <w:rPr>
                <w:sz w:val="19"/>
                <w:szCs w:val="19"/>
              </w:rPr>
              <w:t xml:space="preserve">Order held pending resolution</w:t>
            </w:r>
          </w:p>
        </w:tc>
        <w:tc>
          <w:tcPr>
            <w:tcW w:type="dxa" w:w="1450"/>
          </w:tcPr>
          <w:p>
            <w:pPr>
              <w:spacing w:after="40"/>
            </w:pPr>
            <w:r>
              <w:rPr>
                <w:sz w:val="19"/>
                <w:szCs w:val="19"/>
              </w:rPr>
              <w:t xml:space="preserve">CDC / Awardee</w:t>
            </w:r>
          </w:p>
        </w:tc>
        <w:tc>
          <w:tcPr>
            <w:tcW w:type="dxa" w:w="1450"/>
          </w:tcPr>
          <w:p>
            <w:pPr>
              <w:spacing w:after="40"/>
            </w:pPr>
            <w:r>
              <w:rPr>
                <w:sz w:val="19"/>
                <w:szCs w:val="19"/>
              </w:rPr>
              <w:t xml:space="preserve">Yes</w:t>
            </w:r>
          </w:p>
        </w:tc>
      </w:tr>
      <w:tr>
        <w:tc>
          <w:tcPr>
            <w:tcW w:type="dxa" w:w="900"/>
          </w:tcPr>
          <w:p>
            <w:pPr>
              <w:spacing w:after="40"/>
            </w:pPr>
            <w:r>
              <w:rPr>
                <w:sz w:val="19"/>
                <w:szCs w:val="19"/>
              </w:rPr>
              <w:t xml:space="preserve">1C</w:t>
            </w:r>
          </w:p>
        </w:tc>
        <w:tc>
          <w:tcPr>
            <w:tcW w:type="dxa" w:w="2600"/>
          </w:tcPr>
          <w:p>
            <w:pPr>
              <w:spacing w:after="40"/>
            </w:pPr>
            <w:r>
              <w:rPr>
                <w:sz w:val="19"/>
                <w:szCs w:val="19"/>
              </w:rPr>
              <w:t xml:space="preserve">Rejected</w:t>
            </w:r>
          </w:p>
        </w:tc>
        <w:tc>
          <w:tcPr>
            <w:tcW w:type="dxa" w:w="2960"/>
          </w:tcPr>
          <w:p>
            <w:pPr>
              <w:spacing w:after="40"/>
            </w:pPr>
            <w:r>
              <w:rPr>
                <w:sz w:val="19"/>
                <w:szCs w:val="19"/>
              </w:rPr>
              <w:t xml:space="preserve">Soft-stop validation failure; order persisted; eligible for fix-and-resubmit and 60-day batch re-validation</w:t>
            </w:r>
          </w:p>
        </w:tc>
        <w:tc>
          <w:tcPr>
            <w:tcW w:type="dxa" w:w="1450"/>
          </w:tcPr>
          <w:p>
            <w:pPr>
              <w:spacing w:after="40"/>
            </w:pPr>
            <w:r>
              <w:rPr>
                <w:sz w:val="19"/>
                <w:szCs w:val="19"/>
              </w:rPr>
              <w:t xml:space="preserve">System (E006)</w:t>
            </w:r>
          </w:p>
        </w:tc>
        <w:tc>
          <w:tcPr>
            <w:tcW w:type="dxa" w:w="1450"/>
          </w:tcPr>
          <w:p>
            <w:pPr>
              <w:spacing w:after="40"/>
            </w:pPr>
            <w:r>
              <w:rPr>
                <w:sz w:val="19"/>
                <w:szCs w:val="19"/>
              </w:rPr>
              <w:t xml:space="preserve">No</w:t>
            </w:r>
          </w:p>
        </w:tc>
      </w:tr>
      <w:tr>
        <w:tc>
          <w:tcPr>
            <w:tcW w:type="dxa" w:w="900"/>
          </w:tcPr>
          <w:p>
            <w:pPr>
              <w:spacing w:after="40"/>
            </w:pPr>
            <w:r>
              <w:rPr>
                <w:sz w:val="19"/>
                <w:szCs w:val="19"/>
              </w:rPr>
              <w:t xml:space="preserve">1D</w:t>
            </w:r>
          </w:p>
        </w:tc>
        <w:tc>
          <w:tcPr>
            <w:tcW w:type="dxa" w:w="2600"/>
          </w:tcPr>
          <w:p>
            <w:pPr>
              <w:spacing w:after="40"/>
            </w:pPr>
            <w:r>
              <w:rPr>
                <w:sz w:val="19"/>
                <w:szCs w:val="19"/>
              </w:rPr>
              <w:t xml:space="preserve">Approved</w:t>
            </w:r>
          </w:p>
        </w:tc>
        <w:tc>
          <w:tcPr>
            <w:tcW w:type="dxa" w:w="2960"/>
          </w:tcPr>
          <w:p>
            <w:pPr>
              <w:spacing w:after="40"/>
            </w:pPr>
            <w:r>
              <w:rPr>
                <w:sz w:val="19"/>
                <w:szCs w:val="19"/>
              </w:rPr>
              <w:t xml:space="preserve">Passed all validations (auto or manual approval)</w:t>
            </w:r>
          </w:p>
        </w:tc>
        <w:tc>
          <w:tcPr>
            <w:tcW w:type="dxa" w:w="1450"/>
          </w:tcPr>
          <w:p>
            <w:pPr>
              <w:spacing w:after="40"/>
            </w:pPr>
            <w:r>
              <w:rPr>
                <w:sz w:val="19"/>
                <w:szCs w:val="19"/>
              </w:rPr>
              <w:t xml:space="preserve">System / manual</w:t>
            </w:r>
          </w:p>
        </w:tc>
        <w:tc>
          <w:tcPr>
            <w:tcW w:type="dxa" w:w="1450"/>
          </w:tcPr>
          <w:p>
            <w:pPr>
              <w:spacing w:after="40"/>
            </w:pPr>
            <w:r>
              <w:rPr>
                <w:sz w:val="19"/>
                <w:szCs w:val="19"/>
              </w:rPr>
              <w:t xml:space="preserve">No</w:t>
            </w:r>
          </w:p>
        </w:tc>
      </w:tr>
      <w:tr>
        <w:tc>
          <w:tcPr>
            <w:tcW w:type="dxa" w:w="900"/>
          </w:tcPr>
          <w:p>
            <w:pPr>
              <w:spacing w:after="40"/>
            </w:pPr>
            <w:r>
              <w:rPr>
                <w:sz w:val="19"/>
                <w:szCs w:val="19"/>
              </w:rPr>
              <w:t xml:space="preserve">1E</w:t>
            </w:r>
          </w:p>
        </w:tc>
        <w:tc>
          <w:tcPr>
            <w:tcW w:type="dxa" w:w="2600"/>
          </w:tcPr>
          <w:p>
            <w:pPr>
              <w:spacing w:after="40"/>
            </w:pPr>
            <w:r>
              <w:rPr>
                <w:b/>
                <w:bCs/>
                <w:color w:val="C00000"/>
                <w:sz w:val="19"/>
                <w:szCs w:val="19"/>
              </w:rPr>
              <w:t xml:space="preserve">CONFLICT: </w:t>
            </w:r>
          </w:p>
          <w:p>
            <w:pPr>
              <w:spacing w:after="40"/>
            </w:pPr>
            <w:r>
              <w:rPr>
                <w:sz w:val="19"/>
                <w:szCs w:val="19"/>
              </w:rPr>
              <w:t xml:space="preserve">"Approved by Grantee – Req" (FSD) vs. "Approved by Awardee"/"Awardee Approval Required" (BPD -100 title vs. text). Ratify name AND meaning (approved-by vs. approval-required are opposite states).</w:t>
            </w:r>
          </w:p>
        </w:tc>
        <w:tc>
          <w:tcPr>
            <w:tcW w:type="dxa" w:w="2960"/>
          </w:tcPr>
          <w:p>
            <w:pPr>
              <w:spacing w:after="40"/>
            </w:pPr>
            <w:r>
              <w:rPr>
                <w:sz w:val="19"/>
                <w:szCs w:val="19"/>
              </w:rPr>
              <w:t xml:space="preserve">Awardee-approval state in the approval flow</w:t>
            </w:r>
          </w:p>
        </w:tc>
        <w:tc>
          <w:tcPr>
            <w:tcW w:type="dxa" w:w="1450"/>
          </w:tcPr>
          <w:p>
            <w:pPr>
              <w:spacing w:after="40"/>
            </w:pPr>
            <w:r>
              <w:rPr>
                <w:sz w:val="19"/>
                <w:szCs w:val="19"/>
              </w:rPr>
              <w:t xml:space="preserve">Awardee</w:t>
            </w:r>
          </w:p>
        </w:tc>
        <w:tc>
          <w:tcPr>
            <w:tcW w:type="dxa" w:w="1450"/>
          </w:tcPr>
          <w:p>
            <w:pPr>
              <w:spacing w:after="40"/>
            </w:pPr>
            <w:r>
              <w:rPr>
                <w:sz w:val="19"/>
                <w:szCs w:val="19"/>
              </w:rPr>
              <w:t xml:space="preserve">Yes</w:t>
            </w:r>
          </w:p>
        </w:tc>
      </w:tr>
      <w:tr>
        <w:tc>
          <w:tcPr>
            <w:tcW w:type="dxa" w:w="900"/>
          </w:tcPr>
          <w:p>
            <w:pPr>
              <w:spacing w:after="40"/>
            </w:pPr>
            <w:r>
              <w:rPr>
                <w:sz w:val="19"/>
                <w:szCs w:val="19"/>
              </w:rPr>
              <w:t xml:space="preserve">1F</w:t>
            </w:r>
          </w:p>
        </w:tc>
        <w:tc>
          <w:tcPr>
            <w:tcW w:type="dxa" w:w="2600"/>
          </w:tcPr>
          <w:p>
            <w:pPr>
              <w:spacing w:after="40"/>
            </w:pPr>
            <w:r>
              <w:rPr>
                <w:sz w:val="19"/>
                <w:szCs w:val="19"/>
              </w:rPr>
              <w:t xml:space="preserve">Cancelled – Request</w:t>
            </w:r>
          </w:p>
        </w:tc>
        <w:tc>
          <w:tcPr>
            <w:tcW w:type="dxa" w:w="2960"/>
          </w:tcPr>
          <w:p>
            <w:pPr>
              <w:spacing w:after="40"/>
            </w:pPr>
            <w:r>
              <w:rPr>
                <w:sz w:val="19"/>
                <w:szCs w:val="19"/>
              </w:rPr>
              <w:t xml:space="preserve">Cancelled; terminal except FR-04 un-cancel path (CDC only, shipped lines)</w:t>
            </w:r>
          </w:p>
        </w:tc>
        <w:tc>
          <w:tcPr>
            <w:tcW w:type="dxa" w:w="1450"/>
          </w:tcPr>
          <w:p>
            <w:pPr>
              <w:spacing w:after="40"/>
            </w:pPr>
            <w:r>
              <w:rPr>
                <w:sz w:val="19"/>
                <w:szCs w:val="19"/>
              </w:rPr>
              <w:t xml:space="preserve">Per matrix §4.3</w:t>
            </w:r>
          </w:p>
        </w:tc>
        <w:tc>
          <w:tcPr>
            <w:tcW w:type="dxa" w:w="1450"/>
          </w:tcPr>
          <w:p>
            <w:pPr>
              <w:spacing w:after="40"/>
            </w:pPr>
            <w:r>
              <w:rPr>
                <w:sz w:val="19"/>
                <w:szCs w:val="19"/>
              </w:rPr>
              <w:t xml:space="preserve">Yes (per matrix)</w:t>
            </w:r>
          </w:p>
        </w:tc>
      </w:tr>
      <w:tr>
        <w:tc>
          <w:tcPr>
            <w:tcW w:type="dxa" w:w="900"/>
          </w:tcPr>
          <w:p>
            <w:pPr>
              <w:spacing w:after="40"/>
            </w:pPr>
            <w:r>
              <w:rPr>
                <w:sz w:val="19"/>
                <w:szCs w:val="19"/>
              </w:rPr>
              <w:t xml:space="preserve">1G</w:t>
            </w:r>
          </w:p>
        </w:tc>
        <w:tc>
          <w:tcPr>
            <w:tcW w:type="dxa" w:w="2600"/>
          </w:tcPr>
          <w:p>
            <w:pPr>
              <w:spacing w:after="40"/>
            </w:pPr>
            <w:r>
              <w:rPr>
                <w:sz w:val="19"/>
                <w:szCs w:val="19"/>
              </w:rPr>
              <w:t xml:space="preserve">Complete</w:t>
            </w:r>
          </w:p>
        </w:tc>
        <w:tc>
          <w:tcPr>
            <w:tcW w:type="dxa" w:w="2960"/>
          </w:tcPr>
          <w:p>
            <w:pPr>
              <w:spacing w:after="40"/>
            </w:pPr>
            <w:r>
              <w:rPr>
                <w:sz w:val="19"/>
                <w:szCs w:val="19"/>
              </w:rPr>
              <w:t xml:space="preserve">All items fulfilled and delivered; terminal</w:t>
            </w:r>
          </w:p>
        </w:tc>
        <w:tc>
          <w:tcPr>
            <w:tcW w:type="dxa" w:w="1450"/>
          </w:tcPr>
          <w:p>
            <w:pPr>
              <w:spacing w:after="40"/>
            </w:pPr>
            <w:r>
              <w:rPr>
                <w:sz w:val="19"/>
                <w:szCs w:val="19"/>
              </w:rPr>
              <w:t xml:space="preserve">System (fulfillment)</w:t>
            </w:r>
          </w:p>
        </w:tc>
        <w:tc>
          <w:tcPr>
            <w:tcW w:type="dxa" w:w="1450"/>
          </w:tcPr>
          <w:p>
            <w:pPr>
              <w:spacing w:after="40"/>
            </w:pPr>
            <w:r>
              <w:rPr>
                <w:sz w:val="19"/>
                <w:szCs w:val="19"/>
              </w:rPr>
              <w:t xml:space="preserve">No</w:t>
            </w:r>
          </w:p>
        </w:tc>
      </w:tr>
    </w:tbl>
    <w:p>
      <w:pPr>
        <w:spacing w:after="120"/>
      </w:pPr>
      <w:r>
        <w:rPr>
          <w:b/>
          <w:bCs/>
          <w:color w:val="C00000"/>
          <w:sz w:val="21"/>
          <w:szCs w:val="21"/>
        </w:rPr>
        <w:t xml:space="preserve">OPEN ITEM: </w:t>
      </w:r>
      <w:r>
        <w:rPr>
          <w:sz w:val="21"/>
          <w:szCs w:val="21"/>
        </w:rPr>
        <w:t xml:space="preserve">Ratify 1E name/meaning and the user-selectable status subset (FSD header table lists only 1A/1B/1E/1F as selectable; narrative uses 1A–1G). The field-control implementation (§7.4) is generated from this dictionary — build cannot start on the cockpit edit logic until it is signed.</w:t>
      </w:r>
    </w:p>
    <w:p>
      <w:pPr>
        <w:pStyle w:val="Heading1"/>
        <w:spacing w:after="160" w:before="280"/>
      </w:pPr>
      <w:r>
        <w:rPr>
          <w:b/>
          <w:bCs/>
          <w:color w:val="1F4E79"/>
          <w:sz w:val="30"/>
          <w:szCs w:val="30"/>
        </w:rPr>
        <w:t xml:space="preserve">6. User Interface Design</w:t>
      </w:r>
    </w:p>
    <w:p>
      <w:pPr>
        <w:pStyle w:val="Heading2"/>
        <w:spacing w:after="120" w:before="220"/>
      </w:pPr>
      <w:r>
        <w:rPr>
          <w:b/>
          <w:bCs/>
          <w:color w:val="1F4E79"/>
          <w:sz w:val="25"/>
          <w:szCs w:val="25"/>
        </w:rPr>
        <w:t xml:space="preserve">6.1 Design Principles</w:t>
      </w:r>
    </w:p>
    <w:p>
      <w:pPr>
        <w:pStyle w:val="ListParagraph"/>
        <w:numPr>
          <w:ilvl w:val="0"/>
          <w:numId w:val="2"/>
        </w:numPr>
        <w:spacing w:after="60"/>
      </w:pPr>
      <w:r>
        <w:rPr>
          <w:sz w:val="21"/>
          <w:szCs w:val="21"/>
        </w:rPr>
        <w:t xml:space="preserve">Single working surface: all sections (Header, Items, IoH, Shipping, Alternative Shipping, Transactions, Organizational Data) visible/collapsible on one page. The CRM screens are the click-economy reference — the task flows and field proximity users valued — not a layout to be ported 1:1 (CL-12).</w:t>
      </w:r>
    </w:p>
    <w:p>
      <w:pPr>
        <w:pStyle w:val="ListParagraph"/>
        <w:numPr>
          <w:ilvl w:val="0"/>
          <w:numId w:val="2"/>
        </w:numPr>
        <w:spacing w:after="60"/>
      </w:pPr>
      <w:r>
        <w:rPr>
          <w:sz w:val="21"/>
          <w:szCs w:val="21"/>
        </w:rPr>
        <w:t xml:space="preserve">Click economy as an explicit acceptance criterion: creating a standard order (header + 1 line + IoH confirmation) shall not exceed the equivalent CRM_UI interaction count. Measure during design validation with the customer.</w:t>
      </w:r>
    </w:p>
    <w:p>
      <w:pPr>
        <w:pStyle w:val="ListParagraph"/>
        <w:numPr>
          <w:ilvl w:val="0"/>
          <w:numId w:val="2"/>
        </w:numPr>
        <w:spacing w:after="60"/>
      </w:pPr>
      <w:r>
        <w:rPr>
          <w:sz w:val="21"/>
          <w:szCs w:val="21"/>
        </w:rPr>
        <w:t xml:space="preserve">No modal-per-field patterns; value helps and the Contact selection popup are the only intentional dialogs.</w:t>
      </w:r>
    </w:p>
    <w:p>
      <w:pPr>
        <w:pStyle w:val="ListParagraph"/>
        <w:numPr>
          <w:ilvl w:val="0"/>
          <w:numId w:val="2"/>
        </w:numPr>
        <w:spacing w:after="60"/>
      </w:pPr>
      <w:r>
        <w:rPr>
          <w:sz w:val="21"/>
          <w:szCs w:val="21"/>
        </w:rPr>
        <w:t xml:space="preserve">Status-driven behavior comes from the service (field-control annotations from the RAP feature handler), never hard-coded in the client.</w:t>
      </w:r>
    </w:p>
    <w:p>
      <w:pPr>
        <w:pStyle w:val="ListParagraph"/>
        <w:numPr>
          <w:ilvl w:val="0"/>
          <w:numId w:val="2"/>
        </w:numPr>
        <w:spacing w:after="60"/>
      </w:pPr>
      <w:r>
        <w:rPr>
          <w:sz w:val="21"/>
          <w:szCs w:val="21"/>
        </w:rPr>
        <w:t xml:space="preserve">Unsaved-state protection client-side (AD-5): navigation guard with discard/stay prompt; no server drafts.</w:t>
      </w:r>
    </w:p>
    <w:p>
      <w:pPr>
        <w:pStyle w:val="ListParagraph"/>
        <w:numPr>
          <w:ilvl w:val="0"/>
          <w:numId w:val="2"/>
        </w:numPr>
        <w:spacing w:after="60"/>
      </w:pPr>
      <w:r>
        <w:rPr>
          <w:sz w:val="21"/>
          <w:szCs w:val="21"/>
        </w:rPr>
        <w:t xml:space="preserve">Section 508 conformance: standard UI5 controls, labelled fields, keyboard-complete operation, WCAG 2.1 AA color contrast within the chosen theme; screen-reader verification part of test exit criteria (§10).</w:t>
      </w:r>
    </w:p>
    <w:p>
      <w:pPr>
        <w:pStyle w:val="Heading2"/>
        <w:spacing w:after="120" w:before="220"/>
      </w:pPr>
      <w:r>
        <w:rPr>
          <w:b/>
          <w:bCs/>
          <w:color w:val="1F4E79"/>
          <w:sz w:val="25"/>
          <w:szCs w:val="25"/>
        </w:rPr>
        <w:t xml:space="preserve">6.2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1F4E79" w:val="clear"/>
          </w:tcPr>
          <w:p>
            <w:pPr>
              <w:spacing w:after="40"/>
            </w:pPr>
            <w:r>
              <w:rPr>
                <w:b/>
                <w:bCs/>
                <w:color w:val="FFFFFF"/>
                <w:sz w:val="19"/>
                <w:szCs w:val="19"/>
              </w:rPr>
              <w:t xml:space="preserve">Screen</w:t>
            </w:r>
          </w:p>
        </w:tc>
        <w:tc>
          <w:tcPr>
            <w:tcW w:type="dxa" w:w="2400"/>
            <w:shd w:fill="1F4E79" w:val="clear"/>
          </w:tcPr>
          <w:p>
            <w:pPr>
              <w:spacing w:after="40"/>
            </w:pPr>
            <w:r>
              <w:rPr>
                <w:b/>
                <w:bCs/>
                <w:color w:val="FFFFFF"/>
                <w:sz w:val="19"/>
                <w:szCs w:val="19"/>
              </w:rPr>
              <w:t xml:space="preserve">Technology</w:t>
            </w:r>
          </w:p>
        </w:tc>
        <w:tc>
          <w:tcPr>
            <w:tcW w:type="dxa" w:w="4760"/>
            <w:shd w:fill="1F4E79" w:val="clear"/>
          </w:tcPr>
          <w:p>
            <w:pPr>
              <w:spacing w:after="40"/>
            </w:pPr>
            <w:r>
              <w:rPr>
                <w:b/>
                <w:bCs/>
                <w:color w:val="FFFFFF"/>
                <w:sz w:val="19"/>
                <w:szCs w:val="19"/>
              </w:rPr>
              <w:t xml:space="preserve">Notes</w:t>
            </w:r>
          </w:p>
        </w:tc>
      </w:tr>
      <w:tr>
        <w:tc>
          <w:tcPr>
            <w:tcW w:type="dxa" w:w="2200"/>
          </w:tcPr>
          <w:p>
            <w:pPr>
              <w:spacing w:after="40"/>
            </w:pPr>
            <w:r>
              <w:rPr>
                <w:sz w:val="19"/>
                <w:szCs w:val="19"/>
              </w:rPr>
              <w:t xml:space="preserve">Order Search &amp; List</w:t>
            </w:r>
          </w:p>
        </w:tc>
        <w:tc>
          <w:tcPr>
            <w:tcW w:type="dxa" w:w="2400"/>
          </w:tcPr>
          <w:p>
            <w:pPr>
              <w:spacing w:after="40"/>
            </w:pPr>
            <w:r>
              <w:rPr>
                <w:sz w:val="19"/>
                <w:szCs w:val="19"/>
              </w:rPr>
              <w:t xml:space="preserve">FE List Report (V4)</w:t>
            </w:r>
          </w:p>
        </w:tc>
        <w:tc>
          <w:tcPr>
            <w:tcW w:type="dxa" w:w="4760"/>
          </w:tcPr>
          <w:p>
            <w:pPr>
              <w:spacing w:after="40"/>
            </w:pPr>
            <w:r>
              <w:rPr>
                <w:sz w:val="19"/>
                <w:szCs w:val="19"/>
              </w:rPr>
              <w:t xml:space="preserve">Filter fields and per-field condition operators exactly per FSD search table (Provider PIN, Vaccine Request ID, ExIS ID, Provider ID, Employee Responsible (+ last name), NDC Code, Create Date, Contact, Ship-to (+ID), Created By, Sales Order Type, Status, Grantee, Priority, Delivery Block Reason, Rejection Reason). Saved variants; Excel export; result columns per FSD list layout with Go-To navigations to cockpit / Provider / Contact.</w:t>
            </w:r>
          </w:p>
        </w:tc>
      </w:tr>
      <w:tr>
        <w:tc>
          <w:tcPr>
            <w:tcW w:type="dxa" w:w="2200"/>
          </w:tcPr>
          <w:p>
            <w:pPr>
              <w:spacing w:after="40"/>
            </w:pPr>
            <w:r>
              <w:rPr>
                <w:sz w:val="19"/>
                <w:szCs w:val="19"/>
              </w:rPr>
              <w:t xml:space="preserve">Order Cockpit (create/edit/display)</w:t>
            </w:r>
          </w:p>
        </w:tc>
        <w:tc>
          <w:tcPr>
            <w:tcW w:type="dxa" w:w="2400"/>
          </w:tcPr>
          <w:p>
            <w:pPr>
              <w:spacing w:after="40"/>
            </w:pPr>
            <w:r>
              <w:rPr>
                <w:sz w:val="19"/>
                <w:szCs w:val="19"/>
              </w:rPr>
              <w:t xml:space="preserve">Freestyle SAPUI5 (V4 model)</w:t>
            </w:r>
          </w:p>
        </w:tc>
        <w:tc>
          <w:tcPr>
            <w:tcW w:type="dxa" w:w="4760"/>
          </w:tcPr>
          <w:p>
            <w:pPr>
              <w:spacing w:after="40"/>
            </w:pPr>
            <w:r>
              <w:rPr>
                <w:sz w:val="19"/>
                <w:szCs w:val="19"/>
              </w:rPr>
              <w:t xml:space="preserve">Detailed in §6.3–6.5. Entered via List Report navigation, Create tile, Copy action, or deep link (API-created orders reachable by Vaccine Request ID).</w:t>
            </w:r>
          </w:p>
        </w:tc>
      </w:tr>
      <w:tr>
        <w:tc>
          <w:tcPr>
            <w:tcW w:type="dxa" w:w="2200"/>
          </w:tcPr>
          <w:p>
            <w:pPr>
              <w:spacing w:after="40"/>
            </w:pPr>
            <w:r>
              <w:rPr>
                <w:sz w:val="19"/>
                <w:szCs w:val="19"/>
              </w:rPr>
              <w:t xml:space="preserve">Custom Value Helps</w:t>
            </w:r>
          </w:p>
        </w:tc>
        <w:tc>
          <w:tcPr>
            <w:tcW w:type="dxa" w:w="2400"/>
          </w:tcPr>
          <w:p>
            <w:pPr>
              <w:spacing w:after="40"/>
            </w:pPr>
            <w:r>
              <w:rPr>
                <w:sz w:val="19"/>
                <w:szCs w:val="19"/>
              </w:rPr>
              <w:t xml:space="preserve">Freestyle fragments (shared)</w:t>
            </w:r>
          </w:p>
        </w:tc>
        <w:tc>
          <w:tcPr>
            <w:tcW w:type="dxa" w:w="4760"/>
          </w:tcPr>
          <w:p>
            <w:pPr>
              <w:spacing w:after="40"/>
            </w:pPr>
            <w:r>
              <w:rPr>
                <w:sz w:val="19"/>
                <w:szCs w:val="19"/>
              </w:rPr>
              <w:t xml:space="preserve">Cascading dialogs per FSD: Provider ID, Employee Responsible (with user sub-help), NDC (NDC/description/brand/availability conditions), Contact (last/first name, Employee Responsible, Provider ID, Contact ID, Sales Employee, Provider name, Territory, Relationship), Ship-to ID, Created By. Built once, reused by cockpit and (as custom filter value helps) by the List Report.</w:t>
            </w:r>
          </w:p>
        </w:tc>
      </w:tr>
    </w:tbl>
    <w:p>
      <w:pPr>
        <w:pStyle w:val="Heading2"/>
        <w:spacing w:after="120" w:before="220"/>
      </w:pPr>
      <w:r>
        <w:rPr>
          <w:b/>
          <w:bCs/>
          <w:color w:val="1F4E79"/>
          <w:sz w:val="25"/>
          <w:szCs w:val="25"/>
        </w:rPr>
        <w:t xml:space="preserve">6.3 Cockpit Section Behaviors (Create/Edit)</w:t>
      </w:r>
    </w:p>
    <w:p>
      <w:pPr>
        <w:pStyle w:val="ListParagraph"/>
        <w:numPr>
          <w:ilvl w:val="0"/>
          <w:numId w:val="2"/>
        </w:numPr>
        <w:spacing w:after="60"/>
      </w:pPr>
      <w:r>
        <w:rPr>
          <w:b/>
          <w:bCs/>
          <w:sz w:val="21"/>
          <w:szCs w:val="21"/>
        </w:rPr>
        <w:t xml:space="preserve">Header — General Data: </w:t>
      </w:r>
      <w:r>
        <w:rPr>
          <w:sz w:val="21"/>
          <w:szCs w:val="21"/>
        </w:rPr>
        <w:t xml:space="preserve">Vaccine Request ID generated at first save. Provider via exact ID/name entry or value help; on successful backend roundtrip the field becomes read-only and Provider Address is generated; type-ahead recommends previously used IDs. Contact popup opens on Provider entry with the main contact pinned first. Employee Responsible defaults to logged-in user. Category defaults to Internet Sales; Status defaults to 1A. Net/Tax/Gross default 0.00 USD. High Priority requires Order Reason (hard error otherwise).</w:t>
      </w:r>
    </w:p>
    <w:p>
      <w:pPr>
        <w:pStyle w:val="ListParagraph"/>
        <w:numPr>
          <w:ilvl w:val="0"/>
          <w:numId w:val="2"/>
        </w:numPr>
        <w:spacing w:after="60"/>
      </w:pPr>
      <w:r>
        <w:rPr>
          <w:b/>
          <w:bCs/>
          <w:sz w:val="21"/>
          <w:szCs w:val="21"/>
        </w:rPr>
        <w:t xml:space="preserve">Items: </w:t>
      </w:r>
      <w:r>
        <w:rPr>
          <w:sz w:val="21"/>
          <w:szCs w:val="21"/>
        </w:rPr>
        <w:t xml:space="preserve">At least one line required. Item numbers system-generated in increments of 10. Product (NDC) via entry or value help; Brand and Description derive from the product. Fund Type is disabled until Quantity is entered, then mandatory from dropdown (VFC / 317 / STATE / SPLIT). Order Intention defaults from product unless multiple intentions exist. Delivery Status defaults Not Delivered. Ancillary-kit and special-circumstance rules applied per line (E006/E010/E024).</w:t>
      </w:r>
    </w:p>
    <w:p>
      <w:pPr>
        <w:pStyle w:val="ListParagraph"/>
        <w:numPr>
          <w:ilvl w:val="0"/>
          <w:numId w:val="2"/>
        </w:numPr>
        <w:spacing w:after="60"/>
      </w:pPr>
      <w:r>
        <w:rPr>
          <w:b/>
          <w:bCs/>
          <w:sz w:val="21"/>
          <w:szCs w:val="21"/>
        </w:rPr>
        <w:t xml:space="preserve">Inventory on Hand: </w:t>
      </w:r>
      <w:r>
        <w:rPr>
          <w:sz w:val="21"/>
          <w:szCs w:val="21"/>
        </w:rPr>
        <w:t xml:space="preserve">"Edit List" populates the provider-specific inventory table pre-filled from last submitted IoH plus shipments since (consignment logic per E007). Editable: Quantity cell and row delete (trash icon); Insert adds an NDC/lot/expiration row. At least one line touched before save is permitted; IoH created with status Submitted on order save. Distinct from Doses Administered (E007).</w:t>
      </w:r>
    </w:p>
    <w:p>
      <w:pPr>
        <w:pStyle w:val="ListParagraph"/>
        <w:numPr>
          <w:ilvl w:val="0"/>
          <w:numId w:val="2"/>
        </w:numPr>
        <w:spacing w:after="60"/>
      </w:pPr>
      <w:r>
        <w:rPr>
          <w:b/>
          <w:bCs/>
          <w:sz w:val="21"/>
          <w:szCs w:val="21"/>
        </w:rPr>
        <w:t xml:space="preserve">Shipping: </w:t>
      </w:r>
      <w:r>
        <w:rPr>
          <w:sz w:val="21"/>
          <w:szCs w:val="21"/>
        </w:rPr>
        <w:t xml:space="preserve">Provider and address mirrored from header; Shipping Conditions dropdown (Standard Mail / Pickup / Standard Email — FSD typo "Stadard" to be corrected); Delivery and Delivery Block statuses display-only with documented defaults on Return/Replacement.</w:t>
      </w:r>
    </w:p>
    <w:p>
      <w:pPr>
        <w:pStyle w:val="ListParagraph"/>
        <w:numPr>
          <w:ilvl w:val="0"/>
          <w:numId w:val="2"/>
        </w:numPr>
        <w:spacing w:after="60"/>
      </w:pPr>
      <w:r>
        <w:rPr>
          <w:b/>
          <w:bCs/>
          <w:sz w:val="21"/>
          <w:szCs w:val="21"/>
        </w:rPr>
        <w:t xml:space="preserve">Field interdependencies </w:t>
      </w:r>
      <w:r>
        <w:rPr>
          <w:sz w:val="21"/>
          <w:szCs w:val="21"/>
        </w:rPr>
        <w:t xml:space="preserve">(Provider → address/contact refresh; Quantity → Fund Type enablement; Priority → Order Reason requirement) are declared as OData V4 side effects so the client remains rule-free.</w:t>
      </w:r>
    </w:p>
    <w:p>
      <w:pPr>
        <w:pStyle w:val="Heading2"/>
        <w:spacing w:after="120" w:before="220"/>
      </w:pPr>
      <w:r>
        <w:rPr>
          <w:b/>
          <w:bCs/>
          <w:color w:val="1F4E79"/>
          <w:sz w:val="25"/>
          <w:szCs w:val="25"/>
        </w:rPr>
        <w:t xml:space="preserve">6.4 Save Semantics (Hard/Soft Stop)</w:t>
      </w:r>
    </w:p>
    <w:p>
      <w:pPr>
        <w:pStyle w:val="ListParagraph"/>
        <w:numPr>
          <w:ilvl w:val="0"/>
          <w:numId w:val="2"/>
        </w:numPr>
        <w:spacing w:after="60"/>
      </w:pPr>
      <w:r>
        <w:rPr>
          <w:sz w:val="21"/>
          <w:szCs w:val="21"/>
        </w:rPr>
        <w:t xml:space="preserve">Hard stop (missing mandatory fields, unauthorized access, invalid/blocked NDC, provider master-data violations, sales-office determination failure): save rejected, nothing persists, field-anchored messages displayed. No order document exists (BPD -080).</w:t>
      </w:r>
    </w:p>
    <w:p>
      <w:pPr>
        <w:pStyle w:val="ListParagraph"/>
        <w:numPr>
          <w:ilvl w:val="0"/>
          <w:numId w:val="2"/>
        </w:numPr>
        <w:spacing w:after="60"/>
      </w:pPr>
      <w:r>
        <w:rPr>
          <w:sz w:val="21"/>
          <w:szCs w:val="21"/>
        </w:rPr>
        <w:t xml:space="preserve">Soft stop (budget exceeded, missing supporting documentation, attribute mismatch): order persists with status 1C Rejected; messages displayed; order enters the fix-and-resubmit path (FR-08) and the 60-day batch re-validation window.</w:t>
      </w:r>
    </w:p>
    <w:p>
      <w:pPr>
        <w:pStyle w:val="ListParagraph"/>
        <w:numPr>
          <w:ilvl w:val="0"/>
          <w:numId w:val="2"/>
        </w:numPr>
        <w:spacing w:after="60"/>
      </w:pPr>
      <w:r>
        <w:rPr>
          <w:sz w:val="21"/>
          <w:szCs w:val="21"/>
        </w:rPr>
        <w:t xml:space="preserve">Pass: order created 1D Approved (or the Awardee-approval state per ratified dictionary) per E006 outcomes; Channel determined to "UI".</w:t>
      </w:r>
    </w:p>
    <w:p>
      <w:pPr>
        <w:pStyle w:val="Heading2"/>
        <w:spacing w:after="120" w:before="220"/>
      </w:pPr>
      <w:r>
        <w:rPr>
          <w:b/>
          <w:bCs/>
          <w:color w:val="1F4E79"/>
          <w:sz w:val="25"/>
          <w:szCs w:val="25"/>
        </w:rPr>
        <w:t xml:space="preserve">6.5 Status-Driven Field Control</w:t>
      </w:r>
    </w:p>
    <w:p>
      <w:pPr>
        <w:spacing w:after="120"/>
      </w:pPr>
      <w:r>
        <w:rPr>
          <w:sz w:val="21"/>
          <w:szCs w:val="21"/>
        </w:rPr>
        <w:t xml:space="preserve">The RAP feature handler derives per-field editability from the ratified status dictionary and the role matrix (§4.3): e.g., in 1D only Status and Rejection Reason are enabled; in 1E additionally Category, while Priority and Order Reason lock; completed/sent-to-distributor orders lock all pre-populated fields except the cancellation path. The cockpit binds enablement to the transmitted field-control metadata — one implementation serves cockpit, List Report object navigation, and any future client.</w:t>
      </w:r>
    </w:p>
    <w:p>
      <w:pPr>
        <w:pStyle w:val="Heading1"/>
        <w:spacing w:after="160" w:before="280"/>
      </w:pPr>
      <w:r>
        <w:rPr>
          <w:b/>
          <w:bCs/>
          <w:color w:val="1F4E79"/>
          <w:sz w:val="30"/>
          <w:szCs w:val="30"/>
        </w:rPr>
        <w:t xml:space="preserve">7. Functional Requirements</w:t>
      </w:r>
    </w:p>
    <w:p>
      <w:pPr>
        <w:pStyle w:val="Heading3"/>
        <w:spacing w:after="100" w:before="180"/>
      </w:pPr>
      <w:r>
        <w:rPr>
          <w:b/>
          <w:bCs/>
          <w:color w:val="444444"/>
          <w:sz w:val="22"/>
          <w:szCs w:val="22"/>
        </w:rPr>
        <w:t xml:space="preserve">FR-01 — Create Vaccine Request Order    [SO-010-010; FSD §3.1]</w:t>
      </w:r>
    </w:p>
    <w:p>
      <w:pPr>
        <w:pStyle w:val="ListParagraph"/>
        <w:numPr>
          <w:ilvl w:val="0"/>
          <w:numId w:val="2"/>
        </w:numPr>
        <w:spacing w:after="60"/>
      </w:pPr>
      <w:r>
        <w:rPr>
          <w:sz w:val="21"/>
          <w:szCs w:val="21"/>
        </w:rPr>
        <w:t xml:space="preserve">Awardee/CDC user creates an order via the cockpit with all §6.3 behaviors; transaction type selectable; initial status 1A on first save.</w:t>
      </w:r>
    </w:p>
    <w:p>
      <w:pPr>
        <w:pStyle w:val="ListParagraph"/>
        <w:numPr>
          <w:ilvl w:val="0"/>
          <w:numId w:val="2"/>
        </w:numPr>
        <w:spacing w:after="60"/>
      </w:pPr>
      <w:r>
        <w:rPr>
          <w:sz w:val="21"/>
          <w:szCs w:val="21"/>
        </w:rPr>
        <w:t xml:space="preserve">E006 validations execute on save with §6.4 semantics; special-circumstance rules per line (E010).</w:t>
      </w:r>
    </w:p>
    <w:p>
      <w:pPr>
        <w:pStyle w:val="ListParagraph"/>
        <w:numPr>
          <w:ilvl w:val="0"/>
          <w:numId w:val="2"/>
        </w:numPr>
        <w:spacing w:after="60"/>
      </w:pPr>
      <w:r>
        <w:rPr>
          <w:sz w:val="21"/>
          <w:szCs w:val="21"/>
        </w:rPr>
        <w:t xml:space="preserve">Determinations: Channel="UI", Employee Responsible=logged-in user, Category/Status/currency defaults.</w:t>
      </w:r>
    </w:p>
    <w:p>
      <w:pPr>
        <w:pStyle w:val="Heading3"/>
        <w:spacing w:after="100" w:before="180"/>
      </w:pPr>
      <w:r>
        <w:rPr>
          <w:b/>
          <w:bCs/>
          <w:color w:val="444444"/>
          <w:sz w:val="22"/>
          <w:szCs w:val="22"/>
        </w:rPr>
        <w:t xml:space="preserve">FR-02 — Copy Existing Vaccine Order    [SO-010-010-010]</w:t>
      </w:r>
    </w:p>
    <w:p>
      <w:pPr>
        <w:pStyle w:val="ListParagraph"/>
        <w:numPr>
          <w:ilvl w:val="0"/>
          <w:numId w:val="2"/>
        </w:numPr>
        <w:spacing w:after="60"/>
      </w:pPr>
      <w:r>
        <w:rPr>
          <w:sz w:val="21"/>
          <w:szCs w:val="21"/>
        </w:rPr>
        <w:t xml:space="preserve">Bound action copyOrder from the cockpit header (and List Report line action). Pre-populates header (Description, Provider, Address, Contact, Employee Responsible, Category, Status=1A, values) and items (Item No., Brand, NDC, Description, Qty, UoM, Order Intention, Delivery Status=Not Delivered, Net Value) per FSD copy rules.</w:t>
      </w:r>
    </w:p>
    <w:p>
      <w:pPr>
        <w:pStyle w:val="ListParagraph"/>
        <w:numPr>
          <w:ilvl w:val="0"/>
          <w:numId w:val="2"/>
        </w:numPr>
        <w:spacing w:after="60"/>
      </w:pPr>
      <w:r>
        <w:rPr>
          <w:sz w:val="21"/>
          <w:szCs w:val="21"/>
        </w:rPr>
        <w:t xml:space="preserve">Exceptions implemented inside the action, not in the client: Fund Type does not copy (fund split template repopulates; PAN fund type associated to the NDC pre-populates); Opt-out ancillary kit does not transfer (ancillary kit table rules re-applied, E024).</w:t>
      </w:r>
    </w:p>
    <w:p>
      <w:pPr>
        <w:pStyle w:val="ListParagraph"/>
        <w:numPr>
          <w:ilvl w:val="0"/>
          <w:numId w:val="2"/>
        </w:numPr>
        <w:spacing w:after="60"/>
      </w:pPr>
      <w:r>
        <w:rPr>
          <w:sz w:val="21"/>
          <w:szCs w:val="21"/>
        </w:rPr>
        <w:t xml:space="preserve">User completes remaining required fields; save follows §6.4.</w:t>
      </w:r>
    </w:p>
    <w:p>
      <w:pPr>
        <w:pStyle w:val="Heading3"/>
        <w:spacing w:after="100" w:before="180"/>
      </w:pPr>
      <w:r>
        <w:rPr>
          <w:b/>
          <w:bCs/>
          <w:color w:val="444444"/>
          <w:sz w:val="22"/>
          <w:szCs w:val="22"/>
        </w:rPr>
        <w:t xml:space="preserve">FR-03 — Cancel Order / Line Item    [SO-010-010-160; -120; -130]</w:t>
      </w:r>
    </w:p>
    <w:p>
      <w:pPr>
        <w:pStyle w:val="ListParagraph"/>
        <w:numPr>
          <w:ilvl w:val="0"/>
          <w:numId w:val="2"/>
        </w:numPr>
        <w:spacing w:after="60"/>
      </w:pPr>
      <w:r>
        <w:rPr>
          <w:sz w:val="21"/>
          <w:szCs w:val="21"/>
        </w:rPr>
        <w:t xml:space="preserve">Bound actions cancelOrder (header) and cancelItem (line), enforcing the §4.3 matrix in the behavior layer; Rejection Reason mandatory from the FSD value list (Incorrect Submission / Office Will Be Closed / Order Input Error / Other Reason / Product on Extended Backorder).</w:t>
      </w:r>
    </w:p>
    <w:p>
      <w:pPr>
        <w:pStyle w:val="ListParagraph"/>
        <w:numPr>
          <w:ilvl w:val="0"/>
          <w:numId w:val="2"/>
        </w:numPr>
        <w:spacing w:after="60"/>
      </w:pPr>
      <w:r>
        <w:rPr>
          <w:sz w:val="21"/>
          <w:szCs w:val="21"/>
        </w:rPr>
        <w:t xml:space="preserve">Cancellation triggers E006 cancellation rules: immediate release of committed budget and SPC allocation; status updates. CDC cancellation of a direct-ship line also cancels the linked PO and PR.</w:t>
      </w:r>
    </w:p>
    <w:p>
      <w:pPr>
        <w:pStyle w:val="ListParagraph"/>
        <w:numPr>
          <w:ilvl w:val="0"/>
          <w:numId w:val="2"/>
        </w:numPr>
        <w:spacing w:after="60"/>
      </w:pPr>
      <w:r>
        <w:rPr>
          <w:sz w:val="21"/>
          <w:szCs w:val="21"/>
        </w:rPr>
        <w:t xml:space="preserve">Header semantics per §4.3 (Awardee: all open non-direct-ship lines; CDC: all open lines).</w:t>
      </w:r>
    </w:p>
    <w:p>
      <w:pPr>
        <w:pStyle w:val="Heading3"/>
        <w:spacing w:after="100" w:before="180"/>
      </w:pPr>
      <w:r>
        <w:rPr>
          <w:b/>
          <w:bCs/>
          <w:color w:val="444444"/>
          <w:sz w:val="22"/>
          <w:szCs w:val="22"/>
        </w:rPr>
        <w:t xml:space="preserve">FR-04 — Un-Cancel Line Item (CDC only)    [BPD SO-010-010-210; CL-01]</w:t>
      </w:r>
    </w:p>
    <w:p>
      <w:pPr>
        <w:pStyle w:val="ListParagraph"/>
        <w:numPr>
          <w:ilvl w:val="0"/>
          <w:numId w:val="2"/>
        </w:numPr>
        <w:spacing w:after="60"/>
      </w:pPr>
      <w:r>
        <w:rPr>
          <w:sz w:val="21"/>
          <w:szCs w:val="21"/>
        </w:rPr>
        <w:t xml:space="preserve">Bound action unCancelItem, CDC-role-restricted: restores a Grantee-cancelled line for which the distributor has already shipped, so the inbound ASN can post; budget/SPC re-consumed as a normal order line; Grantee informed.</w:t>
      </w:r>
    </w:p>
    <w:p>
      <w:pPr>
        <w:spacing w:after="120"/>
      </w:pPr>
      <w:r>
        <w:rPr>
          <w:b/>
          <w:bCs/>
          <w:color w:val="C00000"/>
          <w:sz w:val="21"/>
          <w:szCs w:val="21"/>
        </w:rPr>
        <w:t xml:space="preserve">OPEN ITEM: </w:t>
      </w:r>
      <w:r>
        <w:rPr>
          <w:sz w:val="21"/>
          <w:szCs w:val="21"/>
        </w:rPr>
        <w:t xml:space="preserve">Scope confirmation required (CL-01): E006 must specify the budget/SPC re-commitment rules; notification mechanism (email/in-app/worklist) undefined; audit-trail requirement may introduce a custom log table (revisits FSD "Required Custom Table: NA"). Not in the approved FSD — raise as scope decision before build.</w:t>
      </w:r>
    </w:p>
    <w:p>
      <w:pPr>
        <w:pStyle w:val="Heading3"/>
        <w:spacing w:after="100" w:before="180"/>
      </w:pPr>
      <w:r>
        <w:rPr>
          <w:b/>
          <w:bCs/>
          <w:color w:val="444444"/>
          <w:sz w:val="22"/>
          <w:szCs w:val="22"/>
        </w:rPr>
        <w:t xml:space="preserve">FR-05 — Search &amp; List Provider Orders    [SO-010-010-260]</w:t>
      </w:r>
    </w:p>
    <w:p>
      <w:pPr>
        <w:pStyle w:val="ListParagraph"/>
        <w:numPr>
          <w:ilvl w:val="0"/>
          <w:numId w:val="2"/>
        </w:numPr>
        <w:spacing w:after="60"/>
      </w:pPr>
      <w:r>
        <w:rPr>
          <w:sz w:val="21"/>
          <w:szCs w:val="21"/>
        </w:rPr>
        <w:t xml:space="preserve">FE List Report per §6.2: all FSD search fields with the specified per-field condition operators; applies to all orders regardless of status; jurisdiction scoping enforced by instance authorization (an Awardee's result set is server-filtered).</w:t>
      </w:r>
    </w:p>
    <w:p>
      <w:pPr>
        <w:pStyle w:val="ListParagraph"/>
        <w:numPr>
          <w:ilvl w:val="0"/>
          <w:numId w:val="2"/>
        </w:numPr>
        <w:spacing w:after="60"/>
      </w:pPr>
      <w:r>
        <w:rPr>
          <w:sz w:val="21"/>
          <w:szCs w:val="21"/>
        </w:rPr>
        <w:t xml:space="preserve">Saved search variants; export to Excel; result columns and Go-To navigations per FSD list layout.</w:t>
      </w:r>
    </w:p>
    <w:p>
      <w:pPr>
        <w:pStyle w:val="Heading3"/>
        <w:spacing w:after="100" w:before="180"/>
      </w:pPr>
      <w:r>
        <w:rPr>
          <w:b/>
          <w:bCs/>
          <w:color w:val="444444"/>
          <w:sz w:val="22"/>
          <w:szCs w:val="22"/>
        </w:rPr>
        <w:t xml:space="preserve">FR-06 — Display Provider Order    [SO-010-010-270]</w:t>
      </w:r>
    </w:p>
    <w:p>
      <w:pPr>
        <w:pStyle w:val="ListParagraph"/>
        <w:numPr>
          <w:ilvl w:val="0"/>
          <w:numId w:val="2"/>
        </w:numPr>
        <w:spacing w:after="60"/>
      </w:pPr>
      <w:r>
        <w:rPr>
          <w:sz w:val="21"/>
          <w:szCs w:val="21"/>
        </w:rPr>
        <w:t xml:space="preserve">Cockpit in display mode for any status: full details incl. partner functions (sold-to, ship-to, bill-to, payer, contact, employee responsible), NDCs, quantities, statuses, transaction history and shipping transactions sections.</w:t>
      </w:r>
    </w:p>
    <w:p>
      <w:pPr>
        <w:pStyle w:val="Heading3"/>
        <w:spacing w:after="100" w:before="180"/>
      </w:pPr>
      <w:r>
        <w:rPr>
          <w:b/>
          <w:bCs/>
          <w:color w:val="444444"/>
          <w:sz w:val="22"/>
          <w:szCs w:val="22"/>
        </w:rPr>
        <w:t xml:space="preserve">FR-07 — Submit IoH During Order Creation    [SO-010-030-030]</w:t>
      </w:r>
    </w:p>
    <w:p>
      <w:pPr>
        <w:pStyle w:val="ListParagraph"/>
        <w:numPr>
          <w:ilvl w:val="0"/>
          <w:numId w:val="2"/>
        </w:numPr>
        <w:spacing w:after="60"/>
      </w:pPr>
      <w:r>
        <w:rPr>
          <w:sz w:val="21"/>
          <w:szCs w:val="21"/>
        </w:rPr>
        <w:t xml:space="preserve">IoH block per §6.3: pre-population from consignment stock (NDC, Lot, Qty, Expiration) via E007 logic; quantity edit, row delete, row insert; at-least-one-line-touched rule; IoH created with status Submitted together with the order save.</w:t>
      </w:r>
    </w:p>
    <w:p>
      <w:pPr>
        <w:pStyle w:val="ListParagraph"/>
        <w:numPr>
          <w:ilvl w:val="0"/>
          <w:numId w:val="2"/>
        </w:numPr>
        <w:spacing w:after="60"/>
      </w:pPr>
      <w:r>
        <w:rPr>
          <w:sz w:val="21"/>
          <w:szCs w:val="21"/>
        </w:rPr>
        <w:t xml:space="preserve">IoH validations: mandatory fields; "at least one quantity update is required"; last-submission recency rule message per FSD.</w:t>
      </w:r>
    </w:p>
    <w:p>
      <w:pPr>
        <w:pStyle w:val="Heading3"/>
        <w:spacing w:after="100" w:before="180"/>
      </w:pPr>
      <w:r>
        <w:rPr>
          <w:b/>
          <w:bCs/>
          <w:color w:val="444444"/>
          <w:sz w:val="22"/>
          <w:szCs w:val="22"/>
        </w:rPr>
        <w:t xml:space="preserve">FR-08 — Fix Data Issues &amp; Resubmit    [SO-010-010-090; -140]</w:t>
      </w:r>
    </w:p>
    <w:p>
      <w:pPr>
        <w:pStyle w:val="ListParagraph"/>
        <w:numPr>
          <w:ilvl w:val="0"/>
          <w:numId w:val="2"/>
        </w:numPr>
        <w:spacing w:after="60"/>
      </w:pPr>
      <w:r>
        <w:rPr>
          <w:sz w:val="21"/>
          <w:szCs w:val="21"/>
        </w:rPr>
        <w:t xml:space="preserve">Orders in 1C Rejected are editable per field control; resubmit action re-invokes E006. Passing orders auto-approve; the 60-day batch re-validation job (E006/E008 boundary to confirm) processes remaining 1C orders; manual Awardee approval supported.</w:t>
      </w:r>
    </w:p>
    <w:p>
      <w:pPr>
        <w:pStyle w:val="Heading3"/>
        <w:spacing w:after="100" w:before="180"/>
      </w:pPr>
      <w:r>
        <w:rPr>
          <w:b/>
          <w:bCs/>
          <w:color w:val="444444"/>
          <w:sz w:val="22"/>
          <w:szCs w:val="22"/>
        </w:rPr>
        <w:t xml:space="preserve">FR-09 — Create Return Order with Reference    [RW-010-010-010]</w:t>
      </w:r>
    </w:p>
    <w:p>
      <w:pPr>
        <w:pStyle w:val="ListParagraph"/>
        <w:numPr>
          <w:ilvl w:val="0"/>
          <w:numId w:val="2"/>
        </w:numPr>
        <w:spacing w:after="60"/>
      </w:pPr>
      <w:r>
        <w:rPr>
          <w:sz w:val="21"/>
          <w:szCs w:val="21"/>
        </w:rPr>
        <w:t xml:space="preserve">Bound action createReturn from a provider order: return document created with reference; Return/Replacement defaults per FSD Shipping section (Delivery Status "No Items Delivered", block status defaults).</w:t>
      </w:r>
    </w:p>
    <w:p>
      <w:pPr>
        <w:pStyle w:val="Heading3"/>
        <w:spacing w:after="100" w:before="180"/>
      </w:pPr>
      <w:r>
        <w:rPr>
          <w:b/>
          <w:bCs/>
          <w:color w:val="444444"/>
          <w:sz w:val="22"/>
          <w:szCs w:val="22"/>
        </w:rPr>
        <w:t xml:space="preserve">FR-10 — Create Replacement Order    [SO-020-010-020]</w:t>
      </w:r>
    </w:p>
    <w:p>
      <w:pPr>
        <w:pStyle w:val="ListParagraph"/>
        <w:numPr>
          <w:ilvl w:val="0"/>
          <w:numId w:val="2"/>
        </w:numPr>
        <w:spacing w:after="60"/>
      </w:pPr>
      <w:r>
        <w:rPr>
          <w:sz w:val="21"/>
          <w:szCs w:val="21"/>
        </w:rPr>
        <w:t xml:space="preserve">Bound action createReplacement, CDC-initiated, referencing a provider (sales) order. Budget validations bypassed by design inside this action; Awardee financial balances unaffected. Modeled as a distinct action (not a UI flag suppressing checks) so the bypass is auditable and role-bound.</w:t>
      </w:r>
    </w:p>
    <w:p>
      <w:pPr>
        <w:pStyle w:val="Heading3"/>
        <w:spacing w:after="100" w:before="180"/>
      </w:pPr>
      <w:r>
        <w:rPr>
          <w:b/>
          <w:bCs/>
          <w:color w:val="444444"/>
          <w:sz w:val="22"/>
          <w:szCs w:val="22"/>
        </w:rPr>
        <w:t xml:space="preserve">FR-11 — Machine API Channel    [SO-010-010-030/-050/-280/-310; CL-04/CL-09]</w:t>
      </w:r>
    </w:p>
    <w:p>
      <w:pPr>
        <w:pStyle w:val="ListParagraph"/>
        <w:numPr>
          <w:ilvl w:val="0"/>
          <w:numId w:val="2"/>
        </w:numPr>
        <w:spacing w:after="60"/>
      </w:pPr>
      <w:r>
        <w:rPr>
          <w:sz w:val="21"/>
          <w:szCs w:val="21"/>
        </w:rPr>
        <w:t xml:space="preserve">Web API service binding from the same RAP behavior: order create/update/cancel subject to identical E006 validations, matrix, and jurisdiction authorization (interface users mapped to Awardee scope).</w:t>
      </w:r>
    </w:p>
    <w:p>
      <w:pPr>
        <w:pStyle w:val="ListParagraph"/>
        <w:numPr>
          <w:ilvl w:val="0"/>
          <w:numId w:val="2"/>
        </w:numPr>
        <w:spacing w:after="60"/>
      </w:pPr>
      <w:r>
        <w:rPr>
          <w:sz w:val="21"/>
          <w:szCs w:val="21"/>
        </w:rPr>
        <w:t xml:space="preserve">Asynchronous contract: submission returns acceptance + correlation ID; processing status retrieved via the Status Service API pattern (BPD -310); soft-stop outcomes surface as 1C with message payload; shipment details retrievable post-fulfillment (BPD -280).</w:t>
      </w:r>
    </w:p>
    <w:p>
      <w:pPr>
        <w:spacing w:after="120"/>
      </w:pPr>
      <w:r>
        <w:rPr>
          <w:b/>
          <w:bCs/>
          <w:color w:val="C00000"/>
          <w:sz w:val="21"/>
          <w:szCs w:val="21"/>
        </w:rPr>
        <w:t xml:space="preserve">OPEN ITEM: </w:t>
      </w:r>
      <w:r>
        <w:rPr>
          <w:sz w:val="21"/>
          <w:szCs w:val="21"/>
        </w:rPr>
        <w:t xml:space="preserve">Confirm RICE ownership: same behavior layer, but separate binding, auth objects/comm arrangement, and test plan — recommend a distinct workstream line item even if kept under E008 (CL-04). Confirm Status Service API as shared platform object vs. E008 deliverable.</w:t>
      </w:r>
    </w:p>
    <w:p>
      <w:pPr>
        <w:pStyle w:val="Heading3"/>
        <w:spacing w:after="100" w:before="180"/>
      </w:pPr>
      <w:r>
        <w:rPr>
          <w:b/>
          <w:bCs/>
          <w:color w:val="444444"/>
          <w:sz w:val="22"/>
          <w:szCs w:val="22"/>
        </w:rPr>
        <w:t xml:space="preserve">FR-12 — Print Vaccine Request    [SO-010-010-170; CL-13]</w:t>
      </w:r>
    </w:p>
    <w:p>
      <w:pPr>
        <w:pStyle w:val="ListParagraph"/>
        <w:numPr>
          <w:ilvl w:val="0"/>
          <w:numId w:val="2"/>
        </w:numPr>
        <w:spacing w:after="60"/>
      </w:pPr>
      <w:r>
        <w:rPr>
          <w:sz w:val="21"/>
          <w:szCs w:val="21"/>
        </w:rPr>
        <w:t xml:space="preserve">Print action from cockpit and List Report generating the standardized vaccine order form.</w:t>
      </w:r>
    </w:p>
    <w:p>
      <w:pPr>
        <w:spacing w:after="120"/>
      </w:pPr>
      <w:r>
        <w:rPr>
          <w:b/>
          <w:bCs/>
          <w:color w:val="C00000"/>
          <w:sz w:val="21"/>
          <w:szCs w:val="21"/>
        </w:rPr>
        <w:t xml:space="preserve">OPEN ITEM: </w:t>
      </w:r>
      <w:r>
        <w:rPr>
          <w:sz w:val="21"/>
          <w:szCs w:val="21"/>
        </w:rPr>
        <w:t xml:space="preserve">Output form itself is categorized Migrate; confirm forms-workstream ownership of the template and assign only the trigger + parameterization to E008.</w:t>
      </w:r>
    </w:p>
    <w:p>
      <w:pPr>
        <w:pStyle w:val="Heading1"/>
        <w:spacing w:after="160" w:before="280"/>
      </w:pPr>
      <w:r>
        <w:rPr>
          <w:b/>
          <w:bCs/>
          <w:color w:val="1F4E79"/>
          <w:sz w:val="30"/>
          <w:szCs w:val="30"/>
        </w:rPr>
        <w:t xml:space="preserve">8. Error &amp; Message Handling</w:t>
      </w:r>
    </w:p>
    <w:p>
      <w:pPr>
        <w:pStyle w:val="ListParagraph"/>
        <w:numPr>
          <w:ilvl w:val="0"/>
          <w:numId w:val="2"/>
        </w:numPr>
        <w:spacing w:after="60"/>
      </w:pPr>
      <w:r>
        <w:rPr>
          <w:sz w:val="21"/>
          <w:szCs w:val="21"/>
        </w:rPr>
        <w:t xml:space="preserve">All messages originate in the behavior layer (E006 rule results mapped to RAP messages) and are transported via the OData message container; the cockpit anchors them to fields/rows (message popover + inline states); the List Report uses standard FE message handling.</w:t>
      </w:r>
    </w:p>
    <w:p>
      <w:pPr>
        <w:pStyle w:val="ListParagraph"/>
        <w:numPr>
          <w:ilvl w:val="0"/>
          <w:numId w:val="2"/>
        </w:numPr>
        <w:spacing w:after="60"/>
      </w:pPr>
      <w:r>
        <w:rPr>
          <w:sz w:val="21"/>
          <w:szCs w:val="21"/>
        </w:rPr>
        <w:t xml:space="preserve">E008-owned message scenarios (per FSD table, E007 items excluded per CL-07): mandatory-field and provider master-data checks; invalid/blocked/inactive NDC; contact format; order-intention missing; quantity invalid/auto-adjusted; High Priority without Order Reason; ancillary vs. vaccine quantity; IoH mandatory fields / no-update / recency; date-range validation.</w:t>
      </w:r>
    </w:p>
    <w:p>
      <w:pPr>
        <w:pStyle w:val="ListParagraph"/>
        <w:numPr>
          <w:ilvl w:val="0"/>
          <w:numId w:val="2"/>
        </w:numPr>
        <w:spacing w:after="60"/>
      </w:pPr>
      <w:r>
        <w:rPr>
          <w:sz w:val="21"/>
          <w:szCs w:val="21"/>
        </w:rPr>
        <w:t xml:space="preserve">Hard vs. soft classification follows §6.4; message texts maintained in message classes with translation-readiness.</w:t>
      </w:r>
    </w:p>
    <w:p>
      <w:pPr>
        <w:pStyle w:val="Heading1"/>
        <w:spacing w:after="160" w:before="280"/>
      </w:pPr>
      <w:r>
        <w:rPr>
          <w:b/>
          <w:bCs/>
          <w:color w:val="1F4E79"/>
          <w:sz w:val="30"/>
          <w:szCs w:val="3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Pr>
          <w:p>
            <w:pPr>
              <w:spacing w:after="40"/>
            </w:pPr>
            <w:r>
              <w:rPr>
                <w:b/>
                <w:bCs/>
                <w:color w:val="FFFFFF"/>
                <w:sz w:val="19"/>
                <w:szCs w:val="19"/>
              </w:rPr>
              <w:t xml:space="preserve">Area</w:t>
            </w:r>
          </w:p>
        </w:tc>
        <w:tc>
          <w:tcPr>
            <w:tcW w:type="dxa" w:w="6760"/>
            <w:shd w:fill="1F4E79" w:val="clear"/>
          </w:tcPr>
          <w:p>
            <w:pPr>
              <w:spacing w:after="40"/>
            </w:pPr>
            <w:r>
              <w:rPr>
                <w:b/>
                <w:bCs/>
                <w:color w:val="FFFFFF"/>
                <w:sz w:val="19"/>
                <w:szCs w:val="19"/>
              </w:rPr>
              <w:t xml:space="preserve">Requirement</w:t>
            </w:r>
          </w:p>
        </w:tc>
      </w:tr>
      <w:tr>
        <w:tc>
          <w:tcPr>
            <w:tcW w:type="dxa" w:w="2600"/>
          </w:tcPr>
          <w:p>
            <w:pPr>
              <w:spacing w:after="40"/>
            </w:pPr>
            <w:r>
              <w:rPr>
                <w:sz w:val="19"/>
                <w:szCs w:val="19"/>
              </w:rPr>
              <w:t xml:space="preserve">Performance / load</w:t>
            </w:r>
          </w:p>
        </w:tc>
        <w:tc>
          <w:tcPr>
            <w:tcW w:type="dxa" w:w="6760"/>
          </w:tcPr>
          <w:p>
            <w:pPr>
              <w:spacing w:after="40"/>
            </w:pPr>
            <w:r>
              <w:rPr>
                <w:b/>
                <w:bCs/>
                <w:color w:val="C00000"/>
                <w:sz w:val="19"/>
                <w:szCs w:val="19"/>
              </w:rPr>
              <w:t xml:space="preserve">OPEN (CL-11): </w:t>
            </w:r>
          </w:p>
          <w:p>
            <w:pPr>
              <w:spacing w:after="40"/>
            </w:pPr>
            <w:r>
              <w:rPr>
                <w:sz w:val="19"/>
                <w:szCs w:val="19"/>
              </w:rPr>
              <w:t xml:space="preserve">capture peak concurrent users, orders/day at seasonal peak, avg/max lines per order, and search volumes. Targets to set once known — proposed: cockpit save round-trip ≤ 3s at P95 excluding E006 rule time; search first page ≤ 2s at P95. Search projection strategy (transactional vs. dedicated CDS) decided from these numbers.</w:t>
            </w:r>
          </w:p>
        </w:tc>
      </w:tr>
      <w:tr>
        <w:tc>
          <w:tcPr>
            <w:tcW w:type="dxa" w:w="2600"/>
          </w:tcPr>
          <w:p>
            <w:pPr>
              <w:spacing w:after="40"/>
            </w:pPr>
            <w:r>
              <w:rPr>
                <w:sz w:val="19"/>
                <w:szCs w:val="19"/>
              </w:rPr>
              <w:t xml:space="preserve">Accessibility</w:t>
            </w:r>
          </w:p>
        </w:tc>
        <w:tc>
          <w:tcPr>
            <w:tcW w:type="dxa" w:w="6760"/>
          </w:tcPr>
          <w:p>
            <w:pPr>
              <w:spacing w:after="40"/>
            </w:pPr>
            <w:r>
              <w:rPr>
                <w:sz w:val="19"/>
                <w:szCs w:val="19"/>
              </w:rPr>
              <w:t xml:space="preserve">Section 508 / WCAG 2.1 AA on both consumption apps; keyboard-complete; screen-reader test in exit criteria; standard UI5 controls only unless a documented exception is approved.</w:t>
            </w:r>
          </w:p>
        </w:tc>
      </w:tr>
      <w:tr>
        <w:tc>
          <w:tcPr>
            <w:tcW w:type="dxa" w:w="2600"/>
          </w:tcPr>
          <w:p>
            <w:pPr>
              <w:spacing w:after="40"/>
            </w:pPr>
            <w:r>
              <w:rPr>
                <w:sz w:val="19"/>
                <w:szCs w:val="19"/>
              </w:rPr>
              <w:t xml:space="preserve">Security &amp; audit</w:t>
            </w:r>
          </w:p>
        </w:tc>
        <w:tc>
          <w:tcPr>
            <w:tcW w:type="dxa" w:w="6760"/>
          </w:tcPr>
          <w:p>
            <w:pPr>
              <w:spacing w:after="40"/>
            </w:pPr>
            <w:r>
              <w:rPr>
                <w:sz w:val="19"/>
                <w:szCs w:val="19"/>
              </w:rPr>
              <w:t xml:space="preserve">Instance authorization per §4; all actions logged with user/timestamp via standard change documents; FR-04 un-cancel may require an explicit audit log (open item). No provider PII beyond master-data need-to-know in the search projection.</w:t>
            </w:r>
          </w:p>
        </w:tc>
      </w:tr>
      <w:tr>
        <w:tc>
          <w:tcPr>
            <w:tcW w:type="dxa" w:w="2600"/>
          </w:tcPr>
          <w:p>
            <w:pPr>
              <w:spacing w:after="40"/>
            </w:pPr>
            <w:r>
              <w:rPr>
                <w:sz w:val="19"/>
                <w:szCs w:val="19"/>
              </w:rPr>
              <w:t xml:space="preserve">Supportability</w:t>
            </w:r>
          </w:p>
        </w:tc>
        <w:tc>
          <w:tcPr>
            <w:tcW w:type="dxa" w:w="6760"/>
          </w:tcPr>
          <w:p>
            <w:pPr>
              <w:spacing w:after="40"/>
            </w:pPr>
            <w:r>
              <w:rPr>
                <w:sz w:val="19"/>
                <w:szCs w:val="19"/>
              </w:rPr>
              <w:t xml:space="preserve">Behavior layer unit-testable via EML (validations, matrix, actions) without UI; message-class-based texts; feature toggles not used for control logic.</w:t>
            </w:r>
          </w:p>
        </w:tc>
      </w:tr>
      <w:tr>
        <w:tc>
          <w:tcPr>
            <w:tcW w:type="dxa" w:w="2600"/>
          </w:tcPr>
          <w:p>
            <w:pPr>
              <w:spacing w:after="40"/>
            </w:pPr>
            <w:r>
              <w:rPr>
                <w:sz w:val="19"/>
                <w:szCs w:val="19"/>
              </w:rPr>
              <w:t xml:space="preserve">Upgrade posture</w:t>
            </w:r>
          </w:p>
        </w:tc>
        <w:tc>
          <w:tcPr>
            <w:tcW w:type="dxa" w:w="6760"/>
          </w:tcPr>
          <w:p>
            <w:pPr>
              <w:spacing w:after="40"/>
            </w:pPr>
            <w:r>
              <w:rPr>
                <w:sz w:val="19"/>
                <w:szCs w:val="19"/>
              </w:rPr>
              <w:t xml:space="preserve">No modification of standard objects; standard sales order API underneath; clean-core-aligned custom code (ATC checks incl. S/4 readiness variants in CI).</w:t>
            </w:r>
          </w:p>
        </w:tc>
      </w:tr>
    </w:tbl>
    <w:p>
      <w:pPr>
        <w:pStyle w:val="Heading1"/>
        <w:spacing w:after="160" w:before="280"/>
      </w:pPr>
      <w:r>
        <w:rPr>
          <w:b/>
          <w:bCs/>
          <w:color w:val="1F4E79"/>
          <w:sz w:val="30"/>
          <w:szCs w:val="30"/>
        </w:rPr>
        <w:t xml:space="preserve">10. Functional Test Scenarios (Delta to FSD §5)</w:t>
      </w:r>
    </w:p>
    <w:p>
      <w:pPr>
        <w:spacing w:after="120"/>
      </w:pPr>
      <w:r>
        <w:rPr>
          <w:sz w:val="21"/>
          <w:szCs w:val="21"/>
        </w:rPr>
        <w:t xml:space="preserve">FSD scenarios 1–16 carry over unchanged. The following are added by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300"/>
        <w:gridCol w:w="3260"/>
      </w:tblGrid>
      <w:tr>
        <w:trPr>
          <w:tblHeader/>
        </w:trPr>
        <w:tc>
          <w:tcPr>
            <w:tcW w:type="dxa" w:w="900"/>
            <w:shd w:fill="1F4E79" w:val="clear"/>
          </w:tcPr>
          <w:p>
            <w:pPr>
              <w:spacing w:after="40"/>
            </w:pPr>
            <w:r>
              <w:rPr>
                <w:b/>
                <w:bCs/>
                <w:color w:val="FFFFFF"/>
                <w:sz w:val="19"/>
                <w:szCs w:val="19"/>
              </w:rPr>
              <w:t xml:space="preserve">#</w:t>
            </w:r>
          </w:p>
        </w:tc>
        <w:tc>
          <w:tcPr>
            <w:tcW w:type="dxa" w:w="1900"/>
            <w:shd w:fill="1F4E79" w:val="clear"/>
          </w:tcPr>
          <w:p>
            <w:pPr>
              <w:spacing w:after="40"/>
            </w:pPr>
            <w:r>
              <w:rPr>
                <w:b/>
                <w:bCs/>
                <w:color w:val="FFFFFF"/>
                <w:sz w:val="19"/>
                <w:szCs w:val="19"/>
              </w:rPr>
              <w:t xml:space="preserve">Type</w:t>
            </w:r>
          </w:p>
        </w:tc>
        <w:tc>
          <w:tcPr>
            <w:tcW w:type="dxa" w:w="3300"/>
            <w:shd w:fill="1F4E79" w:val="clear"/>
          </w:tcPr>
          <w:p>
            <w:pPr>
              <w:spacing w:after="40"/>
            </w:pPr>
            <w:r>
              <w:rPr>
                <w:b/>
                <w:bCs/>
                <w:color w:val="FFFFFF"/>
                <w:sz w:val="19"/>
                <w:szCs w:val="19"/>
              </w:rPr>
              <w:t xml:space="preserve">Steps</w:t>
            </w:r>
          </w:p>
        </w:tc>
        <w:tc>
          <w:tcPr>
            <w:tcW w:type="dxa" w:w="3260"/>
            <w:shd w:fill="1F4E79" w:val="clear"/>
          </w:tcPr>
          <w:p>
            <w:pPr>
              <w:spacing w:after="40"/>
            </w:pPr>
            <w:r>
              <w:rPr>
                <w:b/>
                <w:bCs/>
                <w:color w:val="FFFFFF"/>
                <w:sz w:val="19"/>
                <w:szCs w:val="19"/>
              </w:rPr>
              <w:t xml:space="preserve">Expected</w:t>
            </w:r>
          </w:p>
        </w:tc>
      </w:tr>
      <w:tr>
        <w:tc>
          <w:tcPr>
            <w:tcW w:type="dxa" w:w="900"/>
          </w:tcPr>
          <w:p>
            <w:pPr>
              <w:spacing w:after="40"/>
            </w:pPr>
            <w:r>
              <w:rPr>
                <w:sz w:val="19"/>
                <w:szCs w:val="19"/>
              </w:rPr>
              <w:t xml:space="preserve">17</w:t>
            </w:r>
          </w:p>
        </w:tc>
        <w:tc>
          <w:tcPr>
            <w:tcW w:type="dxa" w:w="1900"/>
          </w:tcPr>
          <w:p>
            <w:pPr>
              <w:spacing w:after="40"/>
            </w:pPr>
            <w:r>
              <w:rPr>
                <w:sz w:val="19"/>
                <w:szCs w:val="19"/>
              </w:rPr>
              <w:t xml:space="preserve">Positive (FR-04)</w:t>
            </w:r>
          </w:p>
        </w:tc>
        <w:tc>
          <w:tcPr>
            <w:tcW w:type="dxa" w:w="3300"/>
          </w:tcPr>
          <w:p>
            <w:pPr>
              <w:spacing w:after="40"/>
            </w:pPr>
            <w:r>
              <w:rPr>
                <w:sz w:val="19"/>
                <w:szCs w:val="19"/>
              </w:rPr>
              <w:t xml:space="preserve">Grantee cancels a direct-ship line already shipped; ASN arrives; CDC user invokes Un-Cancel on the line</w:t>
            </w:r>
          </w:p>
        </w:tc>
        <w:tc>
          <w:tcPr>
            <w:tcW w:type="dxa" w:w="3260"/>
          </w:tcPr>
          <w:p>
            <w:pPr>
              <w:spacing w:after="40"/>
            </w:pPr>
            <w:r>
              <w:rPr>
                <w:sz w:val="19"/>
                <w:szCs w:val="19"/>
              </w:rPr>
              <w:t xml:space="preserve">Line restored; ASN posts; budget/SPC re-consumed as normal order line; Grantee notification issued; audit entry recorded</w:t>
            </w:r>
          </w:p>
        </w:tc>
      </w:tr>
      <w:tr>
        <w:tc>
          <w:tcPr>
            <w:tcW w:type="dxa" w:w="900"/>
          </w:tcPr>
          <w:p>
            <w:pPr>
              <w:spacing w:after="40"/>
            </w:pPr>
            <w:r>
              <w:rPr>
                <w:sz w:val="19"/>
                <w:szCs w:val="19"/>
              </w:rPr>
              <w:t xml:space="preserve">18</w:t>
            </w:r>
          </w:p>
        </w:tc>
        <w:tc>
          <w:tcPr>
            <w:tcW w:type="dxa" w:w="1900"/>
          </w:tcPr>
          <w:p>
            <w:pPr>
              <w:spacing w:after="40"/>
            </w:pPr>
            <w:r>
              <w:rPr>
                <w:sz w:val="19"/>
                <w:szCs w:val="19"/>
              </w:rPr>
              <w:t xml:space="preserve">Negative (FR-04)</w:t>
            </w:r>
          </w:p>
        </w:tc>
        <w:tc>
          <w:tcPr>
            <w:tcW w:type="dxa" w:w="3300"/>
          </w:tcPr>
          <w:p>
            <w:pPr>
              <w:spacing w:after="40"/>
            </w:pPr>
            <w:r>
              <w:rPr>
                <w:sz w:val="19"/>
                <w:szCs w:val="19"/>
              </w:rPr>
              <w:t xml:space="preserve">Awardee user attempts Un-Cancel</w:t>
            </w:r>
          </w:p>
        </w:tc>
        <w:tc>
          <w:tcPr>
            <w:tcW w:type="dxa" w:w="3260"/>
          </w:tcPr>
          <w:p>
            <w:pPr>
              <w:spacing w:after="40"/>
            </w:pPr>
            <w:r>
              <w:rPr>
                <w:sz w:val="19"/>
                <w:szCs w:val="19"/>
              </w:rPr>
              <w:t xml:space="preserve">Action rejected in behavior layer with authorization error</w:t>
            </w:r>
          </w:p>
        </w:tc>
      </w:tr>
      <w:tr>
        <w:tc>
          <w:tcPr>
            <w:tcW w:type="dxa" w:w="900"/>
          </w:tcPr>
          <w:p>
            <w:pPr>
              <w:spacing w:after="40"/>
            </w:pPr>
            <w:r>
              <w:rPr>
                <w:sz w:val="19"/>
                <w:szCs w:val="19"/>
              </w:rPr>
              <w:t xml:space="preserve">19</w:t>
            </w:r>
          </w:p>
        </w:tc>
        <w:tc>
          <w:tcPr>
            <w:tcW w:type="dxa" w:w="1900"/>
          </w:tcPr>
          <w:p>
            <w:pPr>
              <w:spacing w:after="40"/>
            </w:pPr>
            <w:r>
              <w:rPr>
                <w:sz w:val="19"/>
                <w:szCs w:val="19"/>
              </w:rPr>
              <w:t xml:space="preserve">Negative (auth)</w:t>
            </w:r>
          </w:p>
        </w:tc>
        <w:tc>
          <w:tcPr>
            <w:tcW w:type="dxa" w:w="3300"/>
          </w:tcPr>
          <w:p>
            <w:pPr>
              <w:spacing w:after="40"/>
            </w:pPr>
            <w:r>
              <w:rPr>
                <w:sz w:val="19"/>
                <w:szCs w:val="19"/>
              </w:rPr>
              <w:t xml:space="preserve">Awardee A searches/reads/updates an order belonging to Awardee B's jurisdiction (direct OData call, bypassing UI)</w:t>
            </w:r>
          </w:p>
        </w:tc>
        <w:tc>
          <w:tcPr>
            <w:tcW w:type="dxa" w:w="3260"/>
          </w:tcPr>
          <w:p>
            <w:pPr>
              <w:spacing w:after="40"/>
            </w:pPr>
            <w:r>
              <w:rPr>
                <w:sz w:val="19"/>
                <w:szCs w:val="19"/>
              </w:rPr>
              <w:t xml:space="preserve">No data returned / operation rejected — instance authorization enforced server-side</w:t>
            </w:r>
          </w:p>
        </w:tc>
      </w:tr>
      <w:tr>
        <w:tc>
          <w:tcPr>
            <w:tcW w:type="dxa" w:w="900"/>
          </w:tcPr>
          <w:p>
            <w:pPr>
              <w:spacing w:after="40"/>
            </w:pPr>
            <w:r>
              <w:rPr>
                <w:sz w:val="19"/>
                <w:szCs w:val="19"/>
              </w:rPr>
              <w:t xml:space="preserve">20</w:t>
            </w:r>
          </w:p>
        </w:tc>
        <w:tc>
          <w:tcPr>
            <w:tcW w:type="dxa" w:w="1900"/>
          </w:tcPr>
          <w:p>
            <w:pPr>
              <w:spacing w:after="40"/>
            </w:pPr>
            <w:r>
              <w:rPr>
                <w:sz w:val="19"/>
                <w:szCs w:val="19"/>
              </w:rPr>
              <w:t xml:space="preserve">Positive (FR-10)</w:t>
            </w:r>
          </w:p>
        </w:tc>
        <w:tc>
          <w:tcPr>
            <w:tcW w:type="dxa" w:w="3300"/>
          </w:tcPr>
          <w:p>
            <w:pPr>
              <w:spacing w:after="40"/>
            </w:pPr>
            <w:r>
              <w:rPr>
                <w:sz w:val="19"/>
                <w:szCs w:val="19"/>
              </w:rPr>
              <w:t xml:space="preserve">CDC creates replacement order with reference</w:t>
            </w:r>
          </w:p>
        </w:tc>
        <w:tc>
          <w:tcPr>
            <w:tcW w:type="dxa" w:w="3260"/>
          </w:tcPr>
          <w:p>
            <w:pPr>
              <w:spacing w:after="40"/>
            </w:pPr>
            <w:r>
              <w:rPr>
                <w:sz w:val="19"/>
                <w:szCs w:val="19"/>
              </w:rPr>
              <w:t xml:space="preserve">Replacement created; budget validations skipped; Awardee balances unchanged; action attributed to CDC user</w:t>
            </w:r>
          </w:p>
        </w:tc>
      </w:tr>
      <w:tr>
        <w:tc>
          <w:tcPr>
            <w:tcW w:type="dxa" w:w="900"/>
          </w:tcPr>
          <w:p>
            <w:pPr>
              <w:spacing w:after="40"/>
            </w:pPr>
            <w:r>
              <w:rPr>
                <w:sz w:val="19"/>
                <w:szCs w:val="19"/>
              </w:rPr>
              <w:t xml:space="preserve">21</w:t>
            </w:r>
          </w:p>
        </w:tc>
        <w:tc>
          <w:tcPr>
            <w:tcW w:type="dxa" w:w="1900"/>
          </w:tcPr>
          <w:p>
            <w:pPr>
              <w:spacing w:after="40"/>
            </w:pPr>
            <w:r>
              <w:rPr>
                <w:sz w:val="19"/>
                <w:szCs w:val="19"/>
              </w:rPr>
              <w:t xml:space="preserve">Negative (FR-10)</w:t>
            </w:r>
          </w:p>
        </w:tc>
        <w:tc>
          <w:tcPr>
            <w:tcW w:type="dxa" w:w="3300"/>
          </w:tcPr>
          <w:p>
            <w:pPr>
              <w:spacing w:after="40"/>
            </w:pPr>
            <w:r>
              <w:rPr>
                <w:sz w:val="19"/>
                <w:szCs w:val="19"/>
              </w:rPr>
              <w:t xml:space="preserve">Awardee attempts createReplacement</w:t>
            </w:r>
          </w:p>
        </w:tc>
        <w:tc>
          <w:tcPr>
            <w:tcW w:type="dxa" w:w="3260"/>
          </w:tcPr>
          <w:p>
            <w:pPr>
              <w:spacing w:after="40"/>
            </w:pPr>
            <w:r>
              <w:rPr>
                <w:sz w:val="19"/>
                <w:szCs w:val="19"/>
              </w:rPr>
              <w:t xml:space="preserve">Rejected — CDC-only action</w:t>
            </w:r>
          </w:p>
        </w:tc>
      </w:tr>
      <w:tr>
        <w:tc>
          <w:tcPr>
            <w:tcW w:type="dxa" w:w="900"/>
          </w:tcPr>
          <w:p>
            <w:pPr>
              <w:spacing w:after="40"/>
            </w:pPr>
            <w:r>
              <w:rPr>
                <w:sz w:val="19"/>
                <w:szCs w:val="19"/>
              </w:rPr>
              <w:t xml:space="preserve">22</w:t>
            </w:r>
          </w:p>
        </w:tc>
        <w:tc>
          <w:tcPr>
            <w:tcW w:type="dxa" w:w="1900"/>
          </w:tcPr>
          <w:p>
            <w:pPr>
              <w:spacing w:after="40"/>
            </w:pPr>
            <w:r>
              <w:rPr>
                <w:sz w:val="19"/>
                <w:szCs w:val="19"/>
              </w:rPr>
              <w:t xml:space="preserve">Positive (FR-11)</w:t>
            </w:r>
          </w:p>
        </w:tc>
        <w:tc>
          <w:tcPr>
            <w:tcW w:type="dxa" w:w="3300"/>
          </w:tcPr>
          <w:p>
            <w:pPr>
              <w:spacing w:after="40"/>
            </w:pPr>
            <w:r>
              <w:rPr>
                <w:sz w:val="19"/>
                <w:szCs w:val="19"/>
              </w:rPr>
              <w:t xml:space="preserve">API order submission with soft-stop condition; poll Status Service</w:t>
            </w:r>
          </w:p>
        </w:tc>
        <w:tc>
          <w:tcPr>
            <w:tcW w:type="dxa" w:w="3260"/>
          </w:tcPr>
          <w:p>
            <w:pPr>
              <w:spacing w:after="40"/>
            </w:pPr>
            <w:r>
              <w:rPr>
                <w:sz w:val="19"/>
                <w:szCs w:val="19"/>
              </w:rPr>
              <w:t xml:space="preserve">Acceptance + correlation ID returned; polled status shows 1C Rejected with messages; identical E006 outcome as UI channel</w:t>
            </w:r>
          </w:p>
        </w:tc>
      </w:tr>
      <w:tr>
        <w:tc>
          <w:tcPr>
            <w:tcW w:type="dxa" w:w="900"/>
          </w:tcPr>
          <w:p>
            <w:pPr>
              <w:spacing w:after="40"/>
            </w:pPr>
            <w:r>
              <w:rPr>
                <w:sz w:val="19"/>
                <w:szCs w:val="19"/>
              </w:rPr>
              <w:t xml:space="preserve">23</w:t>
            </w:r>
          </w:p>
        </w:tc>
        <w:tc>
          <w:tcPr>
            <w:tcW w:type="dxa" w:w="1900"/>
          </w:tcPr>
          <w:p>
            <w:pPr>
              <w:spacing w:after="40"/>
            </w:pPr>
            <w:r>
              <w:rPr>
                <w:sz w:val="19"/>
                <w:szCs w:val="19"/>
              </w:rPr>
              <w:t xml:space="preserve">Positive (FR-02)</w:t>
            </w:r>
          </w:p>
        </w:tc>
        <w:tc>
          <w:tcPr>
            <w:tcW w:type="dxa" w:w="3300"/>
          </w:tcPr>
          <w:p>
            <w:pPr>
              <w:spacing w:after="40"/>
            </w:pPr>
            <w:r>
              <w:rPr>
                <w:sz w:val="19"/>
                <w:szCs w:val="19"/>
              </w:rPr>
              <w:t xml:space="preserve">Copy order containing SPLIT fund type and opt-out ancillary</w:t>
            </w:r>
          </w:p>
        </w:tc>
        <w:tc>
          <w:tcPr>
            <w:tcW w:type="dxa" w:w="3260"/>
          </w:tcPr>
          <w:p>
            <w:pPr>
              <w:spacing w:after="40"/>
            </w:pPr>
            <w:r>
              <w:rPr>
                <w:sz w:val="19"/>
                <w:szCs w:val="19"/>
              </w:rPr>
              <w:t xml:space="preserve">Fund Type not copied — repopulated from fund split template; PAN fund type from NDC pre-populates; ancillary table rules re-applied</w:t>
            </w:r>
          </w:p>
        </w:tc>
      </w:tr>
      <w:tr>
        <w:tc>
          <w:tcPr>
            <w:tcW w:type="dxa" w:w="900"/>
          </w:tcPr>
          <w:p>
            <w:pPr>
              <w:spacing w:after="40"/>
            </w:pPr>
            <w:r>
              <w:rPr>
                <w:sz w:val="19"/>
                <w:szCs w:val="19"/>
              </w:rPr>
              <w:t xml:space="preserve">24</w:t>
            </w:r>
          </w:p>
        </w:tc>
        <w:tc>
          <w:tcPr>
            <w:tcW w:type="dxa" w:w="1900"/>
          </w:tcPr>
          <w:p>
            <w:pPr>
              <w:spacing w:after="40"/>
            </w:pPr>
            <w:r>
              <w:rPr>
                <w:sz w:val="19"/>
                <w:szCs w:val="19"/>
              </w:rPr>
              <w:t xml:space="preserve">Positive (508)</w:t>
            </w:r>
          </w:p>
        </w:tc>
        <w:tc>
          <w:tcPr>
            <w:tcW w:type="dxa" w:w="3300"/>
          </w:tcPr>
          <w:p>
            <w:pPr>
              <w:spacing w:after="40"/>
            </w:pPr>
            <w:r>
              <w:rPr>
                <w:sz w:val="19"/>
                <w:szCs w:val="19"/>
              </w:rPr>
              <w:t xml:space="preserve">Complete order creation keyboard-only with screen reader</w:t>
            </w:r>
          </w:p>
        </w:tc>
        <w:tc>
          <w:tcPr>
            <w:tcW w:type="dxa" w:w="3260"/>
          </w:tcPr>
          <w:p>
            <w:pPr>
              <w:spacing w:after="40"/>
            </w:pPr>
            <w:r>
              <w:rPr>
                <w:sz w:val="19"/>
                <w:szCs w:val="19"/>
              </w:rPr>
              <w:t xml:space="preserve">All fields reachable/announced; messages announced; save achievable without pointer</w:t>
            </w:r>
          </w:p>
        </w:tc>
      </w:tr>
      <w:tr>
        <w:tc>
          <w:tcPr>
            <w:tcW w:type="dxa" w:w="900"/>
          </w:tcPr>
          <w:p>
            <w:pPr>
              <w:spacing w:after="40"/>
            </w:pPr>
            <w:r>
              <w:rPr>
                <w:sz w:val="19"/>
                <w:szCs w:val="19"/>
              </w:rPr>
              <w:t xml:space="preserve">25</w:t>
            </w:r>
          </w:p>
        </w:tc>
        <w:tc>
          <w:tcPr>
            <w:tcW w:type="dxa" w:w="1900"/>
          </w:tcPr>
          <w:p>
            <w:pPr>
              <w:spacing w:after="40"/>
            </w:pPr>
            <w:r>
              <w:rPr>
                <w:sz w:val="19"/>
                <w:szCs w:val="19"/>
              </w:rPr>
              <w:t xml:space="preserve">Positive (UX)</w:t>
            </w:r>
          </w:p>
        </w:tc>
        <w:tc>
          <w:tcPr>
            <w:tcW w:type="dxa" w:w="3300"/>
          </w:tcPr>
          <w:p>
            <w:pPr>
              <w:spacing w:after="40"/>
            </w:pPr>
            <w:r>
              <w:rPr>
                <w:sz w:val="19"/>
                <w:szCs w:val="19"/>
              </w:rPr>
              <w:t xml:space="preserve">Timed create of standard order (header + 1 line + IoH) by pilot user</w:t>
            </w:r>
          </w:p>
        </w:tc>
        <w:tc>
          <w:tcPr>
            <w:tcW w:type="dxa" w:w="3260"/>
          </w:tcPr>
          <w:p>
            <w:pPr>
              <w:spacing w:after="40"/>
            </w:pPr>
            <w:r>
              <w:rPr>
                <w:sz w:val="19"/>
                <w:szCs w:val="19"/>
              </w:rPr>
              <w:t xml:space="preserve">Interaction count ≤ CRM_UI baseline for the same task (§6.1 acceptance criterion)</w:t>
            </w:r>
          </w:p>
        </w:tc>
      </w:tr>
    </w:tbl>
    <w:p>
      <w:pPr>
        <w:pStyle w:val="Heading1"/>
        <w:spacing w:after="160" w:before="280"/>
      </w:pPr>
      <w:r>
        <w:rPr>
          <w:b/>
          <w:bCs/>
          <w:color w:val="1F4E79"/>
          <w:sz w:val="30"/>
          <w:szCs w:val="30"/>
        </w:rPr>
        <w:t xml:space="preserve">11.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4E79" w:val="clear"/>
          </w:tcPr>
          <w:p>
            <w:pPr>
              <w:spacing w:after="40"/>
            </w:pPr>
            <w:r>
              <w:rPr>
                <w:b/>
                <w:bCs/>
                <w:color w:val="FFFFFF"/>
                <w:sz w:val="19"/>
                <w:szCs w:val="19"/>
              </w:rPr>
              <w:t xml:space="preserve">Object</w:t>
            </w:r>
          </w:p>
        </w:tc>
        <w:tc>
          <w:tcPr>
            <w:tcW w:type="dxa" w:w="7760"/>
            <w:shd w:fill="1F4E79" w:val="clear"/>
          </w:tcPr>
          <w:p>
            <w:pPr>
              <w:spacing w:after="40"/>
            </w:pPr>
            <w:r>
              <w:rPr>
                <w:b/>
                <w:bCs/>
                <w:color w:val="FFFFFF"/>
                <w:sz w:val="19"/>
                <w:szCs w:val="19"/>
              </w:rPr>
              <w:t xml:space="preserve">Dependency</w:t>
            </w:r>
          </w:p>
        </w:tc>
      </w:tr>
      <w:tr>
        <w:tc>
          <w:tcPr>
            <w:tcW w:type="dxa" w:w="1600"/>
          </w:tcPr>
          <w:p>
            <w:pPr>
              <w:spacing w:after="40"/>
            </w:pPr>
            <w:r>
              <w:rPr>
                <w:sz w:val="19"/>
                <w:szCs w:val="19"/>
              </w:rPr>
              <w:t xml:space="preserve">E006</w:t>
            </w:r>
          </w:p>
        </w:tc>
        <w:tc>
          <w:tcPr>
            <w:tcW w:type="dxa" w:w="7760"/>
          </w:tcPr>
          <w:p>
            <w:pPr>
              <w:spacing w:after="40"/>
            </w:pPr>
            <w:r>
              <w:rPr>
                <w:sz w:val="19"/>
                <w:szCs w:val="19"/>
              </w:rPr>
              <w:t xml:space="preserve">Validation rule content (save + cancellation + un-cancel re-commitment); 60-day batch re-validation job boundary; complete cancellation matrix (CL-05).</w:t>
            </w:r>
          </w:p>
        </w:tc>
      </w:tr>
      <w:tr>
        <w:tc>
          <w:tcPr>
            <w:tcW w:type="dxa" w:w="1600"/>
          </w:tcPr>
          <w:p>
            <w:pPr>
              <w:spacing w:after="40"/>
            </w:pPr>
            <w:r>
              <w:rPr>
                <w:sz w:val="19"/>
                <w:szCs w:val="19"/>
              </w:rPr>
              <w:t xml:space="preserve">E007</w:t>
            </w:r>
          </w:p>
        </w:tc>
        <w:tc>
          <w:tcPr>
            <w:tcW w:type="dxa" w:w="7760"/>
          </w:tcPr>
          <w:p>
            <w:pPr>
              <w:spacing w:after="40"/>
            </w:pPr>
            <w:r>
              <w:rPr>
                <w:sz w:val="19"/>
                <w:szCs w:val="19"/>
              </w:rPr>
              <w:t xml:space="preserve">Consignment/IoH pre-population logic reused by the IoH block; IoH document object ownership.</w:t>
            </w:r>
          </w:p>
        </w:tc>
      </w:tr>
      <w:tr>
        <w:tc>
          <w:tcPr>
            <w:tcW w:type="dxa" w:w="1600"/>
          </w:tcPr>
          <w:p>
            <w:pPr>
              <w:spacing w:after="40"/>
            </w:pPr>
            <w:r>
              <w:rPr>
                <w:sz w:val="19"/>
                <w:szCs w:val="19"/>
              </w:rPr>
              <w:t xml:space="preserve">E010/E013/E014/E024/E011</w:t>
            </w:r>
          </w:p>
        </w:tc>
        <w:tc>
          <w:tcPr>
            <w:tcW w:type="dxa" w:w="7760"/>
          </w:tcPr>
          <w:p>
            <w:pPr>
              <w:spacing w:after="40"/>
            </w:pPr>
            <w:r>
              <w:rPr>
                <w:sz w:val="19"/>
                <w:szCs w:val="19"/>
              </w:rPr>
              <w:t xml:space="preserve">Special circumstances, fund split template, fund type rules, ancillary kit, review tool — invoked per line/order per FSD execution dependencies.</w:t>
            </w:r>
          </w:p>
        </w:tc>
      </w:tr>
      <w:tr>
        <w:tc>
          <w:tcPr>
            <w:tcW w:type="dxa" w:w="1600"/>
          </w:tcPr>
          <w:p>
            <w:pPr>
              <w:spacing w:after="40"/>
            </w:pPr>
            <w:r>
              <w:rPr>
                <w:sz w:val="19"/>
                <w:szCs w:val="19"/>
              </w:rPr>
              <w:t xml:space="preserve">C001–C006, E001</w:t>
            </w:r>
          </w:p>
        </w:tc>
        <w:tc>
          <w:tcPr>
            <w:tcW w:type="dxa" w:w="7760"/>
          </w:tcPr>
          <w:p>
            <w:pPr>
              <w:spacing w:after="40"/>
            </w:pPr>
            <w:r>
              <w:rPr>
                <w:sz w:val="19"/>
                <w:szCs w:val="19"/>
              </w:rPr>
              <w:t xml:space="preserve">Business partner objects (employee, notes, provider updates, contact person, marketing attributes) — master data consumed by value helps and partner determination.</w:t>
            </w:r>
          </w:p>
        </w:tc>
      </w:tr>
      <w:tr>
        <w:tc>
          <w:tcPr>
            <w:tcW w:type="dxa" w:w="1600"/>
          </w:tcPr>
          <w:p>
            <w:pPr>
              <w:spacing w:after="40"/>
            </w:pPr>
            <w:r>
              <w:rPr>
                <w:sz w:val="19"/>
                <w:szCs w:val="19"/>
              </w:rPr>
              <w:t xml:space="preserve">Config</w:t>
            </w:r>
          </w:p>
        </w:tc>
        <w:tc>
          <w:tcPr>
            <w:tcW w:type="dxa" w:w="7760"/>
          </w:tcPr>
          <w:p>
            <w:pPr>
              <w:spacing w:after="40"/>
            </w:pPr>
            <w:r>
              <w:rPr>
                <w:sz w:val="19"/>
                <w:szCs w:val="19"/>
              </w:rPr>
              <w:t xml:space="preserve">Order type, item categories, user status profile (ratified dictionary §5.2), partner determination (Grantee→Sales Office, Vendor→Plant), pricing — prerequisite per FSD assumptions.</w:t>
            </w:r>
          </w:p>
        </w:tc>
      </w:tr>
    </w:tbl>
    <w:p>
      <w:pPr>
        <w:pStyle w:val="Heading1"/>
        <w:spacing w:after="160" w:before="280"/>
      </w:pPr>
      <w:r>
        <w:rPr>
          <w:b/>
          <w:bCs/>
          <w:color w:val="1F4E79"/>
          <w:sz w:val="30"/>
          <w:szCs w:val="30"/>
        </w:rPr>
        <w:t xml:space="preserve">12. Open Items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shd w:fill="1F4E79" w:val="clear"/>
          </w:tcPr>
          <w:p>
            <w:pPr>
              <w:spacing w:after="40"/>
            </w:pPr>
            <w:r>
              <w:rPr>
                <w:b/>
                <w:bCs/>
                <w:color w:val="FFFFFF"/>
                <w:sz w:val="19"/>
                <w:szCs w:val="19"/>
              </w:rPr>
              <w:t xml:space="preserve">#</w:t>
            </w:r>
          </w:p>
        </w:tc>
        <w:tc>
          <w:tcPr>
            <w:tcW w:type="dxa" w:w="5460"/>
            <w:shd w:fill="1F4E79" w:val="clear"/>
          </w:tcPr>
          <w:p>
            <w:pPr>
              <w:spacing w:after="40"/>
            </w:pPr>
            <w:r>
              <w:rPr>
                <w:b/>
                <w:bCs/>
                <w:color w:val="FFFFFF"/>
                <w:sz w:val="19"/>
                <w:szCs w:val="19"/>
              </w:rPr>
              <w:t xml:space="preserve">Decision / Item</w:t>
            </w:r>
          </w:p>
        </w:tc>
        <w:tc>
          <w:tcPr>
            <w:tcW w:type="dxa" w:w="3000"/>
            <w:shd w:fill="1F4E79" w:val="clear"/>
          </w:tcPr>
          <w:p>
            <w:pPr>
              <w:spacing w:after="40"/>
            </w:pPr>
            <w:r>
              <w:rPr>
                <w:b/>
                <w:bCs/>
                <w:color w:val="FFFFFF"/>
                <w:sz w:val="19"/>
                <w:szCs w:val="19"/>
              </w:rPr>
              <w:t xml:space="preserve">Owner / Needed by</w:t>
            </w:r>
          </w:p>
        </w:tc>
      </w:tr>
      <w:tr>
        <w:tc>
          <w:tcPr>
            <w:tcW w:type="dxa" w:w="900"/>
          </w:tcPr>
          <w:p>
            <w:pPr>
              <w:spacing w:after="40"/>
            </w:pPr>
            <w:r>
              <w:rPr>
                <w:sz w:val="19"/>
                <w:szCs w:val="19"/>
              </w:rPr>
              <w:t xml:space="preserve">OI-1</w:t>
            </w:r>
          </w:p>
        </w:tc>
        <w:tc>
          <w:tcPr>
            <w:tcW w:type="dxa" w:w="5460"/>
          </w:tcPr>
          <w:p>
            <w:pPr>
              <w:spacing w:after="40"/>
            </w:pPr>
            <w:r>
              <w:rPr>
                <w:sz w:val="19"/>
                <w:szCs w:val="19"/>
              </w:rPr>
              <w:t xml:space="preserve">Ratify status dictionary incl. 1E name/meaning and user-selectable subset (CL-03; §5.2)</w:t>
            </w:r>
          </w:p>
        </w:tc>
        <w:tc>
          <w:tcPr>
            <w:tcW w:type="dxa" w:w="3000"/>
          </w:tcPr>
          <w:p>
            <w:pPr>
              <w:spacing w:after="40"/>
            </w:pPr>
            <w:r>
              <w:rPr>
                <w:sz w:val="19"/>
                <w:szCs w:val="19"/>
              </w:rPr>
              <w:t xml:space="preserve">Business owner + E006/E008 — before cockpit edit-logic build</w:t>
            </w:r>
          </w:p>
        </w:tc>
      </w:tr>
      <w:tr>
        <w:tc>
          <w:tcPr>
            <w:tcW w:type="dxa" w:w="900"/>
          </w:tcPr>
          <w:p>
            <w:pPr>
              <w:spacing w:after="40"/>
            </w:pPr>
            <w:r>
              <w:rPr>
                <w:sz w:val="19"/>
                <w:szCs w:val="19"/>
              </w:rPr>
              <w:t xml:space="preserve">OI-2</w:t>
            </w:r>
          </w:p>
        </w:tc>
        <w:tc>
          <w:tcPr>
            <w:tcW w:type="dxa" w:w="5460"/>
          </w:tcPr>
          <w:p>
            <w:pPr>
              <w:spacing w:after="40"/>
            </w:pPr>
            <w:r>
              <w:rPr>
                <w:sz w:val="19"/>
                <w:szCs w:val="19"/>
              </w:rPr>
              <w:t xml:space="preserve">Confirm FR-04 Un-Cancel scope, E006 re-commitment rules, notification mechanism, audit table need (CL-01)</w:t>
            </w:r>
          </w:p>
        </w:tc>
        <w:tc>
          <w:tcPr>
            <w:tcW w:type="dxa" w:w="3000"/>
          </w:tcPr>
          <w:p>
            <w:pPr>
              <w:spacing w:after="40"/>
            </w:pPr>
            <w:r>
              <w:rPr>
                <w:sz w:val="19"/>
                <w:szCs w:val="19"/>
              </w:rPr>
              <w:t xml:space="preserve">CDC business owner + E006 — before build sign-off</w:t>
            </w:r>
          </w:p>
        </w:tc>
      </w:tr>
      <w:tr>
        <w:tc>
          <w:tcPr>
            <w:tcW w:type="dxa" w:w="900"/>
          </w:tcPr>
          <w:p>
            <w:pPr>
              <w:spacing w:after="40"/>
            </w:pPr>
            <w:r>
              <w:rPr>
                <w:sz w:val="19"/>
                <w:szCs w:val="19"/>
              </w:rPr>
              <w:t xml:space="preserve">OI-3</w:t>
            </w:r>
          </w:p>
        </w:tc>
        <w:tc>
          <w:tcPr>
            <w:tcW w:type="dxa" w:w="5460"/>
          </w:tcPr>
          <w:p>
            <w:pPr>
              <w:spacing w:after="40"/>
            </w:pPr>
            <w:r>
              <w:rPr>
                <w:sz w:val="19"/>
                <w:szCs w:val="19"/>
              </w:rPr>
              <w:t xml:space="preserve">Authorization concept sign-off: roles, jurisdiction mapping, action restrictions (CL-02; §4)</w:t>
            </w:r>
          </w:p>
        </w:tc>
        <w:tc>
          <w:tcPr>
            <w:tcW w:type="dxa" w:w="3000"/>
          </w:tcPr>
          <w:p>
            <w:pPr>
              <w:spacing w:after="40"/>
            </w:pPr>
            <w:r>
              <w:rPr>
                <w:sz w:val="19"/>
                <w:szCs w:val="19"/>
              </w:rPr>
              <w:t xml:space="preserve">Security workstream — before build sign-off</w:t>
            </w:r>
          </w:p>
        </w:tc>
      </w:tr>
      <w:tr>
        <w:tc>
          <w:tcPr>
            <w:tcW w:type="dxa" w:w="900"/>
          </w:tcPr>
          <w:p>
            <w:pPr>
              <w:spacing w:after="40"/>
            </w:pPr>
            <w:r>
              <w:rPr>
                <w:sz w:val="19"/>
                <w:szCs w:val="19"/>
              </w:rPr>
              <w:t xml:space="preserve">OI-4</w:t>
            </w:r>
          </w:p>
        </w:tc>
        <w:tc>
          <w:tcPr>
            <w:tcW w:type="dxa" w:w="5460"/>
          </w:tcPr>
          <w:p>
            <w:pPr>
              <w:spacing w:after="40"/>
            </w:pPr>
            <w:r>
              <w:rPr>
                <w:sz w:val="19"/>
                <w:szCs w:val="19"/>
              </w:rPr>
              <w:t xml:space="preserve">API channel RICE ownership + Status Service API ownership; correct BPD -030/-050 taxonomy (CL-04/CL-09)</w:t>
            </w:r>
          </w:p>
        </w:tc>
        <w:tc>
          <w:tcPr>
            <w:tcW w:type="dxa" w:w="3000"/>
          </w:tcPr>
          <w:p>
            <w:pPr>
              <w:spacing w:after="40"/>
            </w:pPr>
            <w:r>
              <w:rPr>
                <w:sz w:val="19"/>
                <w:szCs w:val="19"/>
              </w:rPr>
              <w:t xml:space="preserve">Integration workstream — design phase</w:t>
            </w:r>
          </w:p>
        </w:tc>
      </w:tr>
      <w:tr>
        <w:tc>
          <w:tcPr>
            <w:tcW w:type="dxa" w:w="900"/>
          </w:tcPr>
          <w:p>
            <w:pPr>
              <w:spacing w:after="40"/>
            </w:pPr>
            <w:r>
              <w:rPr>
                <w:sz w:val="19"/>
                <w:szCs w:val="19"/>
              </w:rPr>
              <w:t xml:space="preserve">OI-5</w:t>
            </w:r>
          </w:p>
        </w:tc>
        <w:tc>
          <w:tcPr>
            <w:tcW w:type="dxa" w:w="5460"/>
          </w:tcPr>
          <w:p>
            <w:pPr>
              <w:spacing w:after="40"/>
            </w:pPr>
            <w:r>
              <w:rPr>
                <w:sz w:val="19"/>
                <w:szCs w:val="19"/>
              </w:rPr>
              <w:t xml:space="preserve">Performance/load figures and derived search projection strategy (CL-11)</w:t>
            </w:r>
          </w:p>
        </w:tc>
        <w:tc>
          <w:tcPr>
            <w:tcW w:type="dxa" w:w="3000"/>
          </w:tcPr>
          <w:p>
            <w:pPr>
              <w:spacing w:after="40"/>
            </w:pPr>
            <w:r>
              <w:rPr>
                <w:sz w:val="19"/>
                <w:szCs w:val="19"/>
              </w:rPr>
              <w:t xml:space="preserve">CDC ops + Basis — design phase</w:t>
            </w:r>
          </w:p>
        </w:tc>
      </w:tr>
      <w:tr>
        <w:tc>
          <w:tcPr>
            <w:tcW w:type="dxa" w:w="900"/>
          </w:tcPr>
          <w:p>
            <w:pPr>
              <w:spacing w:after="40"/>
            </w:pPr>
            <w:r>
              <w:rPr>
                <w:sz w:val="19"/>
                <w:szCs w:val="19"/>
              </w:rPr>
              <w:t xml:space="preserve">OI-6</w:t>
            </w:r>
          </w:p>
        </w:tc>
        <w:tc>
          <w:tcPr>
            <w:tcW w:type="dxa" w:w="5460"/>
          </w:tcPr>
          <w:p>
            <w:pPr>
              <w:spacing w:after="40"/>
            </w:pPr>
            <w:r>
              <w:rPr>
                <w:sz w:val="19"/>
                <w:szCs w:val="19"/>
              </w:rPr>
              <w:t xml:space="preserve">Print form ownership; E008 keeps trigger only (CL-13)</w:t>
            </w:r>
          </w:p>
        </w:tc>
        <w:tc>
          <w:tcPr>
            <w:tcW w:type="dxa" w:w="3000"/>
          </w:tcPr>
          <w:p>
            <w:pPr>
              <w:spacing w:after="40"/>
            </w:pPr>
            <w:r>
              <w:rPr>
                <w:sz w:val="19"/>
                <w:szCs w:val="19"/>
              </w:rPr>
              <w:t xml:space="preserve">Forms workstream — design phase</w:t>
            </w:r>
          </w:p>
        </w:tc>
      </w:tr>
      <w:tr>
        <w:tc>
          <w:tcPr>
            <w:tcW w:type="dxa" w:w="900"/>
          </w:tcPr>
          <w:p>
            <w:pPr>
              <w:spacing w:after="40"/>
            </w:pPr>
            <w:r>
              <w:rPr>
                <w:sz w:val="19"/>
                <w:szCs w:val="19"/>
              </w:rPr>
              <w:t xml:space="preserve">OI-7</w:t>
            </w:r>
          </w:p>
        </w:tc>
        <w:tc>
          <w:tcPr>
            <w:tcW w:type="dxa" w:w="5460"/>
          </w:tcPr>
          <w:p>
            <w:pPr>
              <w:spacing w:after="40"/>
            </w:pPr>
            <w:r>
              <w:rPr>
                <w:sz w:val="19"/>
                <w:szCs w:val="19"/>
              </w:rPr>
              <w:t xml:space="preserve">Naming: app IDs, tiles, catalogs, service/BO names (FSD §3.2 placeholders); BPD Screen-attribute revision post-naming (CL-08)</w:t>
            </w:r>
          </w:p>
        </w:tc>
        <w:tc>
          <w:tcPr>
            <w:tcW w:type="dxa" w:w="3000"/>
          </w:tcPr>
          <w:p>
            <w:pPr>
              <w:spacing w:after="40"/>
            </w:pPr>
            <w:r>
              <w:rPr>
                <w:sz w:val="19"/>
                <w:szCs w:val="19"/>
              </w:rPr>
              <w:t xml:space="preserve">E008 + process team — before UAT training material</w:t>
            </w:r>
          </w:p>
        </w:tc>
      </w:tr>
      <w:tr>
        <w:tc>
          <w:tcPr>
            <w:tcW w:type="dxa" w:w="900"/>
          </w:tcPr>
          <w:p>
            <w:pPr>
              <w:spacing w:after="40"/>
            </w:pPr>
            <w:r>
              <w:rPr>
                <w:sz w:val="19"/>
                <w:szCs w:val="19"/>
              </w:rPr>
              <w:t xml:space="preserve">OI-8</w:t>
            </w:r>
          </w:p>
        </w:tc>
        <w:tc>
          <w:tcPr>
            <w:tcW w:type="dxa" w:w="5460"/>
          </w:tcPr>
          <w:p>
            <w:pPr>
              <w:spacing w:after="40"/>
            </w:pPr>
            <w:r>
              <w:rPr>
                <w:sz w:val="19"/>
                <w:szCs w:val="19"/>
              </w:rPr>
              <w:t xml:space="preserve">Verify corrected data-model mappings against target release/FPS (CL-06; §5.1)</w:t>
            </w:r>
          </w:p>
        </w:tc>
        <w:tc>
          <w:tcPr>
            <w:tcW w:type="dxa" w:w="3000"/>
          </w:tcPr>
          <w:p>
            <w:pPr>
              <w:spacing w:after="40"/>
            </w:pPr>
            <w:r>
              <w:rPr>
                <w:sz w:val="19"/>
                <w:szCs w:val="19"/>
              </w:rPr>
              <w:t xml:space="preserve">E008 dev lead — design phase</w:t>
            </w:r>
          </w:p>
        </w:tc>
      </w:tr>
    </w:tbl>
    <w:p>
      <w:pPr>
        <w:pStyle w:val="Heading1"/>
        <w:spacing w:after="160" w:before="280"/>
      </w:pPr>
      <w:r>
        <w:rPr>
          <w:b/>
          <w:bCs/>
          <w:color w:val="1F4E79"/>
          <w:sz w:val="30"/>
          <w:szCs w:val="30"/>
        </w:rPr>
        <w:t xml:space="preserve">13. Assumptions</w:t>
      </w:r>
    </w:p>
    <w:p>
      <w:pPr>
        <w:pStyle w:val="ListParagraph"/>
        <w:numPr>
          <w:ilvl w:val="0"/>
          <w:numId w:val="2"/>
        </w:numPr>
        <w:spacing w:after="60"/>
      </w:pPr>
      <w:r>
        <w:rPr>
          <w:sz w:val="21"/>
          <w:szCs w:val="21"/>
        </w:rPr>
        <w:t xml:space="preserve">All FSD assumptions carry forward (config prerequisites, BP migration, E006/E007 availability, fulfillment as-is).</w:t>
      </w:r>
    </w:p>
    <w:p>
      <w:pPr>
        <w:pStyle w:val="ListParagraph"/>
        <w:numPr>
          <w:ilvl w:val="0"/>
          <w:numId w:val="2"/>
        </w:numPr>
        <w:spacing w:after="60"/>
      </w:pPr>
      <w:r>
        <w:rPr>
          <w:sz w:val="21"/>
          <w:szCs w:val="21"/>
        </w:rPr>
        <w:t xml:space="preserve">The customer-validation sessions for the cockpit design will use interactive prototypes measured against the CRM_UI click baseline, not static mockups.</w:t>
      </w:r>
    </w:p>
    <w:p>
      <w:pPr>
        <w:pStyle w:val="ListParagraph"/>
        <w:numPr>
          <w:ilvl w:val="0"/>
          <w:numId w:val="2"/>
        </w:numPr>
        <w:spacing w:after="60"/>
      </w:pPr>
      <w:r>
        <w:rPr>
          <w:sz w:val="21"/>
          <w:szCs w:val="21"/>
        </w:rPr>
        <w:t xml:space="preserve">Delivery team ramp-up on RAP/EML and the OData V4 UI5 model is budgeted in the project plan; this is the acknowledged cost of AD-2/AD-3 and is judged smaller than the lifetime cost of a frozen-protocol or convention-enforced design.</w:t>
      </w:r>
    </w:p>
    <w:p>
      <w:pPr>
        <w:pStyle w:val="ListParagraph"/>
        <w:numPr>
          <w:ilvl w:val="0"/>
          <w:numId w:val="2"/>
        </w:numPr>
        <w:spacing w:after="60"/>
      </w:pPr>
      <w:r>
        <w:rPr>
          <w:sz w:val="21"/>
          <w:szCs w:val="21"/>
        </w:rPr>
        <w:t xml:space="preserve">No draft persistence (AD-5) is acceptable to the business because imperfect orders already persist via the soft-stop model; if the customer later requires cross-session in-progress carts, this decision is revisited as a scoped change.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2026-07-24T13:24:26.701Z</dcterms:created>
  <dcterms:modified xsi:type="dcterms:W3CDTF">2026-07-24T13:24:26.702Z</dcterms:modified>
</cp:coreProperties>
</file>

<file path=docProps/custom.xml><?xml version="1.0" encoding="utf-8"?>
<Properties xmlns="http://schemas.openxmlformats.org/officeDocument/2006/custom-properties" xmlns:vt="http://schemas.openxmlformats.org/officeDocument/2006/docPropsVTypes"/>
</file>