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4"/>
          <w:szCs w:val="34"/>
        </w:rPr>
        <w:t xml:space="preserve">CDC VTrckS Migration to S/4HANA — Enhancement E008</w:t>
      </w:r>
    </w:p>
    <w:p>
      <w:pPr>
        <w:spacing w:after="80"/>
      </w:pPr>
      <w:r>
        <w:rPr>
          <w:b/>
          <w:bCs/>
          <w:sz w:val="26"/>
          <w:szCs w:val="26"/>
        </w:rPr>
        <w:t xml:space="preserve">Mobilization Plan: Immediate Next Actions on Approach Acceptance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Status: DRAFT  ·  Prepared 07/24/2026  ·  Assumes formal acceptance by 07/31/2026; Week 1 (W1) begins 08/03/2026. Phase objective: close all design-blocking decisions, de-risk the highest-uncertainty technical pattern, validate the cockpit UX with real users, complete detailed technical specifications, and re-baseline the estimate — reaching a Build-Start gate in 6 weeks.</w:t>
      </w:r>
    </w:p>
    <w:p>
      <w:pPr>
        <w:pStyle w:val="Heading1"/>
        <w:spacing w:after="150" w:before="260"/>
      </w:pPr>
      <w:r>
        <w:rPr>
          <w:b/>
          <w:bCs/>
          <w:color w:val="1F4E79"/>
          <w:sz w:val="29"/>
          <w:szCs w:val="29"/>
        </w:rPr>
        <w:t xml:space="preserve">1. Decision Gates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000"/>
        <w:gridCol w:w="2000"/>
        <w:gridCol w:w="2600"/>
      </w:tblGrid>
      <w:tr>
        <w:trPr>
          <w:tblHeader/>
        </w:trPr>
        <w:tc>
          <w:tcPr>
            <w:tcW w:type="dxa" w:w="12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6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0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  <w:tc>
          <w:tcPr>
            <w:tcW w:type="dxa" w:w="20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6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 Body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Approach Acceptance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Solution spec direction endorsed; consistency-log dispositions accepted; mobilization resources committed; owners named for OI-1/2/3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by 07/31/2026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 leadership + CDC business owner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 Closure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dictionary and authorization concept signed; un-cancel and API-channel scope decided; technical specs approved; UX prototype validated (click-parity metric agreed); estimate re-baselined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end W6 (09/11/2026)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 authority + CDC business owner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Start</w:t>
            </w:r>
          </w:p>
        </w:tc>
        <w:tc>
          <w:tcPr>
            <w:tcW w:type="dxa" w:w="5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Detailed development plan approved; team fully staffed; environments/CI ready; funding confirmed against revised estimate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W7 (09/14/2026)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Project leadership</w:t>
            </w:r>
          </w:p>
        </w:tc>
      </w:tr>
    </w:tbl>
    <w:p>
      <w:pPr>
        <w:pStyle w:val="Heading1"/>
        <w:spacing w:after="150" w:before="260"/>
      </w:pPr>
      <w:r>
        <w:rPr>
          <w:b/>
          <w:bCs/>
          <w:color w:val="1F4E79"/>
          <w:sz w:val="29"/>
          <w:szCs w:val="29"/>
        </w:rPr>
        <w:t xml:space="preserve">2. Immediate Action Items (W1–W6)</w:t>
      </w:r>
    </w:p>
    <w:p>
      <w:pPr>
        <w:spacing w:after="120"/>
      </w:pPr>
      <w:r>
        <w:rPr>
          <w:sz w:val="19"/>
          <w:szCs w:val="19"/>
        </w:rPr>
        <w:t xml:space="preserve">Effort in person-days (PD). Items marked </w:t>
      </w:r>
      <w:r>
        <w:rPr>
          <w:b/>
          <w:bCs/>
          <w:color w:val="C00000"/>
          <w:sz w:val="19"/>
          <w:szCs w:val="19"/>
        </w:rPr>
        <w:t xml:space="preserve">BLOCKER</w:t>
      </w:r>
      <w:r>
        <w:rPr>
          <w:sz w:val="19"/>
          <w:szCs w:val="19"/>
        </w:rPr>
        <w:t xml:space="preserve"> gate the start of build (G3); they are sequenced first deliberately — in this phase, decisions are the critical path, not development.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0"/>
        <w:gridCol w:w="2650"/>
        <w:gridCol w:w="2500"/>
        <w:gridCol w:w="900"/>
        <w:gridCol w:w="1100"/>
        <w:gridCol w:w="150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5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65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5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 / Resources</w:t>
            </w:r>
          </w:p>
        </w:tc>
        <w:tc>
          <w:tcPr>
            <w:tcW w:type="dxa" w:w="9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1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Depends</w:t>
            </w:r>
          </w:p>
        </w:tc>
      </w:tr>
      <w:tr>
        <w:tc>
          <w:tcPr>
            <w:tcW w:type="dxa" w:w="14400"/>
            <w:gridSpan w:val="7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A. Governance &amp; Blocking Decisions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acceptance package: circulate Solution Spec + Consistency Log; close FSD open item (04/21); register CL-01…CL-14 in project RAID log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Signed G1 decision; RAID entries with owners/dates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Solution Architect (SA) + PMO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dictionary workshop and ratification (OI-1, CL-03): codes 1A–1G, names, meanings, transitions, set-by roles, user-selectable subset</w:t>
            </w:r>
          </w:p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  BLOCKER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Ratified status dictionary v1.0, referenced by E006/E008/BPD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 (lead), E006 functional lead, CDC business owner, process team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(across parties)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Authorization concept: draft 3-tier model, jurisdiction mapping (Grantee↔Sales Office), action-level restrictions; security review; sign-off (OI-3, CL-02)</w:t>
            </w:r>
          </w:p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  BLOCKER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authorization concept + PFCG role design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 (draft), Security lead (review), CDC ISSO as needed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W1–W3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A4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Un-cancel scope decision (OI-2, CL-01): joint session E006 + integration/EDI + CDC business; decide in/out; if in — confirm budget/SPC re-commitment rules, notification mechanism, audit-trail need</w:t>
            </w:r>
          </w:p>
          <w:p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  BLOCKER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Signed scope decision; CR if in-scope; estimate toggle set accordingly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SA, E006 lead, Integration lead, CDC business owner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W2–W3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A5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channel ownership (OI-4, CL-04): confirm RICE line, Status Service API ownership, comm-scenario approach; submit BPD correction for tasks -030/-050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Documented channel scope; corrected BPD taxonomy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Integration lead + SA + process team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W2–W3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A1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A6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Load &amp; performance figures (OI-5, CL-11): peak concurrency, seasonal order volumes, line-item stats, search volumes from CDC ops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Signed NFR inputs; search-projection strategy decision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PMO (collect), CDC ops, SA (derive strategy)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W2–W4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A7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Print/forms ownership (OI-6) and naming/launchpad model (OI-7): app IDs, service/BO names per RICE conventions, catalogs/tiles; schedule BPD training-reference revision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Naming register; launchpad content model; forms RACI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 + forms workstream + process team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W3–W4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A5</w:t>
            </w:r>
          </w:p>
        </w:tc>
      </w:tr>
      <w:tr>
        <w:tc>
          <w:tcPr>
            <w:tcW w:type="dxa" w:w="14400"/>
            <w:gridSpan w:val="7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B. Technical De-Risking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Technical spike: unmanaged RAP buffer over standard SD sales order API — create/update/read round-trip incl. partners, user status, one bound action; document the pattern  [strongly recommended before spec commit]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Working pattern PoC; estimate line 1.2 range narrowed; go/no-go on pattern variants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Senior RAP developer + SA (review)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 access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Environment readiness: dev system access for team, ADT/BAS tooling, transport routes, ATC/CI with S/4-readiness variants, comm-arrangement sandbox for API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Ready dev landscape; CI green on skeleton objects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Basis + Dev leads + PMO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W1–W3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Verify corrected data-model mappings on target release/FPS (OI-8, CL-06); confirm status-framework surfacing approach for field control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Confirmed mapping annex to tech spec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Senior RAP developer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</w:t>
            </w:r>
          </w:p>
        </w:tc>
      </w:tr>
      <w:tr>
        <w:tc>
          <w:tcPr>
            <w:tcW w:type="dxa" w:w="14400"/>
            <w:gridSpan w:val="7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C. UX Validation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Baseline measurement: record CRM_UI task flows with 2–3 power users; count interactions for standard order (header + line + IoH) — this number becomes the acceptance criterion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Documented click-parity baseline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UX designer + SA + CDC/Awardee pilot users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W1–W2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Cockpit wireframes → interactive prototype (single working surface, status-driven states, contact popup, IoH block)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Clickable prototype v1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UX designer (lead) + UI5 lead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W1–W4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C1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C3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 validation cycle 1 (walkthrough with pilot Awardee/CDC users); incorporate feedback; validation cycle 2; agree click-parity metric formally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Validated design; signed UX acceptance criterion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UX designer + SA + pilot users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W4–W6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C2</w:t>
            </w:r>
          </w:p>
        </w:tc>
      </w:tr>
      <w:tr>
        <w:tc>
          <w:tcPr>
            <w:tcW w:type="dxa" w:w="14400"/>
            <w:gridSpan w:val="7"/>
            <w:shd w:fill="F2F2F2" w:val="clear"/>
          </w:tcPr>
          <w:p>
            <w:pPr>
              <w:spacing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D. Detailed Technical Specifications &amp; Re-Baseline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technical spec: BO model, CDS views, behavior (validations/determinations/feature control/auth), all actions incl. matrix and E006 interfaces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backend tech spec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Senior RAP dev + SA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W3–W6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A2, A3, B1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Frontend technical spec: cockpit architecture, section components, value-help fragments, message/side-effect handling, 508 approach; List Report spec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frontend tech spec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UI5 lead + UX designer + SA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W4–W6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C2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technical spec: Web API binding, async contract (acceptance/correlation/status), auth mapping, consumer onboarding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API tech spec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Integration lead + Senior RAP dev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W4–W6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A5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D4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Estimate re-baseline: replace ROM with budgetary estimate from tech specs; retire 15% ROM contingency; set toggles per A4/A5 outcomes; update resource plan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Revised estimate + funding request for G3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 + PMO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D1–D3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D5</w:t>
            </w:r>
          </w:p>
        </w:tc>
        <w:tc>
          <w:tcPr>
            <w:tcW w:type="dxa" w:w="48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Detailed development plan (see §4) for G3 approval</w:t>
            </w:r>
          </w:p>
        </w:tc>
        <w:tc>
          <w:tcPr>
            <w:tcW w:type="dxa" w:w="265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Approved development plan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 + PMO + dev leads</w:t>
            </w:r>
          </w:p>
        </w:tc>
        <w:tc>
          <w:tcPr>
            <w:tcW w:type="dxa" w:w="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W5–W6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D1–D3</w:t>
            </w:r>
          </w:p>
        </w:tc>
      </w:tr>
    </w:tbl>
    <w:p>
      <w:pPr>
        <w:pStyle w:val="Heading1"/>
        <w:spacing w:after="150" w:before="260"/>
      </w:pPr>
      <w:r>
        <w:rPr>
          <w:b/>
          <w:bCs/>
          <w:color w:val="1F4E79"/>
          <w:sz w:val="29"/>
          <w:szCs w:val="29"/>
        </w:rPr>
        <w:t xml:space="preserve">3. Resource Loading (W1–W6)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9000"/>
      </w:tblGrid>
      <w:tr>
        <w:trPr>
          <w:tblHeader/>
        </w:trPr>
        <w:tc>
          <w:tcPr>
            <w:tcW w:type="dxa" w:w="32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  <w:tc>
          <w:tcPr>
            <w:tcW w:type="dxa" w:w="9000"/>
            <w:shd w:fill="1F4E79" w:val="clea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60–70%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Decision workshops (A2–A5), spec ownership and reviews, spike review, prototype validation, estimate re-baseline, development plan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Senior RAP Developer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Spike B1, data-model verification, backend tech spec, API spec support — staffing an experienced RAP lead here is what retires the 10% ramp-up lever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SAPUI5 Lead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Prototype build with UX, frontend tech spec, environment/tooling for UI stack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UX Designer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Baseline measurement, wireframes/prototype, validation cycles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E006 Functional Lead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~15%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Status dictionary, un-cancel rules, validation interface contract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Integration Lead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~15%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API/Status-Service ownership, EDI touchpoints for un-cancel, comm scenarios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Authorization concept review and sign-off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Basis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~10%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Environments, transports, CI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PMO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~20%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RAID, gate logistics, load-figure collection, funding package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CDC business owner / pilot users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workshops + 2 validation sessions</w:t>
            </w:r>
          </w:p>
        </w:tc>
        <w:tc>
          <w:tcPr>
            <w:tcW w:type="dxa" w:w="90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Decisions A2/A4; prototype validation C3 — their calendar availability is a genuine schedule risk; book sessions in W1</w:t>
            </w:r>
          </w:p>
        </w:tc>
      </w:tr>
    </w:tbl>
    <w:p>
      <w:pPr>
        <w:spacing w:after="120"/>
      </w:pPr>
      <w:r>
        <w:rPr>
          <w:i/>
          <w:iCs/>
          <w:sz w:val="19"/>
          <w:szCs w:val="19"/>
        </w:rPr>
        <w:t xml:space="preserve">Full build team (2 RAP + 2 UI5 + shared QA) onboards at G3 / W7. Note the phase is decision-heavy: total consultant effort ≈ 45–55 PD across six weeks — small spend, large de-risking.</w:t>
      </w:r>
    </w:p>
    <w:p>
      <w:pPr>
        <w:pStyle w:val="Heading1"/>
        <w:spacing w:after="150" w:before="260"/>
      </w:pPr>
      <w:r>
        <w:rPr>
          <w:b/>
          <w:bCs/>
          <w:color w:val="1F4E79"/>
          <w:sz w:val="29"/>
          <w:szCs w:val="29"/>
        </w:rPr>
        <w:t xml:space="preserve">4. Detailed Development Plan — Required Content (produced in D5, approved at G3)</w:t>
      </w:r>
    </w:p>
    <w:p>
      <w:pPr>
        <w:spacing w:after="120"/>
      </w:pPr>
      <w:r>
        <w:rPr>
          <w:sz w:val="21"/>
          <w:szCs w:val="21"/>
        </w:rPr>
        <w:t xml:space="preserve">On formal acceptance, the development plan is built from the technical specs and must contain, at minimum: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Scope refinement &amp; finalization: </w:t>
      </w:r>
      <w:r>
        <w:rPr>
          <w:sz w:val="21"/>
          <w:szCs w:val="21"/>
        </w:rPr>
        <w:t xml:space="preserve">per-FR scope confirmation against the ratified status dictionary and signed authorization concept; disposition of every estimate toggle (un-cancel, API channel); formal change-control baseline of FR-01…FR-12 so post-G3 additions are CRs, not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Estimate refinement: </w:t>
      </w:r>
      <w:r>
        <w:rPr>
          <w:sz w:val="21"/>
          <w:szCs w:val="21"/>
        </w:rPr>
        <w:t xml:space="preserve">re-baseline from ROM (−25/+75%) to budgetary class using tech-spec detail and B1 spike results; retire the 15% ROM contingency; publish per-sprint burn expectations; define the re-estimation trigger (any CR &gt; 5 PD or any gate slip &gt; 2 weeks).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Build sequencing: </w:t>
      </w:r>
      <w:r>
        <w:rPr>
          <w:sz w:val="21"/>
          <w:szCs w:val="21"/>
        </w:rPr>
        <w:t xml:space="preserve">backend-first with early service stubs so the cockpit consumes real metadata from sprint 2; indicative 2-week sprints — S1–S2 BO core + CRUD, S3–S4 feature control/auth + first actions, S3–S6 cockpit sections, S4 List Report, S5–S6 remaining actions + value helps, S6–S7 API binding, S7–S8 hardening. Early-ship option: search/display can UAT ahead of the full cockpit.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Test strategy &amp; calendar: </w:t>
      </w:r>
      <w:r>
        <w:rPr>
          <w:sz w:val="21"/>
          <w:szCs w:val="21"/>
        </w:rPr>
        <w:t xml:space="preserve">EML unit gates per backend sprint; OPA5/QUnit per UI sprint; FUT scenarios 1–25 mapped to sprints; SIT window with E006/E007/EDI (un-cancel/ASN is cross-object — reserve SIT capacity); UAT with pilot users incl. 508 verification and the click-parity measurement (Test 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Governance: </w:t>
      </w:r>
      <w:r>
        <w:rPr>
          <w:sz w:val="21"/>
          <w:szCs w:val="21"/>
        </w:rPr>
        <w:t xml:space="preserve">entry/exit criteria per sprint and gate; RAID carry-over from the consistency log; escalation path for E006 interface slippage (the top external dependency).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2026-07-24T15:00:48.244Z</dcterms:created>
  <dcterms:modified xsi:type="dcterms:W3CDTF">2026-07-24T15:00:48.244Z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