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Life Command Center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Unified Property Detail Page</w:t>
      </w:r>
    </w:p>
    <w:p>
      <w:pPr>
        <w:pBdr>
          <w:bottom w:val="single" w:color="1F4E79" w:sz="6"/>
        </w:pBdr>
        <w:spacing w:after="60"/>
        <w:jc w:val="center"/>
      </w:pPr>
      <w:r>
        <w:rPr>
          <w:color w:val="666666"/>
          <w:sz w:val="28"/>
          <w:szCs w:val="28"/>
        </w:rPr>
        <w:t xml:space="preserve">Architecture &amp; Implementation Specification</w:t>
      </w:r>
    </w:p>
    <w:p>
      <w:pPr>
        <w:spacing w:before="400"/>
      </w:pPr>
    </w:p>
    <w:p>
      <w:pPr>
        <w:jc w:val="center"/>
      </w:pPr>
      <w:r>
        <w:rPr>
          <w:color w:val="888888"/>
          <w:sz w:val="24"/>
          <w:szCs w:val="24"/>
        </w:rPr>
        <w:t xml:space="preserve">Version 1.0  |  March 14, 2026</w:t>
      </w:r>
    </w:p>
    <w:p>
      <w:pPr>
        <w:spacing w:after="100"/>
        <w:jc w:val="center"/>
      </w:pPr>
      <w:r>
        <w:rPr>
          <w:color w:val="888888"/>
          <w:sz w:val="24"/>
          <w:szCs w:val="24"/>
        </w:rPr>
        <w:t xml:space="preserve">Prepared for Scott Briggs  |  NorthMarq Net Lease</w:t>
      </w:r>
    </w:p>
    <w:p>
      <w:pPr>
        <w:spacing w:before="2000"/>
      </w:pPr>
    </w:p>
    <w:p>
      <w:pPr>
        <w:spacing w:after="80"/>
        <w:jc w:val="center"/>
      </w:pPr>
      <w:r>
        <w:rPr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defines the architecture for a unified Property Detail Page within the Life Command Center (LCC). Today, clicking a property record in different tabs (Government Overview, Pipeline, Ownership, Dialysis Inventory, Search) opens different detail layouts with inconsistent data, labels, and sections. This spec standardizes every property click into a single, consistent experience.</w:t>
      </w:r>
    </w:p>
    <w:p>
      <w:pPr>
        <w:spacing w:after="120"/>
      </w:pPr>
      <w:r>
        <w:rPr>
          <w:sz w:val="22"/>
          <w:szCs w:val="22"/>
        </w:rPr>
        <w:t xml:space="preserve">The unified page will be titled with the pattern Tenant – City, State (e.g., “SSA – Fort Worth, TX” or “Davita – Plano, TX”) and will present five consistent sections regardless of whether the property originates from the Government or Dialysis database.</w:t>
      </w:r>
    </w:p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Key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Database-level normalization: Clean data once in Supabase views, display clean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Consistent layout: Same five sections for every property, regardless of source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CRM integration: Salesforce call history, open activities, and call logging via Power Automate (SSO workaround)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ownership chain: Every owner back to original developer, with listing and loan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Operational intelligence: Patient/revenue metrics with county, state, and national rankings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2. Current State Assessment</w:t>
      </w:r>
    </w:p>
    <w:p>
      <w:pPr>
        <w:pStyle w:val="Heading2"/>
        <w:spacing w:after="120" w:before="300"/>
      </w:pPr>
      <w:r>
        <w:rPr>
          <w:b/>
          <w:bCs/>
        </w:rPr>
        <w:t xml:space="preserve">2.1 What Exists Today</w:t>
      </w:r>
    </w:p>
    <w:p>
      <w:pPr>
        <w:spacing w:after="120"/>
      </w:pPr>
      <w:r>
        <w:rPr>
          <w:sz w:val="22"/>
          <w:szCs w:val="22"/>
        </w:rPr>
        <w:t xml:space="preserve">The LCC has two Supabase projects with rich but underutilized schemas:</w:t>
      </w:r>
    </w:p>
    <w:p>
      <w:pPr>
        <w:pStyle w:val="Heading3"/>
        <w:spacing w:after="120" w:before="300"/>
      </w:pPr>
      <w:r>
        <w:rPr>
          <w:b/>
          <w:bCs/>
        </w:rPr>
        <w:t xml:space="preserve">Government DB (scknotsqkcheojiaewwh)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Tables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82 tables and views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Key Tables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properties, leases, lease_escalations, loans, sales_transactions, ownership_history, contacts, recorded_owners, true_owners, prospect_leads, available_listings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Salesforce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sf_sync_log (sync tracking only – no task/activity tables)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Rich Data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NOI, expenses, investment scores, deal grades, flood zones, workforce trends, agency risk signals</w:t>
            </w:r>
          </w:p>
        </w:tc>
      </w:tr>
    </w:tbl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Dialysis DB (zqzrriwuavgrquhisnoa)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Tables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160+ tables and views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Key Tables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properties, medicare_clinics, leases, lease_escalations, loans, sales_transactions, ownership_history, operators, guarantors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Salesforce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salesforce_tasks, salesforce_contacts, salesforce_accounts, salesforce_activities (full CRM data via Power Automate)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CRM Tables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call_outcomes, touchpoint_schedule, outbound_activities, contacts (with SF sync fields)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Rich Data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Patient counts, TTM revenue/costs/profit, payer mix, QIP scores, star ratings, capacity utilization, treatment counts, operator rollups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</w:rPr>
        <w:t xml:space="preserve">2.2 Current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Inconsistent detail views: Clicking a property in Ownership shows different fields than Pipeline or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Raw DB labels: Values like “gsa_new_award”, “missing_inventory_npi” displayed directly to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Client-side normalization only: norm()/cleanLabel() applied per-function, easy to miss spots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Shallow data: Detail panels show ~8 fields when the DB has 50+ per property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CRM integration: Salesforce data exists in Dia DB but isn’t surfaced in detail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loan/ownership chain: Only shows current ownership transfer, not full history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3. Unified Property Detail Page</w:t>
      </w:r>
    </w:p>
    <w:p>
      <w:pPr>
        <w:pStyle w:val="Heading2"/>
        <w:spacing w:after="120" w:before="300"/>
      </w:pPr>
      <w:r>
        <w:rPr>
          <w:b/>
          <w:bCs/>
        </w:rPr>
        <w:t xml:space="preserve">3.1 Page Title Format</w:t>
      </w:r>
    </w:p>
    <w:p>
      <w:pPr>
        <w:spacing w:after="120"/>
      </w:pPr>
      <w:r>
        <w:rPr>
          <w:sz w:val="22"/>
          <w:szCs w:val="22"/>
        </w:rPr>
        <w:t xml:space="preserve">Every property detail page will use a consistent title:</w:t>
      </w:r>
    </w:p>
    <w:p>
      <w:pPr>
        <w:shd w:fill="F0F4F8" w:val="clear"/>
        <w:spacing w:after="120" w:before="120"/>
        <w:jc w:val="center"/>
      </w:pPr>
      <w:r>
        <w:rPr>
          <w:b/>
          <w:bCs/>
          <w:color w:val="1F4E79"/>
          <w:sz w:val="30"/>
          <w:szCs w:val="30"/>
        </w:rPr>
        <w:t xml:space="preserve">  {Tenant} – {City}, {State}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Government example: </w:t>
      </w:r>
      <w:r>
        <w:rPr>
          <w:sz w:val="22"/>
          <w:szCs w:val="22"/>
        </w:rPr>
        <w:t xml:space="preserve">“SSA – Fort Worth, TX”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Dialysis example: </w:t>
      </w:r>
      <w:r>
        <w:rPr>
          <w:sz w:val="22"/>
          <w:szCs w:val="22"/>
        </w:rPr>
        <w:t xml:space="preserve">“Davita – Plano, TX”</w:t>
      </w:r>
    </w:p>
    <w:p>
      <w:pPr>
        <w:spacing w:after="120"/>
      </w:pPr>
      <w:r>
        <w:rPr>
          <w:sz w:val="22"/>
          <w:szCs w:val="22"/>
        </w:rPr>
        <w:t xml:space="preserve">If no tenant is known, fall back to address: “1234 Main St – Dallas, TX”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</w:rPr>
        <w:t xml:space="preserve">3.2 Section Tabs</w:t>
      </w:r>
    </w:p>
    <w:p>
      <w:pPr>
        <w:spacing w:after="120"/>
      </w:pPr>
      <w:r>
        <w:rPr>
          <w:sz w:val="22"/>
          <w:szCs w:val="22"/>
        </w:rPr>
        <w:t xml:space="preserve">Five tabs, always in this order, always present (sections show “No data available” rather than being hidden):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Data 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Physical asset details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properties, medicare_clinics, frpp_records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Tenant, term, rent, escalations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leases, lease_escalations, gsa_snapshots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Performance metrics + rankings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medicare_clinics, facility_patient_counts, clinic_financial_estimates, operators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 + CRM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Current owner, contacts, SF activity, call logging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true_owners, contacts, salesforce_tasks, salesforce_activities, call_outcomes, touchpoint_schedule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Full ownership chain, sales, listings, loans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ownership_history, sales_transactions, available_listings, listing_price_history, loans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</w:rPr>
        <w:t xml:space="preserve">3.3 Tab 1: Property</w:t>
      </w:r>
    </w:p>
    <w:p>
      <w:pPr>
        <w:spacing w:after="120"/>
      </w:pPr>
      <w:r>
        <w:rPr>
          <w:sz w:val="22"/>
          <w:szCs w:val="22"/>
        </w:rPr>
        <w:t xml:space="preserve">Physical characteristics of the asset. Data comes from the properties table joined with medicare_clinics (for dialysis) or frpp_records (for government).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properties.address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norm()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City, State, Zip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properties.city/state/zip_code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properties.city/state/zip_code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norm(city)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County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properties.county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medicare_clinics.county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Building Size (SF)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properties.rba or sf_leased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properties.building_size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Land Size (Acres)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properties.land_acres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properties.land_area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Single/Multi-Tenant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properties.gov_occupancy_pct (100% = single)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properties.is_single_tenant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Bool or calculated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Year Built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properties.year_built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properties.year_built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Year Renovated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properties.year_renovated (from prospect_leads)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properties.year_renovated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If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Building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properties.building_type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properties.property_type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cleanLabel()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No. of Chairs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medicare_clinics.number_of_chairs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Dialysis-specific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No. of Stations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medicare_clinics.stations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Dialysis-specific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Parking Spaces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properties.parking_space_count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If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Parking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properties.parking_ratio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Per 1,000 SF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Lat/Long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properties.latitude/longitude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medicare_clinics.latitude/longitude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 map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Flood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properties.flood_zone_desc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Gov-specific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properties.building_condition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properties.property_condition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</w:rPr>
        <w:t xml:space="preserve">3.4 Tab 2: Lease</w:t>
      </w:r>
    </w:p>
    <w:p>
      <w:pPr>
        <w:spacing w:after="120"/>
      </w:pPr>
      <w:r>
        <w:rPr>
          <w:sz w:val="22"/>
          <w:szCs w:val="22"/>
        </w:rPr>
        <w:t xml:space="preserve">Active lease details plus escalation history. For government, the leases table has rich GSA data. For dialysis, lease data may be partially populated from ingestion or manual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 Source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 Source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leases.tenant_agency_full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leases.tenant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norm()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Guarantor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leases.representing_agency / government_type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guarantors.guarantor_name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Gov = agency; Dia = guarantors table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Guarantor Credit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 (Gov = full faith &amp; credit)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guarantors.credit_rating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Original Commencement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leases.commencement_date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leases.lease_start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Original Occupancy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leases.original_occupancy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First move-in date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Last Extension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Derived from lease_escalations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Derived from lease_escalations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Most recent escalation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No. of Extensions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leases.num_renewals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Count from lease_escalations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Current Expiration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leases.expiration_date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leases.lease_expiration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Initial Lease Term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leases.firm_term_years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Calculated from start/expiration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Years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Total Term (w/ Options)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leases.total_term_years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leases.renewal_options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Term Remaining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properties.term_remaining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Calculated from expiration – today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Auto-calculated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Current Annual Rent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leases.annual_rent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leases.rent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fmt()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Rent / SF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leases.rent_psf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leases.rent_per_sf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Escalations / Bumps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leases.rent_escalations + lease_escalations table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lease_escalations 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Show schedule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Expense Structure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leases.expense_structure / properties.expenses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leases.expense_structure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NNN, Gross, Modified Gross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Renewal Options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leases.renewal_options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leases.renewal_option_text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Lease Structure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properties.lease_structure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3"/>
        <w:spacing w:after="120" w:before="300"/>
      </w:pPr>
      <w:r>
        <w:rPr>
          <w:b/>
          <w:bCs/>
        </w:rPr>
        <w:t xml:space="preserve">Escalation Sub-Table</w:t>
      </w:r>
    </w:p>
    <w:p>
      <w:pPr>
        <w:spacing w:after="120"/>
      </w:pPr>
      <w:r>
        <w:rPr>
          <w:sz w:val="22"/>
          <w:szCs w:val="22"/>
        </w:rPr>
        <w:t xml:space="preserve">Below the lease summary, render a sub-table from lease_escalations showing the rent step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Rent/SF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Increase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2020-01-01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$245,000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$18.50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2021-01-01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$251,125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$18.96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2022-01-01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$257,403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$19.43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2.5%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</w:rPr>
        <w:t xml:space="preserve">3.5 Tab 3: Operations</w:t>
      </w:r>
    </w:p>
    <w:p>
      <w:pPr>
        <w:spacing w:after="120"/>
      </w:pPr>
      <w:r>
        <w:rPr>
          <w:sz w:val="22"/>
          <w:szCs w:val="22"/>
        </w:rPr>
        <w:t xml:space="preserve">Operational performance metrics. This section is richest for dialysis properties (patient volumes, revenue, payer mix) and thinner for government (workforce signals, hiring, agency risk). For both, we include rankings.</w:t>
      </w:r>
    </w:p>
    <w:p>
      <w:pPr>
        <w:pStyle w:val="Heading3"/>
        <w:spacing w:after="120" w:before="300"/>
      </w:pPr>
      <w:r>
        <w:rPr>
          <w:b/>
          <w:bCs/>
        </w:rPr>
        <w:t xml:space="preserve">Dialysis Operations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operators.name (via medicare_clinics.operator_id)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norm()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Chain Organization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medicare_clinics.chain_organization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Parent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Total Patients (Current)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medicare_clinics.latest_estimated_patients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Patients Last Year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medicare_clinics.patients_last_year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Patients 2 Years Ago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medicare_clinics.patients_two_years_ago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3-Year Patient Trend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medicare_clinics.patient_trend_3yr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pct()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Max Capacity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medicare_clinics.max_patient_capacity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Capacity Utilization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medicare_clinics.capacity_utilization_pct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pct()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TTM Revenue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medicare_clinics.ttm_revenue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TTM Operating Costs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medicare_clinics.ttm_operating_costs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TTM Operating Profit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medicare_clinics.ttm_operating_profit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TTM Operating Margin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medicare_clinics.ttm_operating_margin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pct()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TTM Total Treatments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medicare_clinics.ttm_total_treatments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 Treatments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medicare_clinics.ttm_medicare_treatments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Commercial Treatments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medicare_clinics.ttm_commercial_treatments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Payer Mix: Medicare 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medicare_clinics.payer_mix_medicare_pct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pct()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Payer Mix: Medicaid 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medicare_clinics.payer_mix_medicaid_pct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pct()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Payer Mix: Private 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medicare_clinics.payer_mix_private_pct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pct()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Star Rating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medicare_clinics.star_rating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1-5 stars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QIP 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qip_scores (joined)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Quality Incentive 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Deficiency 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medicare_clinics.deficiency_count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Profit/Nonprofit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medicare_clinics.profit_nonprofit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Rankings Sub-Section</w:t>
      </w:r>
    </w:p>
    <w:p>
      <w:pPr>
        <w:spacing w:after="120"/>
      </w:pPr>
      <w:r>
        <w:rPr>
          <w:sz w:val="22"/>
          <w:szCs w:val="22"/>
        </w:rPr>
        <w:t xml:space="preserve">For each property, show comparative rankings calculated from the full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County Rank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Rank by patients within same county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#3 of 12 in Dallas County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State Rank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Rank by patients within same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#45 of 340 in Texas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National Rank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Rank by patients across all clinics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#234 of 7,800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Operator Rank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Rank within same operator’s portfolio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#12 of 89 DaVita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Revenue Rank (State)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Rank by TTM revenue within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#18 of 340 in Texas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Rankings should be computed as Supabase SQL views (window functions) for performance.</w:t>
      </w:r>
    </w:p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Government Operations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properties.agency_full_name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Government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properties.government_type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Federal, State,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Federal Employee 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properties.federal_employee_count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OPM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OPM Headcount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properties.opm_headcount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Workforce Trend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properties.workforce_trend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Growing/Stable/Declining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Hiring Signal 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properties.hiring_signal_count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USAJobs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Agency Risk 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properties.agency_risk_level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Utilization 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properties.utilization_status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Investment Score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properties.investment_score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Deal Grade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properties.deal_grade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A/B/C/D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Total Federal Investment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properties.total_federal_investment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Location Tier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properties.location_tier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1-4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b/>
          <w:bCs/>
        </w:rPr>
        <w:t xml:space="preserve">3.6 Tab 4: Ownership + CRM</w:t>
      </w:r>
    </w:p>
    <w:p>
      <w:pPr>
        <w:spacing w:after="120"/>
      </w:pPr>
      <w:r>
        <w:rPr>
          <w:sz w:val="22"/>
          <w:szCs w:val="22"/>
        </w:rPr>
        <w:t xml:space="preserve">This is the CRM hub for each property. It combines current ownership data with Salesforce activity history and enables new outreach directly from the LCC.</w:t>
      </w:r>
    </w:p>
    <w:p>
      <w:pPr>
        <w:pStyle w:val="Heading3"/>
        <w:spacing w:after="120" w:before="300"/>
      </w:pPr>
      <w:r>
        <w:rPr>
          <w:b/>
          <w:bCs/>
        </w:rPr>
        <w:t xml:space="preserve">Current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Recorded Owner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recorded_owners.name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recorded_owners.name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 Owner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true_owners.entity_type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true_owners.owner_type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Entity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true_owners.state / recorded_owners.state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Principal Names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ownership_history.principal_names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true_owners.contact_1_name, contact_2_name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ownership_history.recorded_owner_address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true_owners.notice_address_1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City,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Parsed from address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true_owners.city,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ownership_history.recorded_owner_phone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contacts.contact_phone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prospect_leads.contact_email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contacts.contact_email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prospect_leads.sf_contact_id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true_owners.salesforce_id / sf_company_id</w:t>
            </w:r>
          </w:p>
        </w:tc>
      </w:tr>
    </w:tbl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Salesforce Activity Feed</w:t>
      </w:r>
    </w:p>
    <w:p>
      <w:pPr>
        <w:spacing w:after="120"/>
      </w:pPr>
      <w:r>
        <w:rPr>
          <w:sz w:val="22"/>
          <w:szCs w:val="22"/>
        </w:rPr>
        <w:t xml:space="preserve">Pull from salesforce_activities (Dia DB) matched by sf_contact_id or sf_company_id. For Gov, match via prospect_leads.sf_contact_id cross-referenced to Dia DB salesforce tables. Display as a reverse-chronological activity feed: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salesforce_activities.nm_type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Call, Email, Meeting,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salesforce_activities.subject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Activity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salesforce_activities.activity_date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Formatted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Assigned 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salesforce_activities.assigned_to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NorthMarq team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salesforce_activities.nm_notes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Truncated with expand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salesforce_activities.status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Open/Completed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Contact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Joined: first_name + last_name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From salesforce_activities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salesforce_activities.company_name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Salesforce Open Tasks</w:t>
      </w:r>
    </w:p>
    <w:p>
      <w:pPr>
        <w:spacing w:after="120"/>
      </w:pPr>
      <w:r>
        <w:rPr>
          <w:sz w:val="22"/>
          <w:szCs w:val="22"/>
        </w:rPr>
        <w:t xml:space="preserve">Pull from salesforce_tasks where status != ‘Completed’ and who_id or what_id matches the contact/account: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salesforce_tasks.subject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Task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salesforce_tasks.priority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High/Normal/Low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Due 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salesforce_tasks.activity_date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salesforce_tasks.status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Related 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salesforce_tasks.what_name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Account/Opportunity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salesforce_tasks.who_name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Call Logging</w:t>
      </w:r>
    </w:p>
    <w:p>
      <w:pPr>
        <w:spacing w:after="120"/>
      </w:pPr>
      <w:r>
        <w:rPr>
          <w:sz w:val="22"/>
          <w:szCs w:val="22"/>
        </w:rPr>
        <w:t xml:space="preserve">In-app form that writes to the call_outcomes table (Dia DB).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 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call_outcomes.call_date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Date picker (default: today)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Outcome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call_outcomes.outcome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Dropdown: Connected, Left VM, No Answer, Wrong Number, Email Sent, Meeting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call_outcomes.notes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 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call_outcomes.next_step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call_outcomes.team_member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Auto: Scott Briggs</w:t>
            </w:r>
          </w:p>
        </w:tc>
      </w:tr>
    </w:tbl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Email Touchpoint Templates</w:t>
      </w:r>
    </w:p>
    <w:p>
      <w:pPr>
        <w:spacing w:after="120"/>
      </w:pPr>
      <w:r>
        <w:rPr>
          <w:sz w:val="22"/>
          <w:szCs w:val="22"/>
        </w:rPr>
        <w:t xml:space="preserve">A “Draft Email” button that opens a template selector. Templates will be stored in a new email_templates table (or the existing bd_email_templates in Dia DB). Template types to be defined later by Scott: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Initial outreach / introduction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Listing presentation follow-up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 update / comp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Lease expiration reminder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Ownership change congratulations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 / free-form</w:t>
      </w:r>
    </w:p>
    <w:p>
      <w:pPr>
        <w:spacing w:after="120"/>
      </w:pPr>
      <w:r>
        <w:rPr>
          <w:sz w:val="22"/>
          <w:szCs w:val="22"/>
        </w:rPr>
        <w:t xml:space="preserve">Each template will auto-populate: owner name, property address, tenant, key metrics from the property record.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</w:rPr>
        <w:t xml:space="preserve">3.7 Tab 5: History</w:t>
      </w:r>
    </w:p>
    <w:p>
      <w:pPr>
        <w:spacing w:after="120"/>
      </w:pPr>
      <w:r>
        <w:rPr>
          <w:sz w:val="22"/>
          <w:szCs w:val="22"/>
        </w:rPr>
        <w:t xml:space="preserve">Complete property transaction history from original development to present day. Three sub-sections displayed vertically.</w:t>
      </w:r>
    </w:p>
    <w:p>
      <w:pPr>
        <w:pStyle w:val="Heading3"/>
        <w:spacing w:after="120" w:before="300"/>
      </w:pPr>
      <w:r>
        <w:rPr>
          <w:b/>
          <w:bCs/>
        </w:rPr>
        <w:t xml:space="preserve">Ownership Chain</w:t>
      </w:r>
    </w:p>
    <w:p>
      <w:pPr>
        <w:spacing w:after="120"/>
      </w:pPr>
      <w:r>
        <w:rPr>
          <w:sz w:val="22"/>
          <w:szCs w:val="22"/>
        </w:rPr>
        <w:t xml:space="preserve">Full reverse-chronological list from ownership_history, linked by property_id: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Transfer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ownership_history.transfer_date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ownership_history.ownership_start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From (Seller)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ownership_history.prior_owner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Derived from previous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 (Buyer)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ownership_history.new_owner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Derived from owner_id join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 Price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ownership_history.sale_price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ownership_history.sold_price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ownership_history.cap_rate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ownership_history.cap_rate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Developer (Original)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sales_transactions.developer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properties.developer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ownership_history.data_source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ownership_history.ownership_source</w:t>
            </w:r>
          </w:p>
        </w:tc>
      </w:tr>
    </w:tbl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Listing History</w:t>
      </w:r>
    </w:p>
    <w:p>
      <w:pPr>
        <w:spacing w:after="120"/>
      </w:pPr>
      <w:r>
        <w:rPr>
          <w:sz w:val="22"/>
          <w:szCs w:val="22"/>
        </w:rPr>
        <w:t xml:space="preserve">From available_listings + listing_price_history (Gov) or listing_snapshots + listing_price_history (Dia):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Listed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on_market_date / listing_date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Initial 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initial_price / asking_price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fmt()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Initial Cap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initial_cap_rate / asking_cap_rate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pct()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Final 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last_price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If price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Days on Market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days_on_market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Listing Broker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listing_broker / listing_broker_name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listing_status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cleanLabel()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Price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listing_price_history 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Timeline of adjustments</w:t>
            </w:r>
          </w:p>
        </w:tc>
      </w:tr>
    </w:tbl>
    <w:p>
      <w:pPr>
        <w:spacing w:before="200"/>
      </w:pPr>
    </w:p>
    <w:p>
      <w:pPr>
        <w:pStyle w:val="Heading3"/>
        <w:spacing w:after="120" w:before="300"/>
      </w:pPr>
      <w:r>
        <w:rPr>
          <w:b/>
          <w:bCs/>
        </w:rPr>
        <w:t xml:space="preserve">Loan History</w:t>
      </w:r>
    </w:p>
    <w:p>
      <w:pPr>
        <w:spacing w:after="120"/>
      </w:pPr>
      <w:r>
        <w:rPr>
          <w:sz w:val="22"/>
          <w:szCs w:val="22"/>
        </w:rPr>
        <w:t xml:space="preserve">From loans table, joined by property_id: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 Source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Lender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loans.lender_id → lenders.name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loans.lender_name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 Amount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loans.loan_amount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loans.loan_amount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Current 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loans.loan_balance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loans.current_balance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loans.interest_rate + rate_type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loans.interest_rate_text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Origination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loans.origination_date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loans.origination_date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Maturity 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loans.maturity_date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loans.maturity_date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loans.ltv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loans.loan_to_value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DSCR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loans.dscr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loans.loan_type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loans.loan_type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loans.alert_flag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Prepayment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loans.prepayment_type + 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Assumable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loans.assumption_allowed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4. Database-Level Normalization</w:t>
      </w:r>
    </w:p>
    <w:p>
      <w:pPr>
        <w:pStyle w:val="Heading2"/>
        <w:spacing w:after="120" w:before="300"/>
      </w:pPr>
      <w:r>
        <w:rPr>
          <w:b/>
          <w:bCs/>
        </w:rPr>
        <w:t xml:space="preserve">4.1 Strategy: Supabase Views</w:t>
      </w:r>
    </w:p>
    <w:p>
      <w:pPr>
        <w:spacing w:after="120"/>
      </w:pPr>
      <w:r>
        <w:rPr>
          <w:sz w:val="22"/>
          <w:szCs w:val="22"/>
        </w:rPr>
        <w:t xml:space="preserve">Instead of normalizing in JavaScript (the current norm()/cleanLabel() approach), we create unified Supabase views that handle all text normalization, field mapping, and cross-table joins. The frontend simply reads from these views.</w:t>
      </w:r>
    </w:p>
    <w:p>
      <w:pPr>
        <w:pStyle w:val="Heading2"/>
        <w:spacing w:after="120" w:before="300"/>
      </w:pPr>
      <w:r>
        <w:rPr>
          <w:b/>
          <w:bCs/>
        </w:rPr>
        <w:t xml:space="preserve">4.2 Proposed Unified Views</w:t>
      </w:r>
    </w:p>
    <w:p>
      <w:pPr>
        <w:pStyle w:val="Heading3"/>
        <w:spacing w:after="120" w:before="300"/>
      </w:pPr>
      <w:r>
        <w:rPr>
          <w:b/>
          <w:bCs/>
        </w:rPr>
        <w:t xml:space="preserve">v_property_detail</w:t>
      </w:r>
    </w:p>
    <w:p>
      <w:pPr>
        <w:spacing w:after="120"/>
      </w:pPr>
      <w:r>
        <w:rPr>
          <w:sz w:val="22"/>
          <w:szCs w:val="22"/>
        </w:rPr>
        <w:t xml:space="preserve">Master view joining properties + leases + medicare_clinics. One row per property with all Property tab fields pre-normalized. Created in both databases.</w:t>
      </w:r>
    </w:p>
    <w:p>
      <w:pPr>
        <w:pStyle w:val="Heading3"/>
        <w:spacing w:after="120" w:before="300"/>
      </w:pPr>
      <w:r>
        <w:rPr>
          <w:b/>
          <w:bCs/>
        </w:rPr>
        <w:t xml:space="preserve">v_lease_detail</w:t>
      </w:r>
    </w:p>
    <w:p>
      <w:pPr>
        <w:spacing w:after="120"/>
      </w:pPr>
      <w:r>
        <w:rPr>
          <w:sz w:val="22"/>
          <w:szCs w:val="22"/>
        </w:rPr>
        <w:t xml:space="preserve">Joins leases + lease_escalations. Includes computed fields: term_remaining, num_extensions (count of escalations), last_extension_date.</w:t>
      </w:r>
    </w:p>
    <w:p>
      <w:pPr>
        <w:pStyle w:val="Heading3"/>
        <w:spacing w:after="120" w:before="300"/>
      </w:pPr>
      <w:r>
        <w:rPr>
          <w:b/>
          <w:bCs/>
        </w:rPr>
        <w:t xml:space="preserve">v_ownership_current</w:t>
      </w:r>
    </w:p>
    <w:p>
      <w:pPr>
        <w:spacing w:after="120"/>
      </w:pPr>
      <w:r>
        <w:rPr>
          <w:sz w:val="22"/>
          <w:szCs w:val="22"/>
        </w:rPr>
        <w:t xml:space="preserve">Joins the most recent ownership_history record with true_owners and recorded_owners. Pre-joins contact info.</w:t>
      </w:r>
    </w:p>
    <w:p>
      <w:pPr>
        <w:pStyle w:val="Heading3"/>
        <w:spacing w:after="120" w:before="300"/>
      </w:pPr>
      <w:r>
        <w:rPr>
          <w:b/>
          <w:bCs/>
        </w:rPr>
        <w:t xml:space="preserve">v_ownership_chain</w:t>
      </w:r>
    </w:p>
    <w:p>
      <w:pPr>
        <w:spacing w:after="120"/>
      </w:pPr>
      <w:r>
        <w:rPr>
          <w:sz w:val="22"/>
          <w:szCs w:val="22"/>
        </w:rPr>
        <w:t xml:space="preserve">Full ownership history with developer, buyer, seller joined. Ordered by transfer_date DESC.</w:t>
      </w:r>
    </w:p>
    <w:p>
      <w:pPr>
        <w:pStyle w:val="Heading3"/>
        <w:spacing w:after="120" w:before="300"/>
      </w:pPr>
      <w:r>
        <w:rPr>
          <w:b/>
          <w:bCs/>
        </w:rPr>
        <w:t xml:space="preserve">v_sf_activity_feed</w:t>
      </w:r>
    </w:p>
    <w:p>
      <w:pPr>
        <w:spacing w:after="120"/>
      </w:pPr>
      <w:r>
        <w:rPr>
          <w:sz w:val="22"/>
          <w:szCs w:val="22"/>
        </w:rPr>
        <w:t xml:space="preserve">Union of salesforce_activities + salesforce_tasks + call_outcomes, ordered by date DESC. Provides a single chronological feed for the CRM tab. Requires cross-database bridge (see section 5).</w:t>
      </w:r>
    </w:p>
    <w:p>
      <w:pPr>
        <w:pStyle w:val="Heading3"/>
        <w:spacing w:after="120" w:before="300"/>
      </w:pPr>
      <w:r>
        <w:rPr>
          <w:b/>
          <w:bCs/>
        </w:rPr>
        <w:t xml:space="preserve">v_property_rankings</w:t>
      </w:r>
    </w:p>
    <w:p>
      <w:pPr>
        <w:spacing w:after="120"/>
      </w:pPr>
      <w:r>
        <w:rPr>
          <w:sz w:val="22"/>
          <w:szCs w:val="22"/>
        </w:rPr>
        <w:t xml:space="preserve">Window-function view computing county, state, national, and operator rank for each clinic by patient count and revenue.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</w:rPr>
        <w:t xml:space="preserve">4.3 Normalization Functions (Postgres)</w:t>
      </w:r>
    </w:p>
    <w:p>
      <w:pPr>
        <w:spacing w:after="120"/>
      </w:pPr>
      <w:r>
        <w:rPr>
          <w:sz w:val="22"/>
          <w:szCs w:val="22"/>
        </w:rPr>
        <w:t xml:space="preserve">Create a norm_text() Postgres function that mirrors the JavaScript norm():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CREATE OR REPLACE FUNCTION norm_text(s TEXT) RETURNS TEXT AS $$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SELECT initcap(trim(s))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$$ LANGUAGE sql IMMUTABLE;  </w:t>
      </w:r>
    </w:p>
    <w:p>
      <w:pPr>
        <w:spacing w:after="120"/>
      </w:pPr>
      <w:r>
        <w:rPr>
          <w:sz w:val="22"/>
          <w:szCs w:val="22"/>
        </w:rPr>
        <w:t xml:space="preserve">Use norm_text() in all views on address, city, owner names, facility names, etc.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5. Salesforce Integration Architecture</w:t>
      </w:r>
    </w:p>
    <w:p>
      <w:pPr>
        <w:pStyle w:val="Heading2"/>
        <w:spacing w:after="120" w:before="300"/>
      </w:pPr>
      <w:r>
        <w:rPr>
          <w:b/>
          <w:bCs/>
        </w:rPr>
        <w:t xml:space="preserve">5.1 Current Setup</w:t>
      </w:r>
    </w:p>
    <w:p>
      <w:pPr>
        <w:spacing w:after="120"/>
      </w:pPr>
      <w:r>
        <w:rPr>
          <w:sz w:val="22"/>
          <w:szCs w:val="22"/>
        </w:rPr>
        <w:t xml:space="preserve">The organization uses SSO (single sign-on) for Salesforce, which prevents direct API authentication from the LCC. The established workaround is Power Automate flows that authenticate via the enterprise SSO and push data to Supabase.</w:t>
      </w:r>
    </w:p>
    <w:p>
      <w:pPr>
        <w:pStyle w:val="Heading2"/>
        <w:spacing w:after="120" w:before="300"/>
      </w:pPr>
      <w:r>
        <w:rPr>
          <w:b/>
          <w:bCs/>
        </w:rPr>
        <w:t xml:space="preserve">5.2 Existing Power Automate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Salesforce Tasks → salesforce_tasks (Dia DB): Syncs open/recent tasks with subject, priority, due date, contact,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Salesforce Activities → salesforce_activities (Dia DB): Syncs call/email/meeting history with type, date, notes, assigned_to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Salesforce Contacts → salesforce_contacts (Dia DB): Syncs contact records with SF IDs for linking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Salesforce Accounts → salesforce_accounts (Dia DB): Syncs account/company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Flagged Emails → flagged_emails (Dia DB): Office 365 flagged emails with sender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Calendar Events → calendar_events (Dia DB): Multi-source calendar aggregation</w:t>
      </w:r>
    </w:p>
    <w:p>
      <w:pPr>
        <w:pStyle w:val="Heading2"/>
        <w:spacing w:after="120" w:before="300"/>
      </w:pPr>
      <w:r>
        <w:rPr>
          <w:b/>
          <w:bCs/>
        </w:rPr>
        <w:t xml:space="preserve">5.3 Cross-Database Bridge</w:t>
      </w:r>
    </w:p>
    <w:p>
      <w:pPr>
        <w:spacing w:after="120"/>
      </w:pPr>
      <w:r>
        <w:rPr>
          <w:sz w:val="22"/>
          <w:szCs w:val="22"/>
        </w:rPr>
        <w:t xml:space="preserve">Salesforce data lives in the Dia DB, but Government properties need it too. Two approaches: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Option A: Cross-DB API call. </w:t>
      </w:r>
      <w:r>
        <w:rPr>
          <w:sz w:val="22"/>
          <w:szCs w:val="22"/>
        </w:rPr>
        <w:t xml:space="preserve">The Gov detail page makes a second API call to dia-query to fetch SF activity for a matched contact_id/sf_company_id. Requires a linking field (sf_contact_id exists on prospect_leads in Gov DB).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Option B: Replicate SF tables to Gov DB. </w:t>
      </w:r>
      <w:r>
        <w:rPr>
          <w:sz w:val="22"/>
          <w:szCs w:val="22"/>
        </w:rPr>
        <w:t xml:space="preserve">Power Automate pushes the same SF data to both Supabase projects. Simpler frontend but requires duplicate flows.</w:t>
      </w:r>
    </w:p>
    <w:p>
      <w:pPr>
        <w:spacing w:after="120"/>
      </w:pPr>
      <w:r>
        <w:rPr>
          <w:sz w:val="22"/>
          <w:szCs w:val="22"/>
        </w:rPr>
        <w:t xml:space="preserve">Recommended: Option A (cross-DB API call). The Gov prospect_leads table already has sf_contact_id, sf_opportunity_id, and sf_sync_status fields. The LCC frontend can use these IDs to query the Dia DB’s salesforce_activities and salesforce_tasks tables.</w:t>
      </w:r>
    </w:p>
    <w:p>
      <w:pPr>
        <w:pStyle w:val="Heading2"/>
        <w:spacing w:after="120" w:before="300"/>
      </w:pPr>
      <w:r>
        <w:rPr>
          <w:b/>
          <w:bCs/>
        </w:rPr>
        <w:t xml:space="preserve">5.4 New Call Logging Flow</w:t>
      </w:r>
    </w:p>
    <w:p>
      <w:pPr>
        <w:spacing w:after="120"/>
      </w:pPr>
      <w:r>
        <w:rPr>
          <w:sz w:val="22"/>
          <w:szCs w:val="22"/>
        </w:rPr>
        <w:t xml:space="preserve">When a user logs a call from the LCC: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LCC frontend POSTs to /api/dia-query (table: call_outcomes) with the call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call_outcomes record is created in Dia DB with contact_id and true_owner_id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Power Automate trigger (on new call_outcomes row) pushes the call log back to Salesforce as a Task/Activity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This bidirectional sync keeps both systems in sync without requiring direct SF API access from LCC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6. Implementation Roadmap</w:t>
      </w:r>
    </w:p>
    <w:p>
      <w:pPr>
        <w:pStyle w:val="Heading2"/>
        <w:spacing w:after="120" w:before="300"/>
      </w:pPr>
      <w:r>
        <w:rPr>
          <w:b/>
          <w:bCs/>
        </w:rPr>
        <w:t xml:space="preserve">Phase 1: Database Views + Normalization (Sessions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norm_text() function in both Supabase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v_property_detail view in both DBs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v_lease_detail view in both DBs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v_ownership_current and v_ownership_chain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v_property_rankings view (Dia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pending visual/normalization changes to LCC (current PR)</w:t>
      </w:r>
    </w:p>
    <w:p>
      <w:pPr>
        <w:pStyle w:val="Heading2"/>
        <w:spacing w:after="120" w:before="300"/>
      </w:pPr>
      <w:r>
        <w:rPr>
          <w:b/>
          <w:bCs/>
        </w:rPr>
        <w:t xml:space="preserve">Phase 2: Unified Detail Page Frontend (Sessions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new renderUnifiedDetail() function replacing all source-specific detail renderers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5-tab layout with consistent field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Wire Property and Lease tabs to new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Wire Operations tab with rankings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Wire History tab with ownership chain, listing history, loan history</w:t>
      </w:r>
    </w:p>
    <w:p>
      <w:pPr>
        <w:pStyle w:val="Heading2"/>
        <w:spacing w:after="120" w:before="300"/>
      </w:pPr>
      <w:r>
        <w:rPr>
          <w:b/>
          <w:bCs/>
        </w:rPr>
        <w:t xml:space="preserve">Phase 3: CRM Integration (Sessions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Wire Ownership + CRM tab to salesforce_activities and salesforce_tasks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cross-DB bridge for Gov properties accessing Dia SF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call logging form that writes to call_outcomes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email template selector and draft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Power Automate bidirectional sync (call_outcomes → Salesforce)</w:t>
      </w:r>
    </w:p>
    <w:p>
      <w:pPr>
        <w:pStyle w:val="Heading2"/>
        <w:spacing w:after="120" w:before="300"/>
      </w:pPr>
      <w:r>
        <w:rPr>
          <w:b/>
          <w:bCs/>
        </w:rPr>
        <w:t xml:space="preserve">Phase 4: Polish + Deploy (Session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touchpoint templates (content provided by Scott)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Responsive design refinements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Service worker cache versioning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browser audit and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Production deploy and verify</w:t>
      </w:r>
    </w:p>
    <w:p>
      <w:pPr>
        <w:spacing w:before="300"/>
      </w:pPr>
    </w:p>
    <w:p>
      <w:pPr>
        <w:pBdr>
          <w:top w:val="single" w:color="CCCCCC" w:sz="2"/>
        </w:pBdr>
        <w:spacing w:after="100" w:before="200"/>
      </w:pPr>
      <w:r>
        <w:rPr>
          <w:i/>
          <w:iCs/>
          <w:color w:val="999999"/>
          <w:sz w:val="20"/>
          <w:szCs w:val="20"/>
        </w:rPr>
        <w:t xml:space="preserve">End of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LCC Unified Property Detail  |  Architecture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2026-03-14T11:30:05.637Z</dcterms:created>
  <dcterms:modified xsi:type="dcterms:W3CDTF">2026-03-14T11:30:05.638Z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