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F5BF" w14:textId="77777777" w:rsidR="00A20740" w:rsidRDefault="00A20740" w:rsidP="00BB507A">
      <w:pPr>
        <w:pStyle w:val="Heading1"/>
        <w:spacing w:line="276" w:lineRule="auto"/>
      </w:pPr>
      <w:bookmarkStart w:id="0" w:name="_Toc132402695"/>
      <w:r>
        <w:t>Feb 2023 – SB+ - MSc in Data Analytics</w:t>
      </w:r>
      <w:bookmarkEnd w:id="0"/>
    </w:p>
    <w:p w14:paraId="2275901B" w14:textId="77777777" w:rsidR="00A20740" w:rsidRDefault="00A20740" w:rsidP="00BB507A">
      <w:pPr>
        <w:spacing w:line="276" w:lineRule="auto"/>
        <w:jc w:val="both"/>
      </w:pPr>
    </w:p>
    <w:p w14:paraId="13262F0F" w14:textId="77777777" w:rsidR="00A20740" w:rsidRDefault="00A20740" w:rsidP="00BB507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Author: Sajjan Bhattarai</w:t>
      </w:r>
    </w:p>
    <w:p w14:paraId="3AE7FE5C" w14:textId="77777777" w:rsidR="00A20740" w:rsidRDefault="00A20740" w:rsidP="00BB507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e-mail: </w:t>
      </w:r>
      <w:hyperlink r:id="rId5" w:history="1">
        <w:r w:rsidRPr="0081187B">
          <w:rPr>
            <w:rStyle w:val="Hyperlink"/>
            <w:rFonts w:ascii="Arial" w:eastAsia="Arial" w:hAnsi="Arial" w:cs="Arial"/>
          </w:rPr>
          <w:t>sbs23010@student.cct.ie</w:t>
        </w:r>
      </w:hyperlink>
    </w:p>
    <w:p w14:paraId="7115D3D4" w14:textId="77777777" w:rsidR="00A20740" w:rsidRDefault="00A20740" w:rsidP="00BB507A">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Student ID: sbs23010</w:t>
      </w:r>
    </w:p>
    <w:p w14:paraId="335FDB05" w14:textId="0F0C0750" w:rsidR="00A20740" w:rsidRDefault="00A20740" w:rsidP="00BB507A">
      <w:pPr>
        <w:spacing w:line="276" w:lineRule="auto"/>
        <w:jc w:val="both"/>
      </w:pPr>
    </w:p>
    <w:p w14:paraId="5B8153AA" w14:textId="77777777" w:rsidR="00A20740" w:rsidRDefault="00A20740" w:rsidP="00BB507A">
      <w:pPr>
        <w:spacing w:line="276" w:lineRule="auto"/>
        <w:jc w:val="both"/>
      </w:pPr>
      <w:r>
        <w:br w:type="page"/>
      </w:r>
    </w:p>
    <w:p w14:paraId="5F8BBE2F" w14:textId="597FD632" w:rsidR="00DE6191" w:rsidRDefault="00A20740" w:rsidP="00BB507A">
      <w:pPr>
        <w:pStyle w:val="Heading1"/>
        <w:spacing w:line="276" w:lineRule="auto"/>
      </w:pPr>
      <w:r>
        <w:lastRenderedPageBreak/>
        <w:t>Abstract</w:t>
      </w:r>
    </w:p>
    <w:p w14:paraId="18491CAD" w14:textId="6669529A" w:rsidR="00A20740" w:rsidRDefault="00A20740" w:rsidP="00BB507A">
      <w:pPr>
        <w:spacing w:line="276" w:lineRule="auto"/>
        <w:jc w:val="both"/>
        <w:rPr>
          <w:lang w:eastAsia="en-US"/>
        </w:rPr>
      </w:pPr>
    </w:p>
    <w:p w14:paraId="7192CC17" w14:textId="77777777" w:rsidR="00A20740" w:rsidRDefault="00A20740" w:rsidP="00BB507A">
      <w:pPr>
        <w:spacing w:line="276" w:lineRule="auto"/>
        <w:jc w:val="both"/>
        <w:rPr>
          <w:lang w:eastAsia="en-US"/>
        </w:rPr>
      </w:pPr>
      <w:r>
        <w:rPr>
          <w:lang w:eastAsia="en-US"/>
        </w:rPr>
        <w:br w:type="page"/>
      </w:r>
    </w:p>
    <w:p w14:paraId="02648C5C" w14:textId="04643DA5" w:rsidR="00A20740" w:rsidRDefault="00A20740" w:rsidP="00BB507A">
      <w:pPr>
        <w:pStyle w:val="Heading1"/>
        <w:spacing w:line="276" w:lineRule="auto"/>
      </w:pPr>
      <w:r>
        <w:lastRenderedPageBreak/>
        <w:t>Introduction</w:t>
      </w:r>
      <w:r>
        <w:br/>
      </w:r>
    </w:p>
    <w:p w14:paraId="149D8CC1" w14:textId="77777777" w:rsidR="00A20740" w:rsidRDefault="00A20740" w:rsidP="00BB507A">
      <w:pPr>
        <w:spacing w:line="276" w:lineRule="auto"/>
        <w:jc w:val="both"/>
        <w:rPr>
          <w:rFonts w:ascii="Arial" w:hAnsi="Arial"/>
          <w:b/>
          <w:kern w:val="28"/>
          <w:sz w:val="28"/>
          <w:lang w:eastAsia="en-US"/>
        </w:rPr>
      </w:pPr>
      <w:r>
        <w:br w:type="page"/>
      </w:r>
    </w:p>
    <w:p w14:paraId="30B0A986" w14:textId="466413F6" w:rsidR="00A20740" w:rsidRDefault="00A20740" w:rsidP="00BB507A">
      <w:pPr>
        <w:pStyle w:val="Heading1"/>
        <w:spacing w:line="276" w:lineRule="auto"/>
      </w:pPr>
      <w:r>
        <w:lastRenderedPageBreak/>
        <w:t>Materials and Methods</w:t>
      </w:r>
    </w:p>
    <w:p w14:paraId="085E94C5" w14:textId="3CC98153" w:rsidR="00A20740" w:rsidRDefault="009E42EF" w:rsidP="00BB507A">
      <w:pPr>
        <w:pStyle w:val="Heading2"/>
        <w:spacing w:line="276" w:lineRule="auto"/>
        <w:jc w:val="both"/>
        <w:rPr>
          <w:lang w:eastAsia="en-US"/>
        </w:rPr>
      </w:pPr>
      <w:r>
        <w:rPr>
          <w:lang w:eastAsia="en-US"/>
        </w:rPr>
        <w:t>Selection of Programming Language and Libraries</w:t>
      </w:r>
    </w:p>
    <w:p w14:paraId="70E558DE" w14:textId="0D49EAD9" w:rsidR="009E42EF" w:rsidRDefault="009E42EF" w:rsidP="00BB507A">
      <w:pPr>
        <w:spacing w:line="276" w:lineRule="auto"/>
        <w:jc w:val="both"/>
        <w:rPr>
          <w:lang w:eastAsia="en-US"/>
        </w:rPr>
      </w:pPr>
      <w:r>
        <w:rPr>
          <w:lang w:eastAsia="en-US"/>
        </w:rPr>
        <w:t xml:space="preserve">For this study, two programming languages Python and R were considered for their simplicity and availability of wide range of libraries for Data Analytics and Machine Learning. Ultimately, Python was chosen because it provides </w:t>
      </w:r>
      <w:r w:rsidR="00AC6D50">
        <w:rPr>
          <w:lang w:eastAsia="en-US"/>
        </w:rPr>
        <w:t xml:space="preserve">more human readable syntax, and versatility in terms of object-oriented and modular programming. Additionally, it has </w:t>
      </w:r>
      <w:r w:rsidR="00E869B6">
        <w:rPr>
          <w:lang w:eastAsia="en-US"/>
        </w:rPr>
        <w:t xml:space="preserve">a larger ecosystem of libraries and frameworks, that </w:t>
      </w:r>
      <w:r w:rsidR="00E621B5">
        <w:rPr>
          <w:lang w:eastAsia="en-US"/>
        </w:rPr>
        <w:t xml:space="preserve">offer more choices and </w:t>
      </w:r>
      <w:r w:rsidR="00E869B6">
        <w:rPr>
          <w:lang w:eastAsia="en-US"/>
        </w:rPr>
        <w:t>easy integration with other technologies.</w:t>
      </w:r>
      <w:r w:rsidR="008A7224">
        <w:rPr>
          <w:lang w:eastAsia="en-US"/>
        </w:rPr>
        <w:t xml:space="preserve"> Therefore, for the purposes of performing statistical analysis, machine learning and visualization on dashboard, Python is the most effective language</w:t>
      </w:r>
      <w:r w:rsidR="008A1F1A">
        <w:rPr>
          <w:lang w:eastAsia="en-US"/>
        </w:rPr>
        <w:t xml:space="preserve"> within the scope of this study</w:t>
      </w:r>
      <w:r w:rsidR="008A7224">
        <w:rPr>
          <w:lang w:eastAsia="en-US"/>
        </w:rPr>
        <w:t>.</w:t>
      </w:r>
    </w:p>
    <w:p w14:paraId="5FC9C4A8" w14:textId="77777777" w:rsidR="007B0D25" w:rsidRDefault="007B0D25" w:rsidP="00BB507A">
      <w:pPr>
        <w:spacing w:line="276" w:lineRule="auto"/>
        <w:jc w:val="both"/>
        <w:rPr>
          <w:lang w:eastAsia="en-US"/>
        </w:rPr>
      </w:pPr>
    </w:p>
    <w:p w14:paraId="663681BD" w14:textId="428E3F25" w:rsidR="008A7224" w:rsidRDefault="00674D3B" w:rsidP="00BB507A">
      <w:pPr>
        <w:spacing w:line="276" w:lineRule="auto"/>
        <w:jc w:val="both"/>
        <w:rPr>
          <w:lang w:eastAsia="en-US"/>
        </w:rPr>
      </w:pPr>
      <w:r>
        <w:rPr>
          <w:lang w:eastAsia="en-US"/>
        </w:rPr>
        <w:t xml:space="preserve">Similarly for data manipulation, three Python libraries Pandas, </w:t>
      </w:r>
      <w:proofErr w:type="spellStart"/>
      <w:r>
        <w:rPr>
          <w:lang w:eastAsia="en-US"/>
        </w:rPr>
        <w:t>PySpark</w:t>
      </w:r>
      <w:proofErr w:type="spellEnd"/>
      <w:r>
        <w:rPr>
          <w:lang w:eastAsia="en-US"/>
        </w:rPr>
        <w:t xml:space="preserve"> and NumPy were considered. The study will mainly utilize Pandas, along with NumPy in some situations. </w:t>
      </w:r>
      <w:proofErr w:type="spellStart"/>
      <w:r>
        <w:rPr>
          <w:lang w:eastAsia="en-US"/>
        </w:rPr>
        <w:t>PySpark</w:t>
      </w:r>
      <w:proofErr w:type="spellEnd"/>
      <w:r>
        <w:rPr>
          <w:lang w:eastAsia="en-US"/>
        </w:rPr>
        <w:t xml:space="preserve"> was also explored and tested, however it was deemed infeasible for the scale of data being </w:t>
      </w:r>
      <w:proofErr w:type="spellStart"/>
      <w:r>
        <w:rPr>
          <w:lang w:eastAsia="en-US"/>
        </w:rPr>
        <w:t>analyzed</w:t>
      </w:r>
      <w:proofErr w:type="spellEnd"/>
      <w:r>
        <w:rPr>
          <w:lang w:eastAsia="en-US"/>
        </w:rPr>
        <w:t xml:space="preserve"> in this study. Additionally, the differences and limitations in </w:t>
      </w:r>
      <w:proofErr w:type="spellStart"/>
      <w:r>
        <w:rPr>
          <w:lang w:eastAsia="en-US"/>
        </w:rPr>
        <w:t>PySpark’s</w:t>
      </w:r>
      <w:proofErr w:type="spellEnd"/>
      <w:r>
        <w:rPr>
          <w:lang w:eastAsia="en-US"/>
        </w:rPr>
        <w:t xml:space="preserve"> syntax made it more challenging to perform small or basic tasks. For example, lack of </w:t>
      </w:r>
      <w:r w:rsidRPr="00674D3B">
        <w:rPr>
          <w:i/>
          <w:iCs/>
          <w:lang w:eastAsia="en-US"/>
        </w:rPr>
        <w:t>apply()</w:t>
      </w:r>
      <w:r>
        <w:rPr>
          <w:lang w:eastAsia="en-US"/>
        </w:rPr>
        <w:t xml:space="preserve"> method in </w:t>
      </w:r>
      <w:proofErr w:type="spellStart"/>
      <w:r>
        <w:rPr>
          <w:lang w:eastAsia="en-US"/>
        </w:rPr>
        <w:t>PySpark</w:t>
      </w:r>
      <w:proofErr w:type="spellEnd"/>
      <w:r>
        <w:rPr>
          <w:lang w:eastAsia="en-US"/>
        </w:rPr>
        <w:t xml:space="preserve"> </w:t>
      </w:r>
      <w:proofErr w:type="spellStart"/>
      <w:r>
        <w:rPr>
          <w:lang w:eastAsia="en-US"/>
        </w:rPr>
        <w:t>DataFrame</w:t>
      </w:r>
      <w:proofErr w:type="spellEnd"/>
      <w:r>
        <w:rPr>
          <w:lang w:eastAsia="en-US"/>
        </w:rPr>
        <w:t xml:space="preserve"> requires the use of User Defined Functions (UDF). Such additional complexities would have been justified if the concerned dataset was huge and required distributed processing</w:t>
      </w:r>
      <w:r w:rsidR="00CB2E9B">
        <w:rPr>
          <w:lang w:eastAsia="en-US"/>
        </w:rPr>
        <w:t xml:space="preserve"> </w:t>
      </w:r>
      <w:r w:rsidR="00CB2E9B">
        <w:t>(</w:t>
      </w:r>
      <w:proofErr w:type="spellStart"/>
      <w:r w:rsidR="00CB2E9B">
        <w:t>SparkByExamples</w:t>
      </w:r>
      <w:proofErr w:type="spellEnd"/>
      <w:r w:rsidR="00CB2E9B">
        <w:t>, 2023)</w:t>
      </w:r>
      <w:r>
        <w:rPr>
          <w:lang w:eastAsia="en-US"/>
        </w:rPr>
        <w:t>.</w:t>
      </w:r>
      <w:r w:rsidR="00296D68">
        <w:rPr>
          <w:lang w:eastAsia="en-US"/>
        </w:rPr>
        <w:t xml:space="preserve"> </w:t>
      </w:r>
      <w:r>
        <w:rPr>
          <w:lang w:eastAsia="en-US"/>
        </w:rPr>
        <w:t xml:space="preserve">Nevertheless, it was kept as an option during this study in case </w:t>
      </w:r>
      <w:r w:rsidR="003F0BC6">
        <w:rPr>
          <w:lang w:eastAsia="en-US"/>
        </w:rPr>
        <w:t>a much larger dataset needs to be processed.</w:t>
      </w:r>
      <w:r>
        <w:rPr>
          <w:lang w:eastAsia="en-US"/>
        </w:rPr>
        <w:t xml:space="preserve"> </w:t>
      </w:r>
    </w:p>
    <w:p w14:paraId="787A503A" w14:textId="77777777" w:rsidR="000B3284" w:rsidRDefault="000B3284" w:rsidP="00BB507A">
      <w:pPr>
        <w:spacing w:line="276" w:lineRule="auto"/>
        <w:jc w:val="both"/>
        <w:rPr>
          <w:lang w:eastAsia="en-US"/>
        </w:rPr>
      </w:pPr>
    </w:p>
    <w:p w14:paraId="5F7F857F" w14:textId="77777777" w:rsidR="00465AD7" w:rsidRDefault="00465AD7" w:rsidP="00BB507A">
      <w:pPr>
        <w:pStyle w:val="Heading2"/>
        <w:spacing w:line="276" w:lineRule="auto"/>
        <w:jc w:val="both"/>
      </w:pPr>
      <w:bookmarkStart w:id="1" w:name="_Toc132402700"/>
      <w:r>
        <w:t>Project Management Framework</w:t>
      </w:r>
      <w:bookmarkEnd w:id="1"/>
    </w:p>
    <w:p w14:paraId="3DC4FE48" w14:textId="604DF6B9" w:rsidR="000B3284" w:rsidRDefault="00465AD7" w:rsidP="00BB507A">
      <w:pPr>
        <w:spacing w:line="276" w:lineRule="auto"/>
        <w:jc w:val="both"/>
        <w:rPr>
          <w:lang w:eastAsia="en-US"/>
        </w:rPr>
      </w:pPr>
      <w:r>
        <w:rPr>
          <w:lang w:eastAsia="en-US"/>
        </w:rPr>
        <w:t xml:space="preserve">Two commonly used frameworks CRISP-DM and SEMMA were considered for this study. </w:t>
      </w:r>
      <w:r>
        <w:rPr>
          <w:lang w:eastAsia="en-US"/>
        </w:rPr>
        <w:t>CRISP-DM</w:t>
      </w:r>
      <w:r>
        <w:rPr>
          <w:lang w:eastAsia="en-US"/>
        </w:rPr>
        <w:t xml:space="preserve"> stands for Cross Industry Standard Process, and was developed by a consortium of numerous data-mining companies </w:t>
      </w:r>
      <w:r>
        <w:t>(</w:t>
      </w:r>
      <w:proofErr w:type="spellStart"/>
      <w:r w:rsidRPr="00196280">
        <w:t>Kotu</w:t>
      </w:r>
      <w:proofErr w:type="spellEnd"/>
      <w:r w:rsidRPr="00196280">
        <w:t xml:space="preserve"> and</w:t>
      </w:r>
      <w:r>
        <w:t xml:space="preserve"> </w:t>
      </w:r>
      <w:r w:rsidRPr="00196280">
        <w:t>Deshpande</w:t>
      </w:r>
      <w:r>
        <w:t xml:space="preserve">, </w:t>
      </w:r>
      <w:r w:rsidRPr="00196280">
        <w:t>2014</w:t>
      </w:r>
      <w:r>
        <w:t>)</w:t>
      </w:r>
      <w:r>
        <w:rPr>
          <w:lang w:eastAsia="en-US"/>
        </w:rPr>
        <w:t xml:space="preserve">. </w:t>
      </w:r>
      <w:r w:rsidR="00D608A8">
        <w:rPr>
          <w:lang w:eastAsia="en-US"/>
        </w:rPr>
        <w:t>It comprises of iterative phases that include business/research understanding, data understanding, modelling, evolution and deployment. On the other hand, SEMMA stands for Sample, Explore, Modify and Assess</w:t>
      </w:r>
      <w:r w:rsidR="00504D15">
        <w:rPr>
          <w:lang w:eastAsia="en-US"/>
        </w:rPr>
        <w:t>, was developed by Statistical Analysis System (SAS).</w:t>
      </w:r>
    </w:p>
    <w:p w14:paraId="342A4E44" w14:textId="3EE97BC4" w:rsidR="00504D15" w:rsidRDefault="00504D15" w:rsidP="00BB507A">
      <w:pPr>
        <w:spacing w:line="276" w:lineRule="auto"/>
        <w:jc w:val="both"/>
        <w:rPr>
          <w:lang w:eastAsia="en-US"/>
        </w:rPr>
      </w:pPr>
    </w:p>
    <w:p w14:paraId="47916474" w14:textId="2A1DDF72" w:rsidR="00504D15" w:rsidRDefault="00504D15" w:rsidP="00BB507A">
      <w:pPr>
        <w:spacing w:line="276" w:lineRule="auto"/>
        <w:jc w:val="both"/>
        <w:rPr>
          <w:lang w:eastAsia="en-US"/>
        </w:rPr>
      </w:pPr>
      <w:r>
        <w:rPr>
          <w:lang w:eastAsia="en-US"/>
        </w:rPr>
        <w:t>Both frameworks follow similar model of iterative progress and feedback loop. CRISP-DM was chosen for this study because it offers a more comprehensive framework from understanding of research requirements to final deployment of the model. Whereas business/research understanding isn’t a defined phase in SEMMA framework.</w:t>
      </w:r>
      <w:r w:rsidR="00D164A6">
        <w:rPr>
          <w:lang w:eastAsia="en-US"/>
        </w:rPr>
        <w:t xml:space="preserve"> With this, the project deliverables were planned as below:</w:t>
      </w:r>
    </w:p>
    <w:p w14:paraId="64234BD5" w14:textId="11842D54" w:rsidR="00D164A6" w:rsidRDefault="00DE71A1" w:rsidP="00BB507A">
      <w:pPr>
        <w:pStyle w:val="ListParagraph"/>
        <w:numPr>
          <w:ilvl w:val="0"/>
          <w:numId w:val="3"/>
        </w:numPr>
        <w:spacing w:line="276" w:lineRule="auto"/>
        <w:jc w:val="both"/>
        <w:rPr>
          <w:lang w:eastAsia="en-US"/>
        </w:rPr>
      </w:pPr>
      <w:r>
        <w:rPr>
          <w:lang w:eastAsia="en-US"/>
        </w:rPr>
        <w:t>Understanding the problem domain and exploring the available datasets during first week</w:t>
      </w:r>
    </w:p>
    <w:p w14:paraId="1DC5959C" w14:textId="637A3742" w:rsidR="00DE71A1" w:rsidRDefault="00DE71A1" w:rsidP="00BB507A">
      <w:pPr>
        <w:pStyle w:val="ListParagraph"/>
        <w:numPr>
          <w:ilvl w:val="0"/>
          <w:numId w:val="3"/>
        </w:numPr>
        <w:spacing w:line="276" w:lineRule="auto"/>
        <w:jc w:val="both"/>
        <w:rPr>
          <w:lang w:eastAsia="en-US"/>
        </w:rPr>
      </w:pPr>
      <w:r>
        <w:rPr>
          <w:lang w:eastAsia="en-US"/>
        </w:rPr>
        <w:t>Performing descriptive and inferential statistical analysis on the relevant datasets, and working with Machine Learning models during second week</w:t>
      </w:r>
    </w:p>
    <w:p w14:paraId="35850820" w14:textId="182A330F" w:rsidR="00DE71A1" w:rsidRDefault="00DE71A1" w:rsidP="00BB507A">
      <w:pPr>
        <w:pStyle w:val="ListParagraph"/>
        <w:numPr>
          <w:ilvl w:val="0"/>
          <w:numId w:val="3"/>
        </w:numPr>
        <w:spacing w:line="276" w:lineRule="auto"/>
        <w:jc w:val="both"/>
        <w:rPr>
          <w:lang w:eastAsia="en-US"/>
        </w:rPr>
      </w:pPr>
      <w:r>
        <w:rPr>
          <w:lang w:eastAsia="en-US"/>
        </w:rPr>
        <w:t>Further Machine Learning testing and optimization, along with Sentiment Analysis on Reddit data during third week</w:t>
      </w:r>
    </w:p>
    <w:p w14:paraId="34912AD5" w14:textId="05D8761A" w:rsidR="00DE71A1" w:rsidRDefault="00DE71A1" w:rsidP="00BB507A">
      <w:pPr>
        <w:pStyle w:val="ListParagraph"/>
        <w:numPr>
          <w:ilvl w:val="0"/>
          <w:numId w:val="3"/>
        </w:numPr>
        <w:spacing w:line="276" w:lineRule="auto"/>
        <w:jc w:val="both"/>
        <w:rPr>
          <w:lang w:eastAsia="en-US"/>
        </w:rPr>
      </w:pPr>
      <w:r>
        <w:rPr>
          <w:lang w:eastAsia="en-US"/>
        </w:rPr>
        <w:t>Improving code quality with reusable functions and unit tests, as well as preparing the dashboard visualization in the fourth week</w:t>
      </w:r>
    </w:p>
    <w:p w14:paraId="31D7D448" w14:textId="77777777" w:rsidR="00CD5829" w:rsidRDefault="00CD5829" w:rsidP="00BB507A">
      <w:pPr>
        <w:spacing w:line="276" w:lineRule="auto"/>
        <w:jc w:val="both"/>
        <w:rPr>
          <w:lang w:eastAsia="en-US"/>
        </w:rPr>
      </w:pPr>
    </w:p>
    <w:p w14:paraId="5DF739FF" w14:textId="0022B62B" w:rsidR="00CD5829" w:rsidRDefault="00D81182" w:rsidP="00BB507A">
      <w:pPr>
        <w:pStyle w:val="Heading3"/>
        <w:spacing w:line="276" w:lineRule="auto"/>
        <w:jc w:val="both"/>
        <w:rPr>
          <w:lang w:eastAsia="en-US"/>
        </w:rPr>
      </w:pPr>
      <w:r>
        <w:rPr>
          <w:lang w:eastAsia="en-US"/>
        </w:rPr>
        <w:lastRenderedPageBreak/>
        <w:t>Research Understanding</w:t>
      </w:r>
    </w:p>
    <w:p w14:paraId="649E2E5C" w14:textId="0613BC52" w:rsidR="00D81182" w:rsidRDefault="000B5BE5" w:rsidP="00BB507A">
      <w:pPr>
        <w:spacing w:line="276" w:lineRule="auto"/>
        <w:jc w:val="both"/>
        <w:rPr>
          <w:lang w:eastAsia="en-US"/>
        </w:rPr>
      </w:pPr>
      <w:r>
        <w:rPr>
          <w:lang w:eastAsia="en-US"/>
        </w:rPr>
        <w:t>Construction sector is one of the key drivers of the economy globally. In the context of European Union, it accounts for 18 million jobs and almost 9% of GDP. It is estimated that a full-scale digitalization can contribute up to 20% annual global savings in the design and construction phases, and up to 15% in the operational phases (</w:t>
      </w:r>
      <w:r w:rsidR="001621EE">
        <w:rPr>
          <w:lang w:eastAsia="en-US"/>
        </w:rPr>
        <w:t>Arthur, 2022</w:t>
      </w:r>
      <w:r>
        <w:rPr>
          <w:lang w:eastAsia="en-US"/>
        </w:rPr>
        <w:t>).</w:t>
      </w:r>
      <w:r w:rsidR="00600ADC">
        <w:rPr>
          <w:lang w:eastAsia="en-US"/>
        </w:rPr>
        <w:t xml:space="preserve"> Hence, applying the concepts of Data Analytics on to Construction industry could help further our understanding o</w:t>
      </w:r>
      <w:r w:rsidR="00BF7993">
        <w:rPr>
          <w:lang w:eastAsia="en-US"/>
        </w:rPr>
        <w:t>f</w:t>
      </w:r>
      <w:r w:rsidR="00600ADC">
        <w:rPr>
          <w:lang w:eastAsia="en-US"/>
        </w:rPr>
        <w:t xml:space="preserve"> the relationship between different components, and </w:t>
      </w:r>
      <w:r w:rsidR="00BF7993">
        <w:rPr>
          <w:lang w:eastAsia="en-US"/>
        </w:rPr>
        <w:t xml:space="preserve">to </w:t>
      </w:r>
      <w:r w:rsidR="00600ADC">
        <w:rPr>
          <w:lang w:eastAsia="en-US"/>
        </w:rPr>
        <w:t>potentially optimize the sector.</w:t>
      </w:r>
    </w:p>
    <w:p w14:paraId="2F64C330" w14:textId="53EF3194" w:rsidR="004C0C06" w:rsidRDefault="004C0C06" w:rsidP="00BB507A">
      <w:pPr>
        <w:spacing w:line="276" w:lineRule="auto"/>
        <w:jc w:val="both"/>
        <w:rPr>
          <w:lang w:eastAsia="en-US"/>
        </w:rPr>
      </w:pPr>
    </w:p>
    <w:p w14:paraId="2314B7BE" w14:textId="77777777" w:rsidR="00F47081" w:rsidRDefault="004C0C06" w:rsidP="00BB507A">
      <w:pPr>
        <w:spacing w:line="276" w:lineRule="auto"/>
        <w:jc w:val="both"/>
        <w:rPr>
          <w:lang w:eastAsia="en-US"/>
        </w:rPr>
      </w:pPr>
      <w:r>
        <w:rPr>
          <w:lang w:eastAsia="en-US"/>
        </w:rPr>
        <w:t xml:space="preserve">This research seeks to </w:t>
      </w:r>
      <w:proofErr w:type="spellStart"/>
      <w:r>
        <w:rPr>
          <w:lang w:eastAsia="en-US"/>
        </w:rPr>
        <w:t>analyze</w:t>
      </w:r>
      <w:proofErr w:type="spellEnd"/>
      <w:r>
        <w:rPr>
          <w:lang w:eastAsia="en-US"/>
        </w:rPr>
        <w:t xml:space="preserve"> and establish relationship between construction material prices and production in construction. Although it is primarily focused on the context of Ireland’s construction sector, it also makes a high-level comparison with other countries.</w:t>
      </w:r>
    </w:p>
    <w:p w14:paraId="7A5C8D39" w14:textId="77777777" w:rsidR="00F47081" w:rsidRDefault="00F47081" w:rsidP="00BB507A">
      <w:pPr>
        <w:spacing w:line="276" w:lineRule="auto"/>
        <w:jc w:val="both"/>
        <w:rPr>
          <w:lang w:eastAsia="en-US"/>
        </w:rPr>
      </w:pPr>
    </w:p>
    <w:p w14:paraId="369C5821" w14:textId="77777777" w:rsidR="00F47081" w:rsidRDefault="00F47081" w:rsidP="00BB507A">
      <w:pPr>
        <w:pStyle w:val="Heading3"/>
        <w:spacing w:line="276" w:lineRule="auto"/>
        <w:jc w:val="both"/>
      </w:pPr>
      <w:bookmarkStart w:id="2" w:name="_Toc132402702"/>
      <w:r>
        <w:t>Data Understanding</w:t>
      </w:r>
      <w:bookmarkEnd w:id="2"/>
    </w:p>
    <w:p w14:paraId="3A4908CC" w14:textId="261B63E0" w:rsidR="004C0C06" w:rsidRDefault="004A17AD" w:rsidP="00BB507A">
      <w:pPr>
        <w:spacing w:line="276" w:lineRule="auto"/>
        <w:jc w:val="both"/>
        <w:rPr>
          <w:lang w:eastAsia="en-US"/>
        </w:rPr>
      </w:pPr>
      <w:r>
        <w:rPr>
          <w:lang w:eastAsia="en-US"/>
        </w:rPr>
        <w:t>The datasets used in this study were mostly published by Central Statistics Office of Ireland under Creative Commons Attribute 4.0 license</w:t>
      </w:r>
      <w:r w:rsidR="00372CA5">
        <w:rPr>
          <w:lang w:eastAsia="en-US"/>
        </w:rPr>
        <w:t xml:space="preserve"> (Government of Ireland, 2023)</w:t>
      </w:r>
      <w:r>
        <w:rPr>
          <w:lang w:eastAsia="en-US"/>
        </w:rPr>
        <w:t xml:space="preserve">. Other datasets were published by </w:t>
      </w:r>
      <w:r w:rsidR="00372CA5">
        <w:rPr>
          <w:lang w:eastAsia="en-US"/>
        </w:rPr>
        <w:t>Eurostat</w:t>
      </w:r>
      <w:r w:rsidR="0002029B">
        <w:rPr>
          <w:lang w:eastAsia="en-US"/>
        </w:rPr>
        <w:t xml:space="preserve"> under Public access type (European Commission, 2023) and Reddit API data (Reddit, 2023).</w:t>
      </w:r>
      <w:r w:rsidR="00297875">
        <w:rPr>
          <w:lang w:eastAsia="en-US"/>
        </w:rPr>
        <w:t xml:space="preserve"> All datasets that were explored and considered during this study can be found in attached </w:t>
      </w:r>
      <w:proofErr w:type="spellStart"/>
      <w:r w:rsidR="00297875">
        <w:rPr>
          <w:lang w:eastAsia="en-US"/>
        </w:rPr>
        <w:t>Jupyter</w:t>
      </w:r>
      <w:proofErr w:type="spellEnd"/>
      <w:r w:rsidR="00297875">
        <w:rPr>
          <w:lang w:eastAsia="en-US"/>
        </w:rPr>
        <w:t xml:space="preserve"> Notebook (data-</w:t>
      </w:r>
      <w:proofErr w:type="spellStart"/>
      <w:r w:rsidR="00297875">
        <w:rPr>
          <w:lang w:eastAsia="en-US"/>
        </w:rPr>
        <w:t>exploration.ipynb</w:t>
      </w:r>
      <w:proofErr w:type="spellEnd"/>
      <w:r w:rsidR="00297875">
        <w:rPr>
          <w:lang w:eastAsia="en-US"/>
        </w:rPr>
        <w:t>).</w:t>
      </w:r>
    </w:p>
    <w:p w14:paraId="08DCC5C9" w14:textId="77777777" w:rsidR="00417EA1" w:rsidRDefault="00417EA1" w:rsidP="00BB507A">
      <w:pPr>
        <w:spacing w:line="276" w:lineRule="auto"/>
        <w:jc w:val="both"/>
        <w:rPr>
          <w:lang w:eastAsia="en-US"/>
        </w:rPr>
      </w:pPr>
    </w:p>
    <w:p w14:paraId="4065CA8B" w14:textId="21CDB7C0" w:rsidR="00417EA1" w:rsidRDefault="00417EA1" w:rsidP="00BB507A">
      <w:pPr>
        <w:spacing w:line="276" w:lineRule="auto"/>
        <w:jc w:val="both"/>
        <w:rPr>
          <w:lang w:eastAsia="en-US"/>
        </w:rPr>
      </w:pPr>
      <w:r>
        <w:rPr>
          <w:lang w:eastAsia="en-US"/>
        </w:rPr>
        <w:t>After searching for relevant datasets, the</w:t>
      </w:r>
      <w:r w:rsidR="003D2693">
        <w:rPr>
          <w:lang w:eastAsia="en-US"/>
        </w:rPr>
        <w:t xml:space="preserve"> Production in Construction Indices and Wholesale Price Indices of Construction Materials datasets from Ireland were selected for further analysis. Additionally, the Production in Construction Indices from Eurostat, and Building Construction Costs from Netherlands were selected for high-level comparison with Ireland. Lastly, the Reddit APIs were used to search for relevant topic and conversations from concerned sub-</w:t>
      </w:r>
      <w:proofErr w:type="spellStart"/>
      <w:r w:rsidR="003D2693">
        <w:rPr>
          <w:lang w:eastAsia="en-US"/>
        </w:rPr>
        <w:t>reddits</w:t>
      </w:r>
      <w:proofErr w:type="spellEnd"/>
      <w:r w:rsidR="003D2693">
        <w:rPr>
          <w:lang w:eastAsia="en-US"/>
        </w:rPr>
        <w:t xml:space="preserve"> to perform public sentiment analysis.</w:t>
      </w:r>
      <w:r w:rsidR="00F655A6">
        <w:rPr>
          <w:lang w:eastAsia="en-US"/>
        </w:rPr>
        <w:t xml:space="preserve"> All these analysis and results are available in the attached </w:t>
      </w:r>
      <w:proofErr w:type="spellStart"/>
      <w:r w:rsidR="00F655A6">
        <w:rPr>
          <w:lang w:eastAsia="en-US"/>
        </w:rPr>
        <w:t>Jupyter</w:t>
      </w:r>
      <w:proofErr w:type="spellEnd"/>
      <w:r w:rsidR="00F655A6">
        <w:rPr>
          <w:lang w:eastAsia="en-US"/>
        </w:rPr>
        <w:t xml:space="preserve"> Notebook (construction-materials-and-</w:t>
      </w:r>
      <w:proofErr w:type="spellStart"/>
      <w:r w:rsidR="00F655A6">
        <w:rPr>
          <w:lang w:eastAsia="en-US"/>
        </w:rPr>
        <w:t>production.ipynb</w:t>
      </w:r>
      <w:proofErr w:type="spellEnd"/>
      <w:r w:rsidR="00F655A6">
        <w:rPr>
          <w:lang w:eastAsia="en-US"/>
        </w:rPr>
        <w:t>).</w:t>
      </w:r>
    </w:p>
    <w:p w14:paraId="5BB2DE06" w14:textId="77777777" w:rsidR="00F655A6" w:rsidRDefault="00F655A6" w:rsidP="00BB507A">
      <w:pPr>
        <w:spacing w:line="276" w:lineRule="auto"/>
        <w:jc w:val="both"/>
        <w:rPr>
          <w:lang w:eastAsia="en-US"/>
        </w:rPr>
      </w:pPr>
    </w:p>
    <w:p w14:paraId="2B3B6476" w14:textId="33541D1E" w:rsidR="00F655A6" w:rsidRDefault="00F655A6" w:rsidP="00BB507A">
      <w:pPr>
        <w:pStyle w:val="Heading4"/>
        <w:spacing w:line="276" w:lineRule="auto"/>
        <w:jc w:val="both"/>
        <w:rPr>
          <w:lang w:eastAsia="en-US"/>
        </w:rPr>
      </w:pPr>
      <w:r>
        <w:rPr>
          <w:lang w:eastAsia="en-US"/>
        </w:rPr>
        <w:t>Descriptive Statistics</w:t>
      </w:r>
    </w:p>
    <w:p w14:paraId="274F5D9B" w14:textId="466F34F5" w:rsidR="00D810D5" w:rsidRDefault="000419AA" w:rsidP="00BB507A">
      <w:pPr>
        <w:spacing w:line="276" w:lineRule="auto"/>
        <w:jc w:val="both"/>
        <w:rPr>
          <w:lang w:eastAsia="en-US"/>
        </w:rPr>
      </w:pPr>
      <w:r>
        <w:rPr>
          <w:lang w:eastAsia="en-US"/>
        </w:rPr>
        <w:t>The first dataset represented the monthly wholesale price indices</w:t>
      </w:r>
      <w:r w:rsidR="00C355AB">
        <w:rPr>
          <w:lang w:eastAsia="en-US"/>
        </w:rPr>
        <w:t xml:space="preserve"> and percentage change over 1 and 12 months</w:t>
      </w:r>
      <w:r>
        <w:rPr>
          <w:lang w:eastAsia="en-US"/>
        </w:rPr>
        <w:t xml:space="preserve"> </w:t>
      </w:r>
      <w:r w:rsidR="00C355AB">
        <w:rPr>
          <w:lang w:eastAsia="en-US"/>
        </w:rPr>
        <w:t>for</w:t>
      </w:r>
      <w:r>
        <w:rPr>
          <w:lang w:eastAsia="en-US"/>
        </w:rPr>
        <w:t xml:space="preserve"> </w:t>
      </w:r>
      <w:r w:rsidR="00C355AB">
        <w:rPr>
          <w:lang w:eastAsia="en-US"/>
        </w:rPr>
        <w:t>40</w:t>
      </w:r>
      <w:r>
        <w:rPr>
          <w:lang w:eastAsia="en-US"/>
        </w:rPr>
        <w:t xml:space="preserve"> major construction materials from </w:t>
      </w:r>
      <w:r w:rsidR="00C355AB">
        <w:rPr>
          <w:lang w:eastAsia="en-US"/>
        </w:rPr>
        <w:t xml:space="preserve">January 2015 to April 2023. After filtering the required statistic label and pivoting the table to put the materials as columns, there were 100 rows in total. </w:t>
      </w:r>
      <w:r w:rsidR="000114ED">
        <w:rPr>
          <w:lang w:eastAsia="en-US"/>
        </w:rPr>
        <w:t xml:space="preserve">Out of these records, 2 materials had null values for the last 3 months, and no duplicates were present. </w:t>
      </w:r>
      <w:r w:rsidR="00443ABD">
        <w:rPr>
          <w:lang w:eastAsia="en-US"/>
        </w:rPr>
        <w:t>Upon performing descriptive statistical analysis on this dataset, 10 materials had standard deviation value greater than 20, which implies higher volatility in their prices.</w:t>
      </w:r>
      <w:r w:rsidR="00F37338">
        <w:rPr>
          <w:lang w:eastAsia="en-US"/>
        </w:rPr>
        <w:t xml:space="preserve"> Their mean/average price indices were also higher than the median, thus implying positive skew or presence of outliers or extreme values in the right tail.</w:t>
      </w:r>
    </w:p>
    <w:p w14:paraId="2E545B10" w14:textId="77777777" w:rsidR="00073DDA" w:rsidRDefault="00073DDA" w:rsidP="00BB507A">
      <w:pPr>
        <w:spacing w:line="276" w:lineRule="auto"/>
        <w:jc w:val="both"/>
        <w:rPr>
          <w:lang w:eastAsia="en-US"/>
        </w:rPr>
      </w:pPr>
    </w:p>
    <w:p w14:paraId="10E0AA11" w14:textId="19DBD452" w:rsidR="00073DDA" w:rsidRDefault="00073DDA" w:rsidP="00BB507A">
      <w:pPr>
        <w:pStyle w:val="Caption"/>
        <w:keepNext/>
        <w:jc w:val="both"/>
      </w:pPr>
      <w:r>
        <w:t xml:space="preserve">Table </w:t>
      </w:r>
      <w:fldSimple w:instr=" SEQ Table \* ARABIC ">
        <w:r w:rsidR="006A473B">
          <w:rPr>
            <w:noProof/>
          </w:rPr>
          <w:t>1</w:t>
        </w:r>
      </w:fldSimple>
      <w:r>
        <w:t xml:space="preserve">: Statistical Description of </w:t>
      </w:r>
      <w:r w:rsidR="000A5387">
        <w:t>S</w:t>
      </w:r>
      <w:r>
        <w:t>ome Materials</w:t>
      </w:r>
    </w:p>
    <w:tbl>
      <w:tblPr>
        <w:tblStyle w:val="GridTable3-Accent5"/>
        <w:tblW w:w="0" w:type="auto"/>
        <w:tblLayout w:type="fixed"/>
        <w:tblLook w:val="04A0" w:firstRow="1" w:lastRow="0" w:firstColumn="1" w:lastColumn="0" w:noHBand="0" w:noVBand="1"/>
      </w:tblPr>
      <w:tblGrid>
        <w:gridCol w:w="1276"/>
        <w:gridCol w:w="1164"/>
        <w:gridCol w:w="1222"/>
        <w:gridCol w:w="1341"/>
        <w:gridCol w:w="1341"/>
        <w:gridCol w:w="1341"/>
        <w:gridCol w:w="1341"/>
      </w:tblGrid>
      <w:tr w:rsidR="00073DDA" w14:paraId="7FF398F4" w14:textId="77777777" w:rsidTr="004A19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hideMark/>
          </w:tcPr>
          <w:p w14:paraId="01300540" w14:textId="77777777" w:rsidR="00073DDA" w:rsidRDefault="00073DDA" w:rsidP="00BB507A">
            <w:pPr>
              <w:jc w:val="both"/>
              <w:rPr>
                <w:b/>
                <w:bCs/>
              </w:rPr>
            </w:pPr>
            <w:r>
              <w:rPr>
                <w:b/>
                <w:bCs/>
              </w:rPr>
              <w:t>Type of Material</w:t>
            </w:r>
          </w:p>
        </w:tc>
        <w:tc>
          <w:tcPr>
            <w:tcW w:w="1164" w:type="dxa"/>
            <w:hideMark/>
          </w:tcPr>
          <w:p w14:paraId="5F3AD963"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structural steel</w:t>
            </w:r>
          </w:p>
        </w:tc>
        <w:tc>
          <w:tcPr>
            <w:tcW w:w="1222" w:type="dxa"/>
            <w:hideMark/>
          </w:tcPr>
          <w:p w14:paraId="6FB29B9E"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treated timber</w:t>
            </w:r>
          </w:p>
        </w:tc>
        <w:tc>
          <w:tcPr>
            <w:tcW w:w="1341" w:type="dxa"/>
            <w:hideMark/>
          </w:tcPr>
          <w:p w14:paraId="3208ED17"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Plaster</w:t>
            </w:r>
          </w:p>
        </w:tc>
        <w:tc>
          <w:tcPr>
            <w:tcW w:w="1341" w:type="dxa"/>
            <w:hideMark/>
          </w:tcPr>
          <w:p w14:paraId="0B7E590C"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w:t>
            </w:r>
          </w:p>
        </w:tc>
        <w:tc>
          <w:tcPr>
            <w:tcW w:w="1341" w:type="dxa"/>
            <w:hideMark/>
          </w:tcPr>
          <w:p w14:paraId="092ACDF2"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and reinforcing metal</w:t>
            </w:r>
          </w:p>
        </w:tc>
        <w:tc>
          <w:tcPr>
            <w:tcW w:w="1341" w:type="dxa"/>
            <w:hideMark/>
          </w:tcPr>
          <w:p w14:paraId="4A2B7350" w14:textId="77777777" w:rsidR="00073DDA" w:rsidRDefault="00073DDA"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fabricated metal</w:t>
            </w:r>
          </w:p>
        </w:tc>
      </w:tr>
      <w:tr w:rsidR="00073DDA" w14:paraId="495999A1"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3F3FC120" w14:textId="77777777" w:rsidR="00073DDA" w:rsidRDefault="00073DDA" w:rsidP="00BB507A">
            <w:pPr>
              <w:jc w:val="both"/>
              <w:rPr>
                <w:b/>
                <w:bCs/>
              </w:rPr>
            </w:pPr>
            <w:r>
              <w:rPr>
                <w:b/>
                <w:bCs/>
              </w:rPr>
              <w:t>count</w:t>
            </w:r>
          </w:p>
        </w:tc>
        <w:tc>
          <w:tcPr>
            <w:tcW w:w="1164" w:type="dxa"/>
            <w:hideMark/>
          </w:tcPr>
          <w:p w14:paraId="49041BBB" w14:textId="27D447D8"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w:t>
            </w:r>
          </w:p>
        </w:tc>
        <w:tc>
          <w:tcPr>
            <w:tcW w:w="1222" w:type="dxa"/>
            <w:hideMark/>
          </w:tcPr>
          <w:p w14:paraId="3DA8A2EF" w14:textId="15D4F67F"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w:t>
            </w:r>
          </w:p>
        </w:tc>
        <w:tc>
          <w:tcPr>
            <w:tcW w:w="1341" w:type="dxa"/>
            <w:hideMark/>
          </w:tcPr>
          <w:p w14:paraId="097F880A" w14:textId="2601357D"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45B9ED6" w14:textId="176DBD9A"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9E934F6" w14:textId="680F7178"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42A18434" w14:textId="3380EF19"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100.00000</w:t>
            </w:r>
          </w:p>
        </w:tc>
      </w:tr>
      <w:tr w:rsidR="00073DDA" w14:paraId="1BD1E01A"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D678E0F" w14:textId="77777777" w:rsidR="00073DDA" w:rsidRDefault="00073DDA" w:rsidP="00BB507A">
            <w:pPr>
              <w:jc w:val="both"/>
              <w:rPr>
                <w:b/>
                <w:bCs/>
              </w:rPr>
            </w:pPr>
            <w:r>
              <w:rPr>
                <w:b/>
                <w:bCs/>
              </w:rPr>
              <w:lastRenderedPageBreak/>
              <w:t>mean</w:t>
            </w:r>
          </w:p>
        </w:tc>
        <w:tc>
          <w:tcPr>
            <w:tcW w:w="1164" w:type="dxa"/>
            <w:hideMark/>
          </w:tcPr>
          <w:p w14:paraId="11F411B0" w14:textId="557F308C"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119.3100</w:t>
            </w:r>
          </w:p>
        </w:tc>
        <w:tc>
          <w:tcPr>
            <w:tcW w:w="1222" w:type="dxa"/>
            <w:hideMark/>
          </w:tcPr>
          <w:p w14:paraId="5B5754CB" w14:textId="0B765230"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122.3140</w:t>
            </w:r>
          </w:p>
        </w:tc>
        <w:tc>
          <w:tcPr>
            <w:tcW w:w="1341" w:type="dxa"/>
            <w:hideMark/>
          </w:tcPr>
          <w:p w14:paraId="405CD101" w14:textId="727DD840"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122.01200</w:t>
            </w:r>
          </w:p>
        </w:tc>
        <w:tc>
          <w:tcPr>
            <w:tcW w:w="1341" w:type="dxa"/>
            <w:hideMark/>
          </w:tcPr>
          <w:p w14:paraId="1F2385B1" w14:textId="60DE0DE1"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127.65400</w:t>
            </w:r>
          </w:p>
        </w:tc>
        <w:tc>
          <w:tcPr>
            <w:tcW w:w="1341" w:type="dxa"/>
            <w:hideMark/>
          </w:tcPr>
          <w:p w14:paraId="30CC9C9C" w14:textId="41C749AE"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124.53800</w:t>
            </w:r>
          </w:p>
        </w:tc>
        <w:tc>
          <w:tcPr>
            <w:tcW w:w="1341" w:type="dxa"/>
            <w:hideMark/>
          </w:tcPr>
          <w:p w14:paraId="34A0E730" w14:textId="156262FE"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128.67800</w:t>
            </w:r>
          </w:p>
        </w:tc>
      </w:tr>
      <w:tr w:rsidR="00073DDA" w14:paraId="4BACCFF3"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5D8EF9BE" w14:textId="77777777" w:rsidR="00073DDA" w:rsidRDefault="00073DDA" w:rsidP="00BB507A">
            <w:pPr>
              <w:jc w:val="both"/>
              <w:rPr>
                <w:b/>
                <w:bCs/>
              </w:rPr>
            </w:pPr>
            <w:r>
              <w:rPr>
                <w:b/>
                <w:bCs/>
              </w:rPr>
              <w:t>std</w:t>
            </w:r>
          </w:p>
        </w:tc>
        <w:tc>
          <w:tcPr>
            <w:tcW w:w="1164" w:type="dxa"/>
            <w:hideMark/>
          </w:tcPr>
          <w:p w14:paraId="69F6C6F7" w14:textId="2FFFA519"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32.4859</w:t>
            </w:r>
            <w:r w:rsidR="002001D0">
              <w:t>4</w:t>
            </w:r>
          </w:p>
        </w:tc>
        <w:tc>
          <w:tcPr>
            <w:tcW w:w="1222" w:type="dxa"/>
            <w:hideMark/>
          </w:tcPr>
          <w:p w14:paraId="3B3BEA71"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44.93026</w:t>
            </w:r>
          </w:p>
        </w:tc>
        <w:tc>
          <w:tcPr>
            <w:tcW w:w="1341" w:type="dxa"/>
            <w:hideMark/>
          </w:tcPr>
          <w:p w14:paraId="049DBC6F"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26.717203</w:t>
            </w:r>
          </w:p>
        </w:tc>
        <w:tc>
          <w:tcPr>
            <w:tcW w:w="1341" w:type="dxa"/>
            <w:hideMark/>
          </w:tcPr>
          <w:p w14:paraId="110650A0"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31.898473</w:t>
            </w:r>
          </w:p>
        </w:tc>
        <w:tc>
          <w:tcPr>
            <w:tcW w:w="1341" w:type="dxa"/>
            <w:hideMark/>
          </w:tcPr>
          <w:p w14:paraId="3A4FC924"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31.227089</w:t>
            </w:r>
          </w:p>
        </w:tc>
        <w:tc>
          <w:tcPr>
            <w:tcW w:w="1341" w:type="dxa"/>
            <w:hideMark/>
          </w:tcPr>
          <w:p w14:paraId="21E43AB4"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32.694406</w:t>
            </w:r>
          </w:p>
        </w:tc>
      </w:tr>
      <w:tr w:rsidR="00073DDA" w14:paraId="35D42950"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3FB27ED6" w14:textId="77777777" w:rsidR="00073DDA" w:rsidRDefault="00073DDA" w:rsidP="00BB507A">
            <w:pPr>
              <w:jc w:val="both"/>
              <w:rPr>
                <w:b/>
                <w:bCs/>
              </w:rPr>
            </w:pPr>
            <w:r>
              <w:rPr>
                <w:b/>
                <w:bCs/>
              </w:rPr>
              <w:t>min</w:t>
            </w:r>
          </w:p>
        </w:tc>
        <w:tc>
          <w:tcPr>
            <w:tcW w:w="1164" w:type="dxa"/>
            <w:hideMark/>
          </w:tcPr>
          <w:p w14:paraId="6E9BD42A" w14:textId="7D6D8D24"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95.70000</w:t>
            </w:r>
          </w:p>
        </w:tc>
        <w:tc>
          <w:tcPr>
            <w:tcW w:w="1222" w:type="dxa"/>
            <w:hideMark/>
          </w:tcPr>
          <w:p w14:paraId="6B274412" w14:textId="7777777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95.30000</w:t>
            </w:r>
          </w:p>
        </w:tc>
        <w:tc>
          <w:tcPr>
            <w:tcW w:w="1341" w:type="dxa"/>
            <w:hideMark/>
          </w:tcPr>
          <w:p w14:paraId="5C6B4745" w14:textId="7777777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98.400000</w:t>
            </w:r>
          </w:p>
        </w:tc>
        <w:tc>
          <w:tcPr>
            <w:tcW w:w="1341" w:type="dxa"/>
            <w:hideMark/>
          </w:tcPr>
          <w:p w14:paraId="74849B09" w14:textId="7777777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97.600000</w:t>
            </w:r>
          </w:p>
        </w:tc>
        <w:tc>
          <w:tcPr>
            <w:tcW w:w="1341" w:type="dxa"/>
            <w:hideMark/>
          </w:tcPr>
          <w:p w14:paraId="1E3CAD92" w14:textId="7777777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98.800000</w:t>
            </w:r>
          </w:p>
        </w:tc>
        <w:tc>
          <w:tcPr>
            <w:tcW w:w="1341" w:type="dxa"/>
            <w:hideMark/>
          </w:tcPr>
          <w:p w14:paraId="18DB72EA" w14:textId="7777777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97.300000</w:t>
            </w:r>
          </w:p>
        </w:tc>
      </w:tr>
      <w:tr w:rsidR="00073DDA" w14:paraId="3896E5E0"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741C5A5" w14:textId="77777777" w:rsidR="00073DDA" w:rsidRDefault="00073DDA" w:rsidP="00BB507A">
            <w:pPr>
              <w:jc w:val="both"/>
              <w:rPr>
                <w:b/>
                <w:bCs/>
              </w:rPr>
            </w:pPr>
            <w:r>
              <w:rPr>
                <w:b/>
                <w:bCs/>
              </w:rPr>
              <w:t>25%</w:t>
            </w:r>
          </w:p>
        </w:tc>
        <w:tc>
          <w:tcPr>
            <w:tcW w:w="1164" w:type="dxa"/>
            <w:hideMark/>
          </w:tcPr>
          <w:p w14:paraId="64456607" w14:textId="6ECC8ED8"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99.60000</w:t>
            </w:r>
          </w:p>
        </w:tc>
        <w:tc>
          <w:tcPr>
            <w:tcW w:w="1222" w:type="dxa"/>
            <w:hideMark/>
          </w:tcPr>
          <w:p w14:paraId="55681978" w14:textId="77777777"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95.30000</w:t>
            </w:r>
          </w:p>
        </w:tc>
        <w:tc>
          <w:tcPr>
            <w:tcW w:w="1341" w:type="dxa"/>
            <w:hideMark/>
          </w:tcPr>
          <w:p w14:paraId="15A60543" w14:textId="3890DC8C"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104.12500</w:t>
            </w:r>
          </w:p>
        </w:tc>
        <w:tc>
          <w:tcPr>
            <w:tcW w:w="1341" w:type="dxa"/>
            <w:hideMark/>
          </w:tcPr>
          <w:p w14:paraId="40688A6B" w14:textId="2869A5E0"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110.35000</w:t>
            </w:r>
          </w:p>
        </w:tc>
        <w:tc>
          <w:tcPr>
            <w:tcW w:w="1341" w:type="dxa"/>
            <w:hideMark/>
          </w:tcPr>
          <w:p w14:paraId="0593125A" w14:textId="780D52FF"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106.32500</w:t>
            </w:r>
          </w:p>
        </w:tc>
        <w:tc>
          <w:tcPr>
            <w:tcW w:w="1341" w:type="dxa"/>
            <w:hideMark/>
          </w:tcPr>
          <w:p w14:paraId="7633B440" w14:textId="3235EB90"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111.75000</w:t>
            </w:r>
          </w:p>
        </w:tc>
      </w:tr>
      <w:tr w:rsidR="00073DDA" w14:paraId="1846AB04"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FFD8823" w14:textId="77777777" w:rsidR="00073DDA" w:rsidRDefault="00073DDA" w:rsidP="00BB507A">
            <w:pPr>
              <w:jc w:val="both"/>
              <w:rPr>
                <w:b/>
                <w:bCs/>
              </w:rPr>
            </w:pPr>
            <w:r>
              <w:rPr>
                <w:b/>
                <w:bCs/>
              </w:rPr>
              <w:t>50%</w:t>
            </w:r>
          </w:p>
        </w:tc>
        <w:tc>
          <w:tcPr>
            <w:tcW w:w="1164" w:type="dxa"/>
            <w:hideMark/>
          </w:tcPr>
          <w:p w14:paraId="4E9AF45C" w14:textId="1E28579B"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104.6500</w:t>
            </w:r>
          </w:p>
        </w:tc>
        <w:tc>
          <w:tcPr>
            <w:tcW w:w="1222" w:type="dxa"/>
            <w:hideMark/>
          </w:tcPr>
          <w:p w14:paraId="299D4A56" w14:textId="0CB5A81C"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102.8000</w:t>
            </w:r>
          </w:p>
        </w:tc>
        <w:tc>
          <w:tcPr>
            <w:tcW w:w="1341" w:type="dxa"/>
            <w:hideMark/>
          </w:tcPr>
          <w:p w14:paraId="123981B6" w14:textId="2FFEE2A2"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112.80000</w:t>
            </w:r>
          </w:p>
        </w:tc>
        <w:tc>
          <w:tcPr>
            <w:tcW w:w="1341" w:type="dxa"/>
            <w:hideMark/>
          </w:tcPr>
          <w:p w14:paraId="6F36D932" w14:textId="60493DFC"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120.45000</w:t>
            </w:r>
          </w:p>
        </w:tc>
        <w:tc>
          <w:tcPr>
            <w:tcW w:w="1341" w:type="dxa"/>
            <w:hideMark/>
          </w:tcPr>
          <w:p w14:paraId="26373420" w14:textId="74DBE448"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113.60000</w:t>
            </w:r>
          </w:p>
        </w:tc>
        <w:tc>
          <w:tcPr>
            <w:tcW w:w="1341" w:type="dxa"/>
            <w:hideMark/>
          </w:tcPr>
          <w:p w14:paraId="2ED764E7" w14:textId="32D18209"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122.70000</w:t>
            </w:r>
          </w:p>
        </w:tc>
      </w:tr>
      <w:tr w:rsidR="00073DDA" w14:paraId="736367CE"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6A1B7BA9" w14:textId="77777777" w:rsidR="00073DDA" w:rsidRDefault="00073DDA" w:rsidP="00BB507A">
            <w:pPr>
              <w:jc w:val="both"/>
              <w:rPr>
                <w:b/>
                <w:bCs/>
              </w:rPr>
            </w:pPr>
            <w:r>
              <w:rPr>
                <w:b/>
                <w:bCs/>
              </w:rPr>
              <w:t>75%</w:t>
            </w:r>
          </w:p>
        </w:tc>
        <w:tc>
          <w:tcPr>
            <w:tcW w:w="1164" w:type="dxa"/>
            <w:hideMark/>
          </w:tcPr>
          <w:p w14:paraId="065FDDC9" w14:textId="217CCE1C"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121.1750</w:t>
            </w:r>
          </w:p>
        </w:tc>
        <w:tc>
          <w:tcPr>
            <w:tcW w:w="1222" w:type="dxa"/>
            <w:hideMark/>
          </w:tcPr>
          <w:p w14:paraId="26CC11D5" w14:textId="77E12D0F"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104.7000</w:t>
            </w:r>
          </w:p>
        </w:tc>
        <w:tc>
          <w:tcPr>
            <w:tcW w:w="1341" w:type="dxa"/>
            <w:hideMark/>
          </w:tcPr>
          <w:p w14:paraId="7DD4D97D" w14:textId="477BEA88"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125.62500</w:t>
            </w:r>
          </w:p>
        </w:tc>
        <w:tc>
          <w:tcPr>
            <w:tcW w:w="1341" w:type="dxa"/>
            <w:hideMark/>
          </w:tcPr>
          <w:p w14:paraId="204CF6A7" w14:textId="7D6930A3"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124.12500</w:t>
            </w:r>
          </w:p>
        </w:tc>
        <w:tc>
          <w:tcPr>
            <w:tcW w:w="1341" w:type="dxa"/>
            <w:hideMark/>
          </w:tcPr>
          <w:p w14:paraId="439F2ABA" w14:textId="1D025450"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120.57500</w:t>
            </w:r>
          </w:p>
        </w:tc>
        <w:tc>
          <w:tcPr>
            <w:tcW w:w="1341" w:type="dxa"/>
            <w:hideMark/>
          </w:tcPr>
          <w:p w14:paraId="4C36F50A" w14:textId="2A76720E" w:rsidR="00073DDA" w:rsidRDefault="00073DDA" w:rsidP="00BB507A">
            <w:pPr>
              <w:jc w:val="both"/>
              <w:cnfStyle w:val="000000100000" w:firstRow="0" w:lastRow="0" w:firstColumn="0" w:lastColumn="0" w:oddVBand="0" w:evenVBand="0" w:oddHBand="1" w:evenHBand="0" w:firstRowFirstColumn="0" w:firstRowLastColumn="0" w:lastRowFirstColumn="0" w:lastRowLastColumn="0"/>
            </w:pPr>
            <w:r>
              <w:t>124.50000</w:t>
            </w:r>
          </w:p>
        </w:tc>
      </w:tr>
      <w:tr w:rsidR="00073DDA" w14:paraId="263D454D"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47924E9C" w14:textId="77777777" w:rsidR="00073DDA" w:rsidRDefault="00073DDA" w:rsidP="00BB507A">
            <w:pPr>
              <w:jc w:val="both"/>
              <w:rPr>
                <w:b/>
                <w:bCs/>
              </w:rPr>
            </w:pPr>
            <w:r>
              <w:rPr>
                <w:b/>
                <w:bCs/>
              </w:rPr>
              <w:t>max</w:t>
            </w:r>
          </w:p>
        </w:tc>
        <w:tc>
          <w:tcPr>
            <w:tcW w:w="1164" w:type="dxa"/>
            <w:hideMark/>
          </w:tcPr>
          <w:p w14:paraId="3E974C0E" w14:textId="1312C436"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210.5000</w:t>
            </w:r>
          </w:p>
        </w:tc>
        <w:tc>
          <w:tcPr>
            <w:tcW w:w="1222" w:type="dxa"/>
            <w:hideMark/>
          </w:tcPr>
          <w:p w14:paraId="4D4D9A2A" w14:textId="51FE18F1"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216.6000</w:t>
            </w:r>
          </w:p>
        </w:tc>
        <w:tc>
          <w:tcPr>
            <w:tcW w:w="1341" w:type="dxa"/>
            <w:hideMark/>
          </w:tcPr>
          <w:p w14:paraId="3520185F" w14:textId="1C0FC0C7"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206.30000</w:t>
            </w:r>
          </w:p>
        </w:tc>
        <w:tc>
          <w:tcPr>
            <w:tcW w:w="1341" w:type="dxa"/>
            <w:hideMark/>
          </w:tcPr>
          <w:p w14:paraId="21208662" w14:textId="23634300"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222.40000</w:t>
            </w:r>
          </w:p>
        </w:tc>
        <w:tc>
          <w:tcPr>
            <w:tcW w:w="1341" w:type="dxa"/>
            <w:hideMark/>
          </w:tcPr>
          <w:p w14:paraId="77D0248E" w14:textId="320E0D06"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205.70000</w:t>
            </w:r>
          </w:p>
        </w:tc>
        <w:tc>
          <w:tcPr>
            <w:tcW w:w="1341" w:type="dxa"/>
            <w:hideMark/>
          </w:tcPr>
          <w:p w14:paraId="07175C51" w14:textId="60167798" w:rsidR="00073DDA" w:rsidRDefault="00073DDA" w:rsidP="00BB507A">
            <w:pPr>
              <w:jc w:val="both"/>
              <w:cnfStyle w:val="000000000000" w:firstRow="0" w:lastRow="0" w:firstColumn="0" w:lastColumn="0" w:oddVBand="0" w:evenVBand="0" w:oddHBand="0" w:evenHBand="0" w:firstRowFirstColumn="0" w:firstRowLastColumn="0" w:lastRowFirstColumn="0" w:lastRowLastColumn="0"/>
            </w:pPr>
            <w:r>
              <w:t>229.90000</w:t>
            </w:r>
          </w:p>
        </w:tc>
      </w:tr>
    </w:tbl>
    <w:p w14:paraId="0C1F95AE" w14:textId="77777777" w:rsidR="00020335" w:rsidRDefault="00020335" w:rsidP="00BB507A">
      <w:pPr>
        <w:spacing w:line="276" w:lineRule="auto"/>
        <w:jc w:val="both"/>
        <w:rPr>
          <w:lang w:eastAsia="en-US"/>
        </w:rPr>
      </w:pPr>
    </w:p>
    <w:p w14:paraId="35864E61" w14:textId="51682A4E" w:rsidR="00073DDA" w:rsidRDefault="005D779D" w:rsidP="00BB507A">
      <w:pPr>
        <w:spacing w:line="276" w:lineRule="auto"/>
        <w:jc w:val="both"/>
        <w:rPr>
          <w:lang w:eastAsia="en-US"/>
        </w:rPr>
      </w:pPr>
      <w:r>
        <w:rPr>
          <w:lang w:eastAsia="en-US"/>
        </w:rPr>
        <w:t xml:space="preserve">The presence of outliers or extreme price indices for some construction materials can also be demonstrated in below </w:t>
      </w:r>
      <w:proofErr w:type="spellStart"/>
      <w:r>
        <w:rPr>
          <w:lang w:eastAsia="en-US"/>
        </w:rPr>
        <w:t>BoxPlot</w:t>
      </w:r>
      <w:proofErr w:type="spellEnd"/>
      <w:r>
        <w:rPr>
          <w:lang w:eastAsia="en-US"/>
        </w:rPr>
        <w:t>.</w:t>
      </w:r>
    </w:p>
    <w:p w14:paraId="3EC071F8" w14:textId="77777777" w:rsidR="005D779D" w:rsidRPr="00D810D5" w:rsidRDefault="005D779D" w:rsidP="00BB507A">
      <w:pPr>
        <w:spacing w:line="276" w:lineRule="auto"/>
        <w:jc w:val="both"/>
        <w:rPr>
          <w:lang w:eastAsia="en-US"/>
        </w:rPr>
      </w:pPr>
    </w:p>
    <w:p w14:paraId="31519E9B" w14:textId="77777777" w:rsidR="00A920A6" w:rsidRDefault="005D779D" w:rsidP="00BB507A">
      <w:pPr>
        <w:keepNext/>
        <w:spacing w:line="276" w:lineRule="auto"/>
        <w:jc w:val="both"/>
      </w:pPr>
      <w:r>
        <w:rPr>
          <w:noProof/>
          <w:lang w:eastAsia="en-US"/>
          <w14:ligatures w14:val="standardContextual"/>
        </w:rPr>
        <w:drawing>
          <wp:inline distT="0" distB="0" distL="0" distR="0" wp14:anchorId="7831D550" wp14:editId="64B88697">
            <wp:extent cx="5731510" cy="2656840"/>
            <wp:effectExtent l="0" t="0" r="0" b="0"/>
            <wp:docPr id="198035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794" name="Picture 19803567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0B283649" w14:textId="5A59D474" w:rsidR="00F655A6" w:rsidRDefault="00A920A6" w:rsidP="00BB507A">
      <w:pPr>
        <w:pStyle w:val="Caption"/>
        <w:jc w:val="both"/>
        <w:rPr>
          <w:lang w:eastAsia="en-US"/>
        </w:rPr>
      </w:pPr>
      <w:r>
        <w:t xml:space="preserve">Figure </w:t>
      </w:r>
      <w:fldSimple w:instr=" SEQ Figure \* ARABIC ">
        <w:r w:rsidR="00996B2C">
          <w:rPr>
            <w:noProof/>
          </w:rPr>
          <w:t>1</w:t>
        </w:r>
      </w:fldSimple>
      <w:r>
        <w:t xml:space="preserve">: </w:t>
      </w:r>
      <w:proofErr w:type="spellStart"/>
      <w:r>
        <w:t>BoxPlot</w:t>
      </w:r>
      <w:proofErr w:type="spellEnd"/>
      <w:r>
        <w:t xml:space="preserve"> of Construction Materials with High Variation</w:t>
      </w:r>
    </w:p>
    <w:p w14:paraId="280EED96" w14:textId="77777777" w:rsidR="00875AF4" w:rsidRDefault="00875AF4" w:rsidP="00BB507A">
      <w:pPr>
        <w:spacing w:line="276" w:lineRule="auto"/>
        <w:jc w:val="both"/>
        <w:rPr>
          <w:lang w:eastAsia="en-US"/>
        </w:rPr>
      </w:pPr>
    </w:p>
    <w:p w14:paraId="7432679F" w14:textId="7591DB5B" w:rsidR="00701FA1" w:rsidRDefault="00701FA1" w:rsidP="00BB507A">
      <w:pPr>
        <w:spacing w:line="276" w:lineRule="auto"/>
        <w:jc w:val="both"/>
        <w:rPr>
          <w:lang w:eastAsia="en-US"/>
        </w:rPr>
      </w:pPr>
      <w:r>
        <w:rPr>
          <w:lang w:eastAsia="en-US"/>
        </w:rPr>
        <w:t xml:space="preserve">It is preferable to address such outliers when applicable, using methods like transformation, removal, </w:t>
      </w:r>
      <w:proofErr w:type="spellStart"/>
      <w:r>
        <w:rPr>
          <w:lang w:eastAsia="en-US"/>
        </w:rPr>
        <w:t>Winsorization</w:t>
      </w:r>
      <w:proofErr w:type="spellEnd"/>
      <w:r>
        <w:rPr>
          <w:lang w:eastAsia="en-US"/>
        </w:rPr>
        <w:t xml:space="preserve">, etc. </w:t>
      </w:r>
      <w:proofErr w:type="spellStart"/>
      <w:r>
        <w:rPr>
          <w:lang w:eastAsia="en-US"/>
        </w:rPr>
        <w:t>BoxCox</w:t>
      </w:r>
      <w:proofErr w:type="spellEnd"/>
      <w:r>
        <w:rPr>
          <w:lang w:eastAsia="en-US"/>
        </w:rPr>
        <w:t xml:space="preserve"> Transformation was applied on these features, which helped to reduce the outliers. </w:t>
      </w:r>
      <w:r w:rsidR="00F203DF">
        <w:rPr>
          <w:lang w:eastAsia="en-US"/>
        </w:rPr>
        <w:t>However, with such approaches, it is important to consider aspects such as interoperability, impact on relationships, and reversibility. Therefore, depending on the use case, it may not always be useful to transform the data.</w:t>
      </w:r>
    </w:p>
    <w:p w14:paraId="78D58BA0" w14:textId="77777777" w:rsidR="007B194F" w:rsidRDefault="007B194F" w:rsidP="00BB507A">
      <w:pPr>
        <w:spacing w:line="276" w:lineRule="auto"/>
        <w:jc w:val="both"/>
        <w:rPr>
          <w:lang w:eastAsia="en-US"/>
        </w:rPr>
      </w:pPr>
    </w:p>
    <w:p w14:paraId="2E63BA7E" w14:textId="5AC22237" w:rsidR="007B194F" w:rsidRDefault="007B194F" w:rsidP="00BB507A">
      <w:pPr>
        <w:spacing w:line="276" w:lineRule="auto"/>
        <w:jc w:val="both"/>
        <w:rPr>
          <w:lang w:eastAsia="en-US"/>
        </w:rPr>
      </w:pPr>
      <w:r>
        <w:rPr>
          <w:lang w:eastAsia="en-US"/>
        </w:rPr>
        <w:t>Similarly, the second dataset represents the Production in Construction Indices with same base of 100 for 2015. It is also mainly positive skewed, with Residential Buildings standing out</w:t>
      </w:r>
      <w:r w:rsidR="00FE5A77">
        <w:rPr>
          <w:lang w:eastAsia="en-US"/>
        </w:rPr>
        <w:t>. This construction type had highest maximum of 789.9 and lowest medium of 55. It also had highest mean at 268.5 with standard deviation of 219.3.</w:t>
      </w:r>
    </w:p>
    <w:p w14:paraId="78BED775" w14:textId="77777777" w:rsidR="00FE5A77" w:rsidRDefault="00FE5A77" w:rsidP="00BB507A">
      <w:pPr>
        <w:spacing w:line="276" w:lineRule="auto"/>
        <w:jc w:val="both"/>
        <w:rPr>
          <w:lang w:eastAsia="en-US"/>
        </w:rPr>
      </w:pPr>
    </w:p>
    <w:p w14:paraId="35F3691E" w14:textId="77777777" w:rsidR="00A920A6" w:rsidRDefault="00FE5A77" w:rsidP="00BB507A">
      <w:pPr>
        <w:keepNext/>
        <w:spacing w:line="276" w:lineRule="auto"/>
        <w:jc w:val="both"/>
      </w:pPr>
      <w:r>
        <w:rPr>
          <w:noProof/>
          <w:lang w:eastAsia="en-US"/>
          <w14:ligatures w14:val="standardContextual"/>
        </w:rPr>
        <w:lastRenderedPageBreak/>
        <w:drawing>
          <wp:inline distT="0" distB="0" distL="0" distR="0" wp14:anchorId="4552EA92" wp14:editId="331A62F7">
            <wp:extent cx="5731510" cy="1989455"/>
            <wp:effectExtent l="0" t="0" r="0" b="4445"/>
            <wp:docPr id="84269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4541" name="Picture 8426945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p>
    <w:p w14:paraId="7502D6AC" w14:textId="6D4380DD" w:rsidR="00EB3165" w:rsidRDefault="00A920A6" w:rsidP="00BB507A">
      <w:pPr>
        <w:pStyle w:val="Caption"/>
        <w:jc w:val="both"/>
        <w:rPr>
          <w:lang w:eastAsia="en-US"/>
        </w:rPr>
      </w:pPr>
      <w:r>
        <w:t xml:space="preserve">Figure </w:t>
      </w:r>
      <w:fldSimple w:instr=" SEQ Figure \* ARABIC ">
        <w:r w:rsidR="00996B2C">
          <w:rPr>
            <w:noProof/>
          </w:rPr>
          <w:t>2</w:t>
        </w:r>
      </w:fldSimple>
      <w:r>
        <w:t xml:space="preserve">: </w:t>
      </w:r>
      <w:proofErr w:type="spellStart"/>
      <w:r>
        <w:t>BoxPlot</w:t>
      </w:r>
      <w:proofErr w:type="spellEnd"/>
      <w:r>
        <w:t xml:space="preserve"> of Production in Construction by Types</w:t>
      </w:r>
    </w:p>
    <w:p w14:paraId="64A789A5" w14:textId="77777777" w:rsidR="00996B2C" w:rsidRDefault="00996B2C" w:rsidP="00BB507A">
      <w:pPr>
        <w:spacing w:line="276" w:lineRule="auto"/>
        <w:jc w:val="both"/>
        <w:rPr>
          <w:lang w:eastAsia="en-US"/>
        </w:rPr>
      </w:pPr>
      <w:r>
        <w:rPr>
          <w:lang w:eastAsia="en-US"/>
        </w:rPr>
        <w:t>In overall, only Non-residential Building type had relatively balanced distribution.</w:t>
      </w:r>
    </w:p>
    <w:p w14:paraId="70FD603B" w14:textId="77777777" w:rsidR="00996B2C" w:rsidRDefault="00996B2C" w:rsidP="00BB507A">
      <w:pPr>
        <w:spacing w:line="276" w:lineRule="auto"/>
        <w:jc w:val="both"/>
        <w:rPr>
          <w:lang w:eastAsia="en-US"/>
        </w:rPr>
      </w:pPr>
    </w:p>
    <w:p w14:paraId="521877AF" w14:textId="77777777" w:rsidR="00996B2C" w:rsidRDefault="00996B2C" w:rsidP="00BB507A">
      <w:pPr>
        <w:keepNext/>
        <w:spacing w:line="276" w:lineRule="auto"/>
        <w:jc w:val="both"/>
      </w:pPr>
      <w:r>
        <w:rPr>
          <w:noProof/>
          <w:lang w:eastAsia="en-US"/>
          <w14:ligatures w14:val="standardContextual"/>
        </w:rPr>
        <w:drawing>
          <wp:inline distT="0" distB="0" distL="0" distR="0" wp14:anchorId="5CDBDA25" wp14:editId="14995868">
            <wp:extent cx="5731510" cy="2006600"/>
            <wp:effectExtent l="0" t="0" r="0" b="0"/>
            <wp:docPr id="874613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13244" name="Picture 874613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inline>
        </w:drawing>
      </w:r>
    </w:p>
    <w:p w14:paraId="1759192B" w14:textId="768CEDEC" w:rsidR="00FE5A77" w:rsidRDefault="00996B2C" w:rsidP="00BB507A">
      <w:pPr>
        <w:pStyle w:val="Caption"/>
        <w:jc w:val="both"/>
      </w:pPr>
      <w:r>
        <w:t xml:space="preserve">Figure </w:t>
      </w:r>
      <w:fldSimple w:instr=" SEQ Figure \* ARABIC ">
        <w:r>
          <w:rPr>
            <w:noProof/>
          </w:rPr>
          <w:t>3</w:t>
        </w:r>
      </w:fldSimple>
      <w:r>
        <w:t xml:space="preserve">: </w:t>
      </w:r>
      <w:proofErr w:type="spellStart"/>
      <w:r>
        <w:t>HistPlot</w:t>
      </w:r>
      <w:proofErr w:type="spellEnd"/>
      <w:r>
        <w:t xml:space="preserve"> of Production in Construction Indices for Non-residential Building</w:t>
      </w:r>
    </w:p>
    <w:p w14:paraId="1D439A85" w14:textId="77777777" w:rsidR="00996B2C" w:rsidRPr="00996B2C" w:rsidRDefault="00996B2C" w:rsidP="00BB507A">
      <w:pPr>
        <w:jc w:val="both"/>
      </w:pPr>
    </w:p>
    <w:p w14:paraId="32AEDFD4" w14:textId="2A1F5134" w:rsidR="00D810D5" w:rsidRDefault="00D810D5" w:rsidP="00BB507A">
      <w:pPr>
        <w:pStyle w:val="Heading4"/>
        <w:spacing w:line="276" w:lineRule="auto"/>
        <w:jc w:val="both"/>
        <w:rPr>
          <w:lang w:eastAsia="en-US"/>
        </w:rPr>
      </w:pPr>
      <w:r>
        <w:rPr>
          <w:lang w:eastAsia="en-US"/>
        </w:rPr>
        <w:t>Inferential Statistics</w:t>
      </w:r>
    </w:p>
    <w:p w14:paraId="17C9132D" w14:textId="7E9A3343" w:rsidR="006665EC" w:rsidRDefault="00303CBA" w:rsidP="00BB507A">
      <w:pPr>
        <w:jc w:val="both"/>
        <w:rPr>
          <w:lang w:eastAsia="en-US"/>
        </w:rPr>
      </w:pPr>
      <w:r>
        <w:rPr>
          <w:lang w:eastAsia="en-US"/>
        </w:rPr>
        <w:t xml:space="preserve">Below inferential statistical analysis were performed to gain more insight and to make inferences about a population based on available sample data. </w:t>
      </w:r>
    </w:p>
    <w:p w14:paraId="2A02EFD4" w14:textId="77777777" w:rsidR="00303CBA" w:rsidRDefault="00303CBA" w:rsidP="00BB507A">
      <w:pPr>
        <w:jc w:val="both"/>
        <w:rPr>
          <w:lang w:eastAsia="en-US"/>
        </w:rPr>
      </w:pPr>
    </w:p>
    <w:p w14:paraId="0E72D472" w14:textId="7CC7E93E" w:rsidR="00303CBA" w:rsidRDefault="00303CBA" w:rsidP="00BB507A">
      <w:pPr>
        <w:pStyle w:val="Heading5"/>
        <w:jc w:val="both"/>
        <w:rPr>
          <w:lang w:eastAsia="en-US"/>
        </w:rPr>
      </w:pPr>
      <w:r>
        <w:rPr>
          <w:lang w:eastAsia="en-US"/>
        </w:rPr>
        <w:t>Pearson Correlation Coefficient Test</w:t>
      </w:r>
    </w:p>
    <w:p w14:paraId="490A028E" w14:textId="1AEC3B0D" w:rsidR="00303CBA" w:rsidRPr="00303CBA" w:rsidRDefault="00303CBA" w:rsidP="00BB507A">
      <w:pPr>
        <w:jc w:val="both"/>
        <w:rPr>
          <w:lang w:eastAsia="en-US"/>
        </w:rPr>
      </w:pPr>
      <w:r>
        <w:rPr>
          <w:lang w:eastAsia="en-US"/>
        </w:rPr>
        <w:t>10 construction materials were shortlisted based on their Pearson correlation coefficient</w:t>
      </w:r>
      <w:r w:rsidR="00DE5C15">
        <w:rPr>
          <w:lang w:eastAsia="en-US"/>
        </w:rPr>
        <w:t xml:space="preserve"> and target feature i.e. Production in Construction index for Non-residential buildings</w:t>
      </w:r>
      <w:r w:rsidR="004136E4">
        <w:rPr>
          <w:lang w:eastAsia="en-US"/>
        </w:rPr>
        <w:t xml:space="preserve"> (</w:t>
      </w:r>
      <w:proofErr w:type="spellStart"/>
      <w:r w:rsidR="004136E4" w:rsidRPr="004136E4">
        <w:rPr>
          <w:lang w:eastAsia="en-US"/>
        </w:rPr>
        <w:t>Sheposh</w:t>
      </w:r>
      <w:proofErr w:type="spellEnd"/>
      <w:r w:rsidR="004136E4">
        <w:rPr>
          <w:lang w:eastAsia="en-US"/>
        </w:rPr>
        <w:t>, 2022)</w:t>
      </w:r>
      <w:r>
        <w:rPr>
          <w:lang w:eastAsia="en-US"/>
        </w:rPr>
        <w:t>. Below test calculates the p-value and confidence interval</w:t>
      </w:r>
      <w:r w:rsidR="00DE5C15">
        <w:rPr>
          <w:lang w:eastAsia="en-US"/>
        </w:rPr>
        <w:t xml:space="preserve"> for each of these materials and the target variable.</w:t>
      </w:r>
    </w:p>
    <w:p w14:paraId="06E8ECEB" w14:textId="09722282" w:rsidR="00303CBA" w:rsidRDefault="00303CBA" w:rsidP="00BB507A">
      <w:pPr>
        <w:pStyle w:val="NormalWeb"/>
        <w:jc w:val="both"/>
      </w:pPr>
      <w:r>
        <w:t>Stating</w:t>
      </w:r>
      <w:r>
        <w:t xml:space="preserve"> the Null Hypothesis:</w:t>
      </w:r>
    </w:p>
    <w:p w14:paraId="30D59AA3" w14:textId="77777777" w:rsidR="00303CBA" w:rsidRDefault="00303CBA" w:rsidP="00BB507A">
      <w:pPr>
        <w:numPr>
          <w:ilvl w:val="0"/>
          <w:numId w:val="4"/>
        </w:numPr>
        <w:spacing w:before="100" w:beforeAutospacing="1" w:after="100" w:afterAutospacing="1"/>
        <w:jc w:val="both"/>
      </w:pPr>
      <w:r>
        <w:rPr>
          <w:rStyle w:val="Strong"/>
        </w:rPr>
        <w:t>Null Hypothesis (H0):</w:t>
      </w:r>
      <w:r>
        <w:t xml:space="preserve"> There is no correlation between each of the 10 selected construction materials and the value of production in Non-residential buildings.</w:t>
      </w:r>
    </w:p>
    <w:p w14:paraId="0D9A1996" w14:textId="77777777" w:rsidR="00303CBA" w:rsidRDefault="00303CBA" w:rsidP="00BB507A">
      <w:pPr>
        <w:numPr>
          <w:ilvl w:val="0"/>
          <w:numId w:val="4"/>
        </w:numPr>
        <w:spacing w:before="100" w:beforeAutospacing="1" w:after="100" w:afterAutospacing="1"/>
        <w:jc w:val="both"/>
      </w:pPr>
      <w:r>
        <w:rPr>
          <w:rStyle w:val="Strong"/>
        </w:rPr>
        <w:t>Alternative Hypothesis (H1):</w:t>
      </w:r>
      <w:r>
        <w:t xml:space="preserve"> There is a correlation between each of the 10 selected construction materials and the value of production in Non-residential buildings (the population correlation coefficient is not zero for at least one construction material).</w:t>
      </w:r>
    </w:p>
    <w:p w14:paraId="6BD45613" w14:textId="77777777" w:rsidR="00303CBA" w:rsidRDefault="00303CBA" w:rsidP="00BB507A">
      <w:pPr>
        <w:numPr>
          <w:ilvl w:val="0"/>
          <w:numId w:val="4"/>
        </w:numPr>
        <w:spacing w:before="100" w:beforeAutospacing="1" w:after="100" w:afterAutospacing="1"/>
        <w:jc w:val="both"/>
      </w:pPr>
      <w:r>
        <w:rPr>
          <w:rStyle w:val="Strong"/>
        </w:rPr>
        <w:t>Significance Level (alpha):</w:t>
      </w:r>
      <w:r>
        <w:t xml:space="preserve"> 5% (0.05)</w:t>
      </w:r>
    </w:p>
    <w:p w14:paraId="59A0B508" w14:textId="69FBE2DE" w:rsidR="004968E7" w:rsidRDefault="004968E7" w:rsidP="00BB507A">
      <w:pPr>
        <w:pStyle w:val="Caption"/>
        <w:keepNext/>
        <w:jc w:val="both"/>
      </w:pPr>
      <w:r>
        <w:lastRenderedPageBreak/>
        <w:t xml:space="preserve">Table </w:t>
      </w:r>
      <w:fldSimple w:instr=" SEQ Table \* ARABIC ">
        <w:r w:rsidR="006A473B">
          <w:rPr>
            <w:noProof/>
          </w:rPr>
          <w:t>2</w:t>
        </w:r>
      </w:fldSimple>
      <w:r>
        <w:t>: Pearson Correlation Coefficient Test results</w:t>
      </w:r>
    </w:p>
    <w:tbl>
      <w:tblPr>
        <w:tblStyle w:val="GridTable3-Accent5"/>
        <w:tblW w:w="0" w:type="auto"/>
        <w:tblLook w:val="04A0" w:firstRow="1" w:lastRow="0" w:firstColumn="1" w:lastColumn="0" w:noHBand="0" w:noVBand="1"/>
      </w:tblPr>
      <w:tblGrid>
        <w:gridCol w:w="3258"/>
        <w:gridCol w:w="1296"/>
        <w:gridCol w:w="1684"/>
        <w:gridCol w:w="961"/>
        <w:gridCol w:w="1827"/>
      </w:tblGrid>
      <w:tr w:rsidR="00BD2DA1" w14:paraId="44402182" w14:textId="77777777" w:rsidTr="00BD2D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9CC48E" w14:textId="77777777" w:rsidR="00BD2DA1" w:rsidRDefault="00BD2DA1" w:rsidP="00BB507A">
            <w:pPr>
              <w:jc w:val="both"/>
            </w:pPr>
            <w:r>
              <w:rPr>
                <w:b w:val="0"/>
                <w:bCs w:val="0"/>
              </w:rPr>
              <w:t>Material</w:t>
            </w:r>
          </w:p>
        </w:tc>
        <w:tc>
          <w:tcPr>
            <w:tcW w:w="0" w:type="auto"/>
            <w:hideMark/>
          </w:tcPr>
          <w:p w14:paraId="552D7A4A" w14:textId="77777777" w:rsidR="00BD2DA1" w:rsidRDefault="00BD2DA1"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Coefficient</w:t>
            </w:r>
          </w:p>
        </w:tc>
        <w:tc>
          <w:tcPr>
            <w:tcW w:w="1684" w:type="dxa"/>
            <w:hideMark/>
          </w:tcPr>
          <w:p w14:paraId="4CB948B7" w14:textId="77777777" w:rsidR="00BD2DA1" w:rsidRDefault="00BD2DA1"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961" w:type="dxa"/>
            <w:hideMark/>
          </w:tcPr>
          <w:p w14:paraId="7B277A88" w14:textId="128C94ED" w:rsidR="00BD2DA1" w:rsidRDefault="00BD2DA1"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w:t>
            </w:r>
            <w:r>
              <w:rPr>
                <w:b w:val="0"/>
                <w:bCs w:val="0"/>
              </w:rPr>
              <w:t>ccept H0</w:t>
            </w:r>
            <w:r>
              <w:rPr>
                <w:b w:val="0"/>
                <w:bCs w:val="0"/>
              </w:rPr>
              <w:t>?</w:t>
            </w:r>
          </w:p>
        </w:tc>
        <w:tc>
          <w:tcPr>
            <w:tcW w:w="0" w:type="auto"/>
            <w:hideMark/>
          </w:tcPr>
          <w:p w14:paraId="34949C62" w14:textId="5B740C39" w:rsidR="00BD2DA1" w:rsidRDefault="00BD2DA1"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w:t>
            </w:r>
            <w:r>
              <w:rPr>
                <w:b w:val="0"/>
                <w:bCs w:val="0"/>
              </w:rPr>
              <w:t>onfidence interval</w:t>
            </w:r>
          </w:p>
        </w:tc>
      </w:tr>
      <w:tr w:rsidR="00BD2DA1" w14:paraId="1D899880"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7E8AE" w14:textId="77777777" w:rsidR="00BD2DA1" w:rsidRDefault="00BD2DA1" w:rsidP="00BB507A">
            <w:pPr>
              <w:jc w:val="both"/>
            </w:pPr>
            <w:r>
              <w:t>All other metal fittings</w:t>
            </w:r>
          </w:p>
        </w:tc>
        <w:tc>
          <w:tcPr>
            <w:tcW w:w="0" w:type="auto"/>
            <w:hideMark/>
          </w:tcPr>
          <w:p w14:paraId="400638F2"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0.814911</w:t>
            </w:r>
          </w:p>
        </w:tc>
        <w:tc>
          <w:tcPr>
            <w:tcW w:w="1684" w:type="dxa"/>
            <w:hideMark/>
          </w:tcPr>
          <w:p w14:paraId="49C37EAB"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5.419483e-24</w:t>
            </w:r>
          </w:p>
        </w:tc>
        <w:tc>
          <w:tcPr>
            <w:tcW w:w="961" w:type="dxa"/>
            <w:hideMark/>
          </w:tcPr>
          <w:p w14:paraId="6BDF4F65"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70F5B765"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0.733-0.873</w:t>
            </w:r>
          </w:p>
        </w:tc>
      </w:tr>
      <w:tr w:rsidR="00BD2DA1" w14:paraId="3C1FE9E2"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383AE6A" w14:textId="77777777" w:rsidR="00BD2DA1" w:rsidRDefault="00BD2DA1" w:rsidP="00BB507A">
            <w:pPr>
              <w:jc w:val="both"/>
            </w:pPr>
            <w:r>
              <w:t>Cement</w:t>
            </w:r>
          </w:p>
        </w:tc>
        <w:tc>
          <w:tcPr>
            <w:tcW w:w="0" w:type="auto"/>
            <w:hideMark/>
          </w:tcPr>
          <w:p w14:paraId="4DC7145D"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0.750128</w:t>
            </w:r>
          </w:p>
        </w:tc>
        <w:tc>
          <w:tcPr>
            <w:tcW w:w="1684" w:type="dxa"/>
            <w:hideMark/>
          </w:tcPr>
          <w:p w14:paraId="6965174A"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1.421157e-18</w:t>
            </w:r>
          </w:p>
        </w:tc>
        <w:tc>
          <w:tcPr>
            <w:tcW w:w="961" w:type="dxa"/>
            <w:hideMark/>
          </w:tcPr>
          <w:p w14:paraId="663B541D"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0D16BB66"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0.645-0.827</w:t>
            </w:r>
          </w:p>
        </w:tc>
      </w:tr>
      <w:tr w:rsidR="00BD2DA1" w14:paraId="3AE49B41"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2C911" w14:textId="77777777" w:rsidR="00BD2DA1" w:rsidRDefault="00BD2DA1" w:rsidP="00BB507A">
            <w:pPr>
              <w:jc w:val="both"/>
            </w:pPr>
            <w:r>
              <w:t>HVAC (heating and ventilation equipment)</w:t>
            </w:r>
          </w:p>
        </w:tc>
        <w:tc>
          <w:tcPr>
            <w:tcW w:w="0" w:type="auto"/>
            <w:hideMark/>
          </w:tcPr>
          <w:p w14:paraId="2B5830CC"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0.742812</w:t>
            </w:r>
          </w:p>
        </w:tc>
        <w:tc>
          <w:tcPr>
            <w:tcW w:w="1684" w:type="dxa"/>
            <w:hideMark/>
          </w:tcPr>
          <w:p w14:paraId="7154CE9C"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4.573935e-18</w:t>
            </w:r>
          </w:p>
        </w:tc>
        <w:tc>
          <w:tcPr>
            <w:tcW w:w="961" w:type="dxa"/>
            <w:hideMark/>
          </w:tcPr>
          <w:p w14:paraId="5D8721F8"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242F0521"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0.636-0.822</w:t>
            </w:r>
          </w:p>
        </w:tc>
      </w:tr>
      <w:tr w:rsidR="00BD2DA1" w14:paraId="7419979C"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581839F" w14:textId="77777777" w:rsidR="00BD2DA1" w:rsidRDefault="00BD2DA1" w:rsidP="00BB507A">
            <w:pPr>
              <w:jc w:val="both"/>
            </w:pPr>
            <w:r>
              <w:t>Other steel products</w:t>
            </w:r>
          </w:p>
        </w:tc>
        <w:tc>
          <w:tcPr>
            <w:tcW w:w="0" w:type="auto"/>
            <w:hideMark/>
          </w:tcPr>
          <w:p w14:paraId="04A3577D"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0.735394</w:t>
            </w:r>
          </w:p>
        </w:tc>
        <w:tc>
          <w:tcPr>
            <w:tcW w:w="1684" w:type="dxa"/>
            <w:hideMark/>
          </w:tcPr>
          <w:p w14:paraId="095FF91B"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1.438152e-17</w:t>
            </w:r>
          </w:p>
        </w:tc>
        <w:tc>
          <w:tcPr>
            <w:tcW w:w="961" w:type="dxa"/>
            <w:hideMark/>
          </w:tcPr>
          <w:p w14:paraId="41E4381B"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B493F98"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0.626-0.817</w:t>
            </w:r>
          </w:p>
        </w:tc>
      </w:tr>
      <w:tr w:rsidR="00BD2DA1" w14:paraId="6BF09D5C"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74531" w14:textId="77777777" w:rsidR="00BD2DA1" w:rsidRDefault="00BD2DA1" w:rsidP="00BB507A">
            <w:pPr>
              <w:jc w:val="both"/>
            </w:pPr>
            <w:r>
              <w:t>PVC pipes and fittings</w:t>
            </w:r>
          </w:p>
        </w:tc>
        <w:tc>
          <w:tcPr>
            <w:tcW w:w="0" w:type="auto"/>
            <w:hideMark/>
          </w:tcPr>
          <w:p w14:paraId="73062CAF"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0.698355</w:t>
            </w:r>
          </w:p>
        </w:tc>
        <w:tc>
          <w:tcPr>
            <w:tcW w:w="1684" w:type="dxa"/>
            <w:hideMark/>
          </w:tcPr>
          <w:p w14:paraId="4EED2524"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2.589154e-15</w:t>
            </w:r>
          </w:p>
        </w:tc>
        <w:tc>
          <w:tcPr>
            <w:tcW w:w="961" w:type="dxa"/>
            <w:hideMark/>
          </w:tcPr>
          <w:p w14:paraId="7AB6C1BF"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5033BD43"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0.577-0.789</w:t>
            </w:r>
          </w:p>
        </w:tc>
      </w:tr>
      <w:tr w:rsidR="00BD2DA1" w14:paraId="51DC01CA"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4A9B485" w14:textId="77777777" w:rsidR="00BD2DA1" w:rsidRDefault="00BD2DA1" w:rsidP="00BB507A">
            <w:pPr>
              <w:jc w:val="both"/>
            </w:pPr>
            <w:r>
              <w:t>Paints, oils and varnishes</w:t>
            </w:r>
          </w:p>
        </w:tc>
        <w:tc>
          <w:tcPr>
            <w:tcW w:w="0" w:type="auto"/>
            <w:hideMark/>
          </w:tcPr>
          <w:p w14:paraId="2D7F590A"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0.797549</w:t>
            </w:r>
          </w:p>
        </w:tc>
        <w:tc>
          <w:tcPr>
            <w:tcW w:w="1684" w:type="dxa"/>
            <w:hideMark/>
          </w:tcPr>
          <w:p w14:paraId="09879EE4"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2.381846e-22</w:t>
            </w:r>
          </w:p>
        </w:tc>
        <w:tc>
          <w:tcPr>
            <w:tcW w:w="961" w:type="dxa"/>
            <w:hideMark/>
          </w:tcPr>
          <w:p w14:paraId="32E74488"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D3CD59E"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0.709-0.861</w:t>
            </w:r>
          </w:p>
        </w:tc>
      </w:tr>
      <w:tr w:rsidR="00BD2DA1" w14:paraId="46428B45"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0FA7C" w14:textId="77777777" w:rsidR="00BD2DA1" w:rsidRDefault="00BD2DA1" w:rsidP="00BB507A">
            <w:pPr>
              <w:jc w:val="both"/>
            </w:pPr>
            <w:r>
              <w:t>Plaster</w:t>
            </w:r>
          </w:p>
        </w:tc>
        <w:tc>
          <w:tcPr>
            <w:tcW w:w="0" w:type="auto"/>
            <w:hideMark/>
          </w:tcPr>
          <w:p w14:paraId="67D641EF"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0.700247</w:t>
            </w:r>
          </w:p>
        </w:tc>
        <w:tc>
          <w:tcPr>
            <w:tcW w:w="1684" w:type="dxa"/>
            <w:hideMark/>
          </w:tcPr>
          <w:p w14:paraId="21AC62B7"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2.024512e-15</w:t>
            </w:r>
          </w:p>
        </w:tc>
        <w:tc>
          <w:tcPr>
            <w:tcW w:w="961" w:type="dxa"/>
            <w:hideMark/>
          </w:tcPr>
          <w:p w14:paraId="6D53C7BE"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4222A5E1"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0.58-0.791</w:t>
            </w:r>
          </w:p>
        </w:tc>
      </w:tr>
      <w:tr w:rsidR="00BD2DA1" w14:paraId="194F18E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2C85264" w14:textId="77777777" w:rsidR="00BD2DA1" w:rsidRDefault="00BD2DA1" w:rsidP="00BB507A">
            <w:pPr>
              <w:jc w:val="both"/>
            </w:pPr>
            <w:r>
              <w:t>Precast concrete</w:t>
            </w:r>
          </w:p>
        </w:tc>
        <w:tc>
          <w:tcPr>
            <w:tcW w:w="0" w:type="auto"/>
            <w:hideMark/>
          </w:tcPr>
          <w:p w14:paraId="3A0DC004"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0.729288</w:t>
            </w:r>
          </w:p>
        </w:tc>
        <w:tc>
          <w:tcPr>
            <w:tcW w:w="1684" w:type="dxa"/>
            <w:hideMark/>
          </w:tcPr>
          <w:p w14:paraId="3C8C2355"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3.589822e-17</w:t>
            </w:r>
          </w:p>
        </w:tc>
        <w:tc>
          <w:tcPr>
            <w:tcW w:w="961" w:type="dxa"/>
            <w:hideMark/>
          </w:tcPr>
          <w:p w14:paraId="67345176"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5D26170C"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0.618-0.812</w:t>
            </w:r>
          </w:p>
        </w:tc>
      </w:tr>
      <w:tr w:rsidR="00BD2DA1" w14:paraId="3C5B43A7"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6DA5F" w14:textId="77777777" w:rsidR="00BD2DA1" w:rsidRDefault="00BD2DA1" w:rsidP="00BB507A">
            <w:pPr>
              <w:jc w:val="both"/>
            </w:pPr>
            <w:r>
              <w:t>Rough timber (hardwood)</w:t>
            </w:r>
          </w:p>
        </w:tc>
        <w:tc>
          <w:tcPr>
            <w:tcW w:w="0" w:type="auto"/>
            <w:hideMark/>
          </w:tcPr>
          <w:p w14:paraId="00E419AD"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0.687658</w:t>
            </w:r>
          </w:p>
        </w:tc>
        <w:tc>
          <w:tcPr>
            <w:tcW w:w="1684" w:type="dxa"/>
            <w:hideMark/>
          </w:tcPr>
          <w:p w14:paraId="49B9A6F0"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1.004452e-14</w:t>
            </w:r>
          </w:p>
        </w:tc>
        <w:tc>
          <w:tcPr>
            <w:tcW w:w="961" w:type="dxa"/>
            <w:hideMark/>
          </w:tcPr>
          <w:p w14:paraId="72461BA7"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069FD281" w14:textId="77777777" w:rsidR="00BD2DA1" w:rsidRDefault="00BD2DA1" w:rsidP="00BB507A">
            <w:pPr>
              <w:jc w:val="both"/>
              <w:cnfStyle w:val="000000100000" w:firstRow="0" w:lastRow="0" w:firstColumn="0" w:lastColumn="0" w:oddVBand="0" w:evenVBand="0" w:oddHBand="1" w:evenHBand="0" w:firstRowFirstColumn="0" w:firstRowLastColumn="0" w:lastRowFirstColumn="0" w:lastRowLastColumn="0"/>
            </w:pPr>
            <w:r>
              <w:t>0.563-0.782</w:t>
            </w:r>
          </w:p>
        </w:tc>
      </w:tr>
      <w:tr w:rsidR="00BD2DA1" w14:paraId="1E5662B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59525B9C" w14:textId="77777777" w:rsidR="00BD2DA1" w:rsidRDefault="00BD2DA1" w:rsidP="00BB507A">
            <w:pPr>
              <w:jc w:val="both"/>
            </w:pPr>
            <w:r>
              <w:t>Wooden windows and doors</w:t>
            </w:r>
          </w:p>
        </w:tc>
        <w:tc>
          <w:tcPr>
            <w:tcW w:w="0" w:type="auto"/>
            <w:hideMark/>
          </w:tcPr>
          <w:p w14:paraId="4791678F"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0.687138</w:t>
            </w:r>
          </w:p>
        </w:tc>
        <w:tc>
          <w:tcPr>
            <w:tcW w:w="1684" w:type="dxa"/>
            <w:hideMark/>
          </w:tcPr>
          <w:p w14:paraId="303EA467"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1.071252e-14</w:t>
            </w:r>
          </w:p>
        </w:tc>
        <w:tc>
          <w:tcPr>
            <w:tcW w:w="961" w:type="dxa"/>
            <w:hideMark/>
          </w:tcPr>
          <w:p w14:paraId="6E35D9E2"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22F4A478" w14:textId="77777777" w:rsidR="00BD2DA1" w:rsidRDefault="00BD2DA1" w:rsidP="00BB507A">
            <w:pPr>
              <w:jc w:val="both"/>
              <w:cnfStyle w:val="000000000000" w:firstRow="0" w:lastRow="0" w:firstColumn="0" w:lastColumn="0" w:oddVBand="0" w:evenVBand="0" w:oddHBand="0" w:evenHBand="0" w:firstRowFirstColumn="0" w:firstRowLastColumn="0" w:lastRowFirstColumn="0" w:lastRowLastColumn="0"/>
            </w:pPr>
            <w:r>
              <w:t>0.563-0.781</w:t>
            </w:r>
          </w:p>
        </w:tc>
      </w:tr>
    </w:tbl>
    <w:p w14:paraId="6215C7F3" w14:textId="3CADC300" w:rsidR="00303CBA" w:rsidRDefault="009B45E4" w:rsidP="00BB507A">
      <w:pPr>
        <w:spacing w:before="100" w:beforeAutospacing="1" w:after="100" w:afterAutospacing="1"/>
        <w:jc w:val="both"/>
      </w:pPr>
      <w:r>
        <w:t>For all selected materials, the calculated p-values are lower than the significance level 0.05, so the null hypothesis is rejected. Hence, there is statistically significant correlation between the materials price and production in construction.</w:t>
      </w:r>
      <w:r w:rsidR="00C32C4F">
        <w:t xml:space="preserve"> Additionally, </w:t>
      </w:r>
      <w:r w:rsidR="00C32C4F">
        <w:t>the confidence interval doesn't include 0, so the correlation coefficient is statistically significant and shouldn</w:t>
      </w:r>
      <w:r w:rsidR="00ED207E">
        <w:t>’t</w:t>
      </w:r>
      <w:r w:rsidR="00C32C4F">
        <w:t xml:space="preserve"> have occurred by coincidence alone.</w:t>
      </w:r>
    </w:p>
    <w:p w14:paraId="5EC52488" w14:textId="5D256EAB" w:rsidR="00303CBA" w:rsidRDefault="00303CBA" w:rsidP="00BB507A">
      <w:pPr>
        <w:pStyle w:val="Heading5"/>
        <w:jc w:val="both"/>
        <w:rPr>
          <w:lang w:eastAsia="en-US"/>
        </w:rPr>
      </w:pPr>
      <w:r>
        <w:rPr>
          <w:lang w:eastAsia="en-US"/>
        </w:rPr>
        <w:t xml:space="preserve">T-test to </w:t>
      </w:r>
      <w:r w:rsidR="00815EA0">
        <w:rPr>
          <w:lang w:eastAsia="en-US"/>
        </w:rPr>
        <w:t>Calculate Confidence Intervals for Population</w:t>
      </w:r>
    </w:p>
    <w:p w14:paraId="4CCFD0B1" w14:textId="07462953" w:rsidR="00815EA0" w:rsidRDefault="00106414" w:rsidP="00BB507A">
      <w:pPr>
        <w:jc w:val="both"/>
        <w:rPr>
          <w:lang w:eastAsia="en-US"/>
        </w:rPr>
      </w:pPr>
      <w:r>
        <w:rPr>
          <w:lang w:eastAsia="en-US"/>
        </w:rPr>
        <w:t>Assuming the population mean as 110 for each selected materials, below test tried to infer whether there is significant difference between sample mean and population mean.</w:t>
      </w:r>
    </w:p>
    <w:p w14:paraId="5ABB4310" w14:textId="77777777" w:rsidR="00260EFE" w:rsidRDefault="00260EFE" w:rsidP="00BB507A">
      <w:pPr>
        <w:numPr>
          <w:ilvl w:val="0"/>
          <w:numId w:val="5"/>
        </w:numPr>
        <w:spacing w:before="100" w:beforeAutospacing="1" w:after="100" w:afterAutospacing="1"/>
        <w:jc w:val="both"/>
      </w:pPr>
      <w:r>
        <w:rPr>
          <w:rStyle w:val="Strong"/>
        </w:rPr>
        <w:t>Null Hypothesis H0:</w:t>
      </w:r>
      <w:r>
        <w:t xml:space="preserve"> There is no difference between the sample mean and population mean.</w:t>
      </w:r>
    </w:p>
    <w:p w14:paraId="5D08A988" w14:textId="77777777" w:rsidR="00260EFE" w:rsidRDefault="00260EFE" w:rsidP="00BB507A">
      <w:pPr>
        <w:numPr>
          <w:ilvl w:val="0"/>
          <w:numId w:val="5"/>
        </w:numPr>
        <w:spacing w:before="100" w:beforeAutospacing="1" w:after="100" w:afterAutospacing="1"/>
        <w:jc w:val="both"/>
      </w:pPr>
      <w:r>
        <w:rPr>
          <w:rStyle w:val="Strong"/>
        </w:rPr>
        <w:t>Alternative Hypothesis H1:</w:t>
      </w:r>
      <w:r>
        <w:t xml:space="preserve"> The sample mean and population mean are different.</w:t>
      </w:r>
    </w:p>
    <w:p w14:paraId="305CB5C0" w14:textId="77777777" w:rsidR="00260EFE" w:rsidRDefault="00260EFE" w:rsidP="00BB507A">
      <w:pPr>
        <w:numPr>
          <w:ilvl w:val="0"/>
          <w:numId w:val="5"/>
        </w:numPr>
        <w:spacing w:before="100" w:beforeAutospacing="1" w:after="100" w:afterAutospacing="1"/>
        <w:jc w:val="both"/>
      </w:pPr>
      <w:r>
        <w:rPr>
          <w:rStyle w:val="Strong"/>
        </w:rPr>
        <w:t>Significance Level (alpha):</w:t>
      </w:r>
      <w:r>
        <w:t xml:space="preserve"> 5% (0.05)</w:t>
      </w:r>
    </w:p>
    <w:p w14:paraId="6E4DF78B" w14:textId="50F2295C" w:rsidR="006A473B" w:rsidRDefault="006A473B" w:rsidP="00BB507A">
      <w:pPr>
        <w:pStyle w:val="Caption"/>
        <w:keepNext/>
        <w:jc w:val="both"/>
      </w:pPr>
      <w:r>
        <w:t xml:space="preserve">Table </w:t>
      </w:r>
      <w:fldSimple w:instr=" SEQ Table \* ARABIC ">
        <w:r>
          <w:rPr>
            <w:noProof/>
          </w:rPr>
          <w:t>3</w:t>
        </w:r>
      </w:fldSimple>
      <w:r>
        <w:t>: T-test for Sample Mean and Population Mean</w:t>
      </w:r>
    </w:p>
    <w:tbl>
      <w:tblPr>
        <w:tblStyle w:val="GridTable3-Accent5"/>
        <w:tblW w:w="0" w:type="auto"/>
        <w:tblInd w:w="5" w:type="dxa"/>
        <w:tblLook w:val="04A0" w:firstRow="1" w:lastRow="0" w:firstColumn="1" w:lastColumn="0" w:noHBand="0" w:noVBand="1"/>
      </w:tblPr>
      <w:tblGrid>
        <w:gridCol w:w="3794"/>
        <w:gridCol w:w="1134"/>
        <w:gridCol w:w="996"/>
        <w:gridCol w:w="1022"/>
        <w:gridCol w:w="2075"/>
      </w:tblGrid>
      <w:tr w:rsidR="00260EFE" w14:paraId="34CAC3DA" w14:textId="77777777" w:rsidTr="00DF0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3DC34DD" w14:textId="77777777" w:rsidR="00260EFE" w:rsidRDefault="00260EFE" w:rsidP="00BB507A">
            <w:pPr>
              <w:jc w:val="both"/>
            </w:pPr>
            <w:r>
              <w:rPr>
                <w:b w:val="0"/>
                <w:bCs w:val="0"/>
              </w:rPr>
              <w:t>Material</w:t>
            </w:r>
          </w:p>
        </w:tc>
        <w:tc>
          <w:tcPr>
            <w:tcW w:w="0" w:type="auto"/>
            <w:hideMark/>
          </w:tcPr>
          <w:p w14:paraId="61E4E7A9" w14:textId="77777777" w:rsidR="00260EFE" w:rsidRDefault="00260EFE"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T-statistic</w:t>
            </w:r>
          </w:p>
        </w:tc>
        <w:tc>
          <w:tcPr>
            <w:tcW w:w="0" w:type="auto"/>
            <w:hideMark/>
          </w:tcPr>
          <w:p w14:paraId="25983575" w14:textId="77777777" w:rsidR="00260EFE" w:rsidRDefault="00260EFE"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1022" w:type="dxa"/>
            <w:hideMark/>
          </w:tcPr>
          <w:p w14:paraId="5B479508" w14:textId="77777777" w:rsidR="00260EFE" w:rsidRDefault="00260EFE"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Accept H0</w:t>
            </w:r>
          </w:p>
        </w:tc>
        <w:tc>
          <w:tcPr>
            <w:tcW w:w="2075" w:type="dxa"/>
            <w:hideMark/>
          </w:tcPr>
          <w:p w14:paraId="642D3157" w14:textId="77777777" w:rsidR="00260EFE" w:rsidRDefault="00260EFE" w:rsidP="00BB507A">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confidence interval</w:t>
            </w:r>
          </w:p>
        </w:tc>
      </w:tr>
      <w:tr w:rsidR="00260EFE" w14:paraId="26E2A7B7"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86210" w14:textId="77777777" w:rsidR="00260EFE" w:rsidRDefault="00260EFE" w:rsidP="00BB507A">
            <w:pPr>
              <w:jc w:val="both"/>
            </w:pPr>
            <w:r>
              <w:t>All other metal fittings</w:t>
            </w:r>
          </w:p>
        </w:tc>
        <w:tc>
          <w:tcPr>
            <w:tcW w:w="0" w:type="auto"/>
            <w:hideMark/>
          </w:tcPr>
          <w:p w14:paraId="5426E258"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-3.502</w:t>
            </w:r>
          </w:p>
        </w:tc>
        <w:tc>
          <w:tcPr>
            <w:tcW w:w="0" w:type="auto"/>
            <w:hideMark/>
          </w:tcPr>
          <w:p w14:paraId="72C61E56"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0.00071</w:t>
            </w:r>
          </w:p>
        </w:tc>
        <w:tc>
          <w:tcPr>
            <w:tcW w:w="1022" w:type="dxa"/>
            <w:hideMark/>
          </w:tcPr>
          <w:p w14:paraId="3586B750"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0C334B76"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(107.016, 109.175)</w:t>
            </w:r>
          </w:p>
        </w:tc>
      </w:tr>
      <w:tr w:rsidR="00260EFE" w14:paraId="2A85FC1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4EC5BAC" w14:textId="77777777" w:rsidR="00260EFE" w:rsidRDefault="00260EFE" w:rsidP="00BB507A">
            <w:pPr>
              <w:jc w:val="both"/>
            </w:pPr>
            <w:r>
              <w:t>Cement</w:t>
            </w:r>
          </w:p>
        </w:tc>
        <w:tc>
          <w:tcPr>
            <w:tcW w:w="0" w:type="auto"/>
            <w:hideMark/>
          </w:tcPr>
          <w:p w14:paraId="5A85C38E"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3.190</w:t>
            </w:r>
          </w:p>
        </w:tc>
        <w:tc>
          <w:tcPr>
            <w:tcW w:w="0" w:type="auto"/>
            <w:hideMark/>
          </w:tcPr>
          <w:p w14:paraId="58ABF1E8"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0.00193</w:t>
            </w:r>
          </w:p>
        </w:tc>
        <w:tc>
          <w:tcPr>
            <w:tcW w:w="1022" w:type="dxa"/>
            <w:hideMark/>
          </w:tcPr>
          <w:p w14:paraId="576C2A85"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6BA816F7"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(112.034, 118.739)</w:t>
            </w:r>
          </w:p>
        </w:tc>
      </w:tr>
      <w:tr w:rsidR="00260EFE" w14:paraId="0C55272B"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920ED" w14:textId="77777777" w:rsidR="00260EFE" w:rsidRDefault="00260EFE" w:rsidP="00BB507A">
            <w:pPr>
              <w:jc w:val="both"/>
            </w:pPr>
            <w:r>
              <w:t>HVAC (heating and ventilation equipment)</w:t>
            </w:r>
          </w:p>
        </w:tc>
        <w:tc>
          <w:tcPr>
            <w:tcW w:w="0" w:type="auto"/>
            <w:hideMark/>
          </w:tcPr>
          <w:p w14:paraId="1550F759"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-12.498</w:t>
            </w:r>
          </w:p>
        </w:tc>
        <w:tc>
          <w:tcPr>
            <w:tcW w:w="0" w:type="auto"/>
            <w:hideMark/>
          </w:tcPr>
          <w:p w14:paraId="5E2DBD3D"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0.00000</w:t>
            </w:r>
          </w:p>
        </w:tc>
        <w:tc>
          <w:tcPr>
            <w:tcW w:w="1022" w:type="dxa"/>
            <w:hideMark/>
          </w:tcPr>
          <w:p w14:paraId="1BC1B7EF"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1BA1F71"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(103.421, 105.225)</w:t>
            </w:r>
          </w:p>
        </w:tc>
      </w:tr>
      <w:tr w:rsidR="00260EFE" w14:paraId="4A40737A"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D9FA6F6" w14:textId="77777777" w:rsidR="00260EFE" w:rsidRDefault="00260EFE" w:rsidP="00BB507A">
            <w:pPr>
              <w:jc w:val="both"/>
            </w:pPr>
            <w:r>
              <w:t>Other steel products</w:t>
            </w:r>
          </w:p>
        </w:tc>
        <w:tc>
          <w:tcPr>
            <w:tcW w:w="0" w:type="auto"/>
            <w:hideMark/>
          </w:tcPr>
          <w:p w14:paraId="20D50AC1"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-11.535</w:t>
            </w:r>
          </w:p>
        </w:tc>
        <w:tc>
          <w:tcPr>
            <w:tcW w:w="0" w:type="auto"/>
            <w:hideMark/>
          </w:tcPr>
          <w:p w14:paraId="280A4A6F"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0.00000</w:t>
            </w:r>
          </w:p>
        </w:tc>
        <w:tc>
          <w:tcPr>
            <w:tcW w:w="1022" w:type="dxa"/>
            <w:hideMark/>
          </w:tcPr>
          <w:p w14:paraId="2DD64045"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0F6C5689"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(102.627, 104.792)</w:t>
            </w:r>
          </w:p>
        </w:tc>
      </w:tr>
      <w:tr w:rsidR="00260EFE" w14:paraId="796D8D7E"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CA68C2" w14:textId="77777777" w:rsidR="00260EFE" w:rsidRDefault="00260EFE" w:rsidP="00BB507A">
            <w:pPr>
              <w:jc w:val="both"/>
            </w:pPr>
            <w:r>
              <w:t>PVC pipes and fittings</w:t>
            </w:r>
          </w:p>
        </w:tc>
        <w:tc>
          <w:tcPr>
            <w:tcW w:w="0" w:type="auto"/>
            <w:hideMark/>
          </w:tcPr>
          <w:p w14:paraId="0D21B239"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2.591</w:t>
            </w:r>
          </w:p>
        </w:tc>
        <w:tc>
          <w:tcPr>
            <w:tcW w:w="0" w:type="auto"/>
            <w:hideMark/>
          </w:tcPr>
          <w:p w14:paraId="60BEDCB8"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0.01108</w:t>
            </w:r>
          </w:p>
        </w:tc>
        <w:tc>
          <w:tcPr>
            <w:tcW w:w="1022" w:type="dxa"/>
            <w:hideMark/>
          </w:tcPr>
          <w:p w14:paraId="15265889"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B1F4380"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(111.064, 118.044)</w:t>
            </w:r>
          </w:p>
        </w:tc>
      </w:tr>
      <w:tr w:rsidR="00260EFE" w14:paraId="12A8CB9B"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A724FC7" w14:textId="77777777" w:rsidR="00260EFE" w:rsidRDefault="00260EFE" w:rsidP="00BB507A">
            <w:pPr>
              <w:jc w:val="both"/>
            </w:pPr>
            <w:r>
              <w:t>Paints, oils and varnishes</w:t>
            </w:r>
          </w:p>
        </w:tc>
        <w:tc>
          <w:tcPr>
            <w:tcW w:w="0" w:type="auto"/>
            <w:hideMark/>
          </w:tcPr>
          <w:p w14:paraId="2E6B570B"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3.144</w:t>
            </w:r>
          </w:p>
        </w:tc>
        <w:tc>
          <w:tcPr>
            <w:tcW w:w="0" w:type="auto"/>
            <w:hideMark/>
          </w:tcPr>
          <w:p w14:paraId="66F6FAFD"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0.00222</w:t>
            </w:r>
          </w:p>
        </w:tc>
        <w:tc>
          <w:tcPr>
            <w:tcW w:w="1022" w:type="dxa"/>
            <w:hideMark/>
          </w:tcPr>
          <w:p w14:paraId="2C07AC61"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3D6CD15E"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(111.614, 117.146)</w:t>
            </w:r>
          </w:p>
        </w:tc>
      </w:tr>
      <w:tr w:rsidR="00260EFE" w14:paraId="01E8825F"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3E1E3" w14:textId="77777777" w:rsidR="00260EFE" w:rsidRDefault="00260EFE" w:rsidP="00BB507A">
            <w:pPr>
              <w:jc w:val="both"/>
            </w:pPr>
            <w:r>
              <w:t>Plaster</w:t>
            </w:r>
          </w:p>
        </w:tc>
        <w:tc>
          <w:tcPr>
            <w:tcW w:w="0" w:type="auto"/>
            <w:hideMark/>
          </w:tcPr>
          <w:p w14:paraId="237D8594"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3.989</w:t>
            </w:r>
          </w:p>
        </w:tc>
        <w:tc>
          <w:tcPr>
            <w:tcW w:w="0" w:type="auto"/>
            <w:hideMark/>
          </w:tcPr>
          <w:p w14:paraId="217A3684"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0.00013</w:t>
            </w:r>
          </w:p>
        </w:tc>
        <w:tc>
          <w:tcPr>
            <w:tcW w:w="1022" w:type="dxa"/>
            <w:hideMark/>
          </w:tcPr>
          <w:p w14:paraId="688A1ED2"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15CD5953"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(114.295, 122.805)</w:t>
            </w:r>
          </w:p>
        </w:tc>
      </w:tr>
      <w:tr w:rsidR="00260EFE" w14:paraId="6993D7E5"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B4AE613" w14:textId="77777777" w:rsidR="00260EFE" w:rsidRDefault="00260EFE" w:rsidP="00BB507A">
            <w:pPr>
              <w:jc w:val="both"/>
            </w:pPr>
            <w:r>
              <w:t>Precast concrete</w:t>
            </w:r>
          </w:p>
        </w:tc>
        <w:tc>
          <w:tcPr>
            <w:tcW w:w="0" w:type="auto"/>
            <w:hideMark/>
          </w:tcPr>
          <w:p w14:paraId="2369301C"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1.987</w:t>
            </w:r>
          </w:p>
        </w:tc>
        <w:tc>
          <w:tcPr>
            <w:tcW w:w="0" w:type="auto"/>
            <w:hideMark/>
          </w:tcPr>
          <w:p w14:paraId="15676769"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0.04980</w:t>
            </w:r>
          </w:p>
        </w:tc>
        <w:tc>
          <w:tcPr>
            <w:tcW w:w="1022" w:type="dxa"/>
            <w:hideMark/>
          </w:tcPr>
          <w:p w14:paraId="3AF6D454"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2A3C624C"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(110.002, 115.548)</w:t>
            </w:r>
          </w:p>
        </w:tc>
      </w:tr>
      <w:tr w:rsidR="00260EFE" w14:paraId="7E4A6EAC"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C1882" w14:textId="77777777" w:rsidR="00260EFE" w:rsidRDefault="00260EFE" w:rsidP="00BB507A">
            <w:pPr>
              <w:jc w:val="both"/>
            </w:pPr>
            <w:r>
              <w:t>Rough timber (hardwood)</w:t>
            </w:r>
          </w:p>
        </w:tc>
        <w:tc>
          <w:tcPr>
            <w:tcW w:w="0" w:type="auto"/>
            <w:hideMark/>
          </w:tcPr>
          <w:p w14:paraId="71F52A0F"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-3.649</w:t>
            </w:r>
          </w:p>
        </w:tc>
        <w:tc>
          <w:tcPr>
            <w:tcW w:w="0" w:type="auto"/>
            <w:hideMark/>
          </w:tcPr>
          <w:p w14:paraId="655B84F2"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0.00043</w:t>
            </w:r>
          </w:p>
        </w:tc>
        <w:tc>
          <w:tcPr>
            <w:tcW w:w="1022" w:type="dxa"/>
            <w:hideMark/>
          </w:tcPr>
          <w:p w14:paraId="03082FBA"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6C1BB70D" w14:textId="77777777" w:rsidR="00260EFE" w:rsidRDefault="00260EFE" w:rsidP="00BB507A">
            <w:pPr>
              <w:jc w:val="both"/>
              <w:cnfStyle w:val="000000100000" w:firstRow="0" w:lastRow="0" w:firstColumn="0" w:lastColumn="0" w:oddVBand="0" w:evenVBand="0" w:oddHBand="1" w:evenHBand="0" w:firstRowFirstColumn="0" w:firstRowLastColumn="0" w:lastRowFirstColumn="0" w:lastRowLastColumn="0"/>
            </w:pPr>
            <w:r>
              <w:t>(104.665, 108.425)</w:t>
            </w:r>
          </w:p>
        </w:tc>
      </w:tr>
      <w:tr w:rsidR="00260EFE" w14:paraId="6A5CC86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872703B" w14:textId="77777777" w:rsidR="00260EFE" w:rsidRDefault="00260EFE" w:rsidP="00BB507A">
            <w:pPr>
              <w:jc w:val="both"/>
            </w:pPr>
            <w:r>
              <w:t>Wooden windows and doors</w:t>
            </w:r>
          </w:p>
        </w:tc>
        <w:tc>
          <w:tcPr>
            <w:tcW w:w="0" w:type="auto"/>
            <w:hideMark/>
          </w:tcPr>
          <w:p w14:paraId="09488791"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-2.006</w:t>
            </w:r>
          </w:p>
        </w:tc>
        <w:tc>
          <w:tcPr>
            <w:tcW w:w="0" w:type="auto"/>
            <w:hideMark/>
          </w:tcPr>
          <w:p w14:paraId="3E856A04"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0.04765</w:t>
            </w:r>
          </w:p>
        </w:tc>
        <w:tc>
          <w:tcPr>
            <w:tcW w:w="1022" w:type="dxa"/>
            <w:hideMark/>
          </w:tcPr>
          <w:p w14:paraId="1F40F8F7"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1A9BE995" w14:textId="77777777" w:rsidR="00260EFE" w:rsidRDefault="00260EFE" w:rsidP="00BB507A">
            <w:pPr>
              <w:jc w:val="both"/>
              <w:cnfStyle w:val="000000000000" w:firstRow="0" w:lastRow="0" w:firstColumn="0" w:lastColumn="0" w:oddVBand="0" w:evenVBand="0" w:oddHBand="0" w:evenHBand="0" w:firstRowFirstColumn="0" w:firstRowLastColumn="0" w:lastRowFirstColumn="0" w:lastRowLastColumn="0"/>
            </w:pPr>
            <w:r>
              <w:t>(105.667, 109.977)</w:t>
            </w:r>
          </w:p>
        </w:tc>
      </w:tr>
    </w:tbl>
    <w:p w14:paraId="48D0CEC7" w14:textId="77777777" w:rsidR="00106414" w:rsidRDefault="00106414" w:rsidP="00BB507A">
      <w:pPr>
        <w:jc w:val="both"/>
        <w:rPr>
          <w:lang w:eastAsia="en-US"/>
        </w:rPr>
      </w:pPr>
    </w:p>
    <w:p w14:paraId="1552E496" w14:textId="77777777" w:rsidR="00F141C0" w:rsidRDefault="00F141C0" w:rsidP="00BB507A">
      <w:pPr>
        <w:pStyle w:val="Heading5"/>
        <w:jc w:val="both"/>
        <w:rPr>
          <w:lang w:eastAsia="en-US"/>
        </w:rPr>
      </w:pPr>
    </w:p>
    <w:p w14:paraId="67F1E267" w14:textId="47EE201D" w:rsidR="00292D14" w:rsidRDefault="00F141C0" w:rsidP="00BB507A">
      <w:pPr>
        <w:pStyle w:val="Heading5"/>
        <w:jc w:val="both"/>
        <w:rPr>
          <w:lang w:eastAsia="en-US"/>
        </w:rPr>
      </w:pPr>
      <w:r>
        <w:rPr>
          <w:lang w:eastAsia="en-US"/>
        </w:rPr>
        <w:t>Independent Samples T-test</w:t>
      </w:r>
    </w:p>
    <w:p w14:paraId="3BA31DAE" w14:textId="1DC572ED" w:rsidR="00F141C0" w:rsidRDefault="00A40251" w:rsidP="00BB507A">
      <w:pPr>
        <w:jc w:val="both"/>
        <w:rPr>
          <w:lang w:eastAsia="en-US"/>
        </w:rPr>
      </w:pPr>
      <w:r>
        <w:rPr>
          <w:lang w:eastAsia="en-US"/>
        </w:rPr>
        <w:t xml:space="preserve">In this </w:t>
      </w:r>
      <w:r w:rsidR="005653D1">
        <w:rPr>
          <w:lang w:eastAsia="en-US"/>
        </w:rPr>
        <w:t>independent samples t-</w:t>
      </w:r>
      <w:r>
        <w:rPr>
          <w:lang w:eastAsia="en-US"/>
        </w:rPr>
        <w:t>test</w:t>
      </w:r>
      <w:r w:rsidR="005653D1">
        <w:rPr>
          <w:lang w:eastAsia="en-US"/>
        </w:rPr>
        <w:t xml:space="preserve"> (Gio and </w:t>
      </w:r>
      <w:proofErr w:type="spellStart"/>
      <w:r w:rsidR="005653D1">
        <w:rPr>
          <w:lang w:eastAsia="en-US"/>
        </w:rPr>
        <w:t>Rosmaini</w:t>
      </w:r>
      <w:proofErr w:type="spellEnd"/>
      <w:r w:rsidR="005653D1">
        <w:rPr>
          <w:lang w:eastAsia="en-US"/>
        </w:rPr>
        <w:t>, 2018)</w:t>
      </w:r>
      <w:r>
        <w:rPr>
          <w:lang w:eastAsia="en-US"/>
        </w:rPr>
        <w:t>, the yearly average cost for construction materials were compared between Ireland and Netherlands. Since the Dutch dataset contained yearly records for all materials combined, matched the Irish dataset by grouping the data on year and calculating the mean of all materials.</w:t>
      </w:r>
    </w:p>
    <w:p w14:paraId="597C6C52" w14:textId="551F6415" w:rsidR="00A40251" w:rsidRDefault="00A40251" w:rsidP="00BB507A">
      <w:pPr>
        <w:numPr>
          <w:ilvl w:val="0"/>
          <w:numId w:val="6"/>
        </w:numPr>
        <w:spacing w:before="100" w:beforeAutospacing="1" w:after="100" w:afterAutospacing="1"/>
        <w:jc w:val="both"/>
      </w:pPr>
      <w:r>
        <w:rPr>
          <w:rStyle w:val="Strong"/>
        </w:rPr>
        <w:t>Null Hypothesis H0:</w:t>
      </w:r>
      <w:r>
        <w:t xml:space="preserve"> There is no difference between the mean cost indices</w:t>
      </w:r>
      <w:r w:rsidR="00175C80">
        <w:t>.</w:t>
      </w:r>
    </w:p>
    <w:p w14:paraId="15546673" w14:textId="304F51AC" w:rsidR="00A40251" w:rsidRDefault="00A40251" w:rsidP="00BB507A">
      <w:pPr>
        <w:numPr>
          <w:ilvl w:val="0"/>
          <w:numId w:val="6"/>
        </w:numPr>
        <w:spacing w:before="100" w:beforeAutospacing="1" w:after="100" w:afterAutospacing="1"/>
        <w:jc w:val="both"/>
      </w:pPr>
      <w:r>
        <w:rPr>
          <w:rStyle w:val="Strong"/>
        </w:rPr>
        <w:t>Alternate Hypothesis H1:</w:t>
      </w:r>
      <w:r>
        <w:t xml:space="preserve"> There is a difference</w:t>
      </w:r>
      <w:r w:rsidR="00175C80">
        <w:t>.</w:t>
      </w:r>
    </w:p>
    <w:p w14:paraId="61EB0964" w14:textId="77777777" w:rsidR="00A40251" w:rsidRDefault="00A40251" w:rsidP="00BB507A">
      <w:pPr>
        <w:numPr>
          <w:ilvl w:val="0"/>
          <w:numId w:val="6"/>
        </w:numPr>
        <w:spacing w:before="100" w:beforeAutospacing="1" w:after="100" w:afterAutospacing="1"/>
        <w:jc w:val="both"/>
      </w:pPr>
      <w:r>
        <w:rPr>
          <w:rStyle w:val="Strong"/>
        </w:rPr>
        <w:t>Significance Level (alpha):</w:t>
      </w:r>
      <w:r>
        <w:t xml:space="preserve"> 5% (0.05)</w:t>
      </w:r>
    </w:p>
    <w:p w14:paraId="3A6BFE25" w14:textId="3F8AC49C" w:rsidR="00A40251" w:rsidRDefault="00175C80" w:rsidP="00BB507A">
      <w:pPr>
        <w:jc w:val="both"/>
        <w:rPr>
          <w:lang w:eastAsia="en-US"/>
        </w:rPr>
      </w:pPr>
      <w:r>
        <w:rPr>
          <w:lang w:eastAsia="en-US"/>
        </w:rPr>
        <w:t>It returned the t-statistic as -2.28 and p-value as 0.029, which suggest a significant difference between the mean building material cost indices of these two countries. The Null hypothesis is rejected with p-value lower than 0.05.</w:t>
      </w:r>
    </w:p>
    <w:p w14:paraId="53D4AAFC" w14:textId="77777777" w:rsidR="00603987" w:rsidRDefault="00603987" w:rsidP="00BB507A">
      <w:pPr>
        <w:jc w:val="both"/>
        <w:rPr>
          <w:lang w:eastAsia="en-US"/>
        </w:rPr>
      </w:pPr>
    </w:p>
    <w:p w14:paraId="6E18CE6A" w14:textId="71FE339B" w:rsidR="00603987" w:rsidRDefault="00C12AA9" w:rsidP="00BB507A">
      <w:pPr>
        <w:pStyle w:val="Heading5"/>
        <w:jc w:val="both"/>
      </w:pPr>
      <w:r>
        <w:rPr>
          <w:lang w:eastAsia="en-US"/>
        </w:rPr>
        <w:t xml:space="preserve">Analysis of Variance </w:t>
      </w:r>
      <w:r>
        <w:rPr>
          <w:lang w:eastAsia="en-US"/>
        </w:rPr>
        <w:t xml:space="preserve">with </w:t>
      </w:r>
      <w:proofErr w:type="spellStart"/>
      <w:r w:rsidR="00603987">
        <w:t>Levene’s</w:t>
      </w:r>
      <w:proofErr w:type="spellEnd"/>
      <w:r w:rsidR="00603987">
        <w:t xml:space="preserve"> Test</w:t>
      </w:r>
    </w:p>
    <w:p w14:paraId="2981A80D" w14:textId="587E6025" w:rsidR="00603987" w:rsidRDefault="00C12AA9" w:rsidP="00BB507A">
      <w:pPr>
        <w:jc w:val="both"/>
        <w:rPr>
          <w:lang w:eastAsia="en-US"/>
        </w:rPr>
      </w:pPr>
      <w:r>
        <w:rPr>
          <w:lang w:eastAsia="en-US"/>
        </w:rPr>
        <w:t>It is helpful to compare the production in construction across Ireland and other European countries. Therefore, an equivalent dataset from Eurostat was used for this analysis, and aggregated to quarterly from monthly basis.</w:t>
      </w:r>
      <w:r>
        <w:rPr>
          <w:lang w:eastAsia="en-US"/>
        </w:rPr>
        <w:t xml:space="preserve"> While comparing more than two groups, </w:t>
      </w:r>
      <w:proofErr w:type="spellStart"/>
      <w:r>
        <w:rPr>
          <w:lang w:eastAsia="en-US"/>
        </w:rPr>
        <w:t>Levene’s</w:t>
      </w:r>
      <w:proofErr w:type="spellEnd"/>
      <w:r>
        <w:rPr>
          <w:lang w:eastAsia="en-US"/>
        </w:rPr>
        <w:t xml:space="preserve"> Test can be used to assess the equality of variances.</w:t>
      </w:r>
    </w:p>
    <w:p w14:paraId="5FD27B8D" w14:textId="77777777" w:rsidR="00C12AA9" w:rsidRDefault="00C12AA9" w:rsidP="00BB507A">
      <w:pPr>
        <w:numPr>
          <w:ilvl w:val="0"/>
          <w:numId w:val="8"/>
        </w:numPr>
        <w:spacing w:before="100" w:beforeAutospacing="1" w:after="100" w:afterAutospacing="1"/>
        <w:jc w:val="both"/>
      </w:pPr>
      <w:r>
        <w:rPr>
          <w:rStyle w:val="Strong"/>
        </w:rPr>
        <w:t>Null Hypothesis H0:</w:t>
      </w:r>
      <w:r>
        <w:t xml:space="preserve"> Population variances are equal.</w:t>
      </w:r>
    </w:p>
    <w:p w14:paraId="28DABD8B" w14:textId="77777777" w:rsidR="00C12AA9" w:rsidRDefault="00C12AA9" w:rsidP="00BB507A">
      <w:pPr>
        <w:numPr>
          <w:ilvl w:val="0"/>
          <w:numId w:val="8"/>
        </w:numPr>
        <w:spacing w:before="100" w:beforeAutospacing="1" w:after="100" w:afterAutospacing="1"/>
        <w:jc w:val="both"/>
      </w:pPr>
      <w:r>
        <w:rPr>
          <w:rStyle w:val="Strong"/>
        </w:rPr>
        <w:t>Alternate Hypothesis H1:</w:t>
      </w:r>
      <w:r>
        <w:t xml:space="preserve"> Population variances aren't equal.</w:t>
      </w:r>
    </w:p>
    <w:p w14:paraId="6AA657DB" w14:textId="77777777" w:rsidR="00C12AA9" w:rsidRDefault="00C12AA9" w:rsidP="00BB507A">
      <w:pPr>
        <w:numPr>
          <w:ilvl w:val="0"/>
          <w:numId w:val="8"/>
        </w:numPr>
        <w:spacing w:before="100" w:beforeAutospacing="1" w:after="100" w:afterAutospacing="1"/>
        <w:jc w:val="both"/>
      </w:pPr>
      <w:r>
        <w:rPr>
          <w:rStyle w:val="Strong"/>
        </w:rPr>
        <w:t>Significance Level (alpha):</w:t>
      </w:r>
      <w:r>
        <w:t xml:space="preserve"> 5% (0.05)</w:t>
      </w:r>
    </w:p>
    <w:p w14:paraId="0DEB5C70" w14:textId="158D51CE" w:rsidR="00C12AA9" w:rsidRDefault="00C12AA9" w:rsidP="00BB507A">
      <w:pPr>
        <w:jc w:val="both"/>
        <w:rPr>
          <w:lang w:eastAsia="en-US"/>
        </w:rPr>
      </w:pPr>
      <w:r>
        <w:rPr>
          <w:lang w:eastAsia="en-US"/>
        </w:rPr>
        <w:t xml:space="preserve">The returned p-value was less than 0.05 in both cases of using mean and median as </w:t>
      </w:r>
      <w:proofErr w:type="spellStart"/>
      <w:r>
        <w:rPr>
          <w:lang w:eastAsia="en-US"/>
        </w:rPr>
        <w:t>center</w:t>
      </w:r>
      <w:proofErr w:type="spellEnd"/>
      <w:r>
        <w:rPr>
          <w:lang w:eastAsia="en-US"/>
        </w:rPr>
        <w:t>. Therefore the Null hypothesis is rejected, which indicates difference in the variances.</w:t>
      </w:r>
    </w:p>
    <w:p w14:paraId="685FC259" w14:textId="77777777" w:rsidR="00175C80" w:rsidRDefault="00175C80" w:rsidP="00BB507A">
      <w:pPr>
        <w:jc w:val="both"/>
        <w:rPr>
          <w:lang w:eastAsia="en-US"/>
        </w:rPr>
      </w:pPr>
    </w:p>
    <w:p w14:paraId="3EE2F4D3" w14:textId="778F06BE" w:rsidR="00175C80" w:rsidRDefault="00C02476" w:rsidP="00BB507A">
      <w:pPr>
        <w:pStyle w:val="Heading5"/>
        <w:jc w:val="both"/>
        <w:rPr>
          <w:lang w:eastAsia="en-US"/>
        </w:rPr>
      </w:pPr>
      <w:r>
        <w:rPr>
          <w:lang w:eastAsia="en-US"/>
        </w:rPr>
        <w:t xml:space="preserve">Welch’s </w:t>
      </w:r>
      <w:r w:rsidR="00107A1E">
        <w:rPr>
          <w:lang w:eastAsia="en-US"/>
        </w:rPr>
        <w:t>ANOVA</w:t>
      </w:r>
      <w:r>
        <w:rPr>
          <w:lang w:eastAsia="en-US"/>
        </w:rPr>
        <w:t xml:space="preserve"> Test</w:t>
      </w:r>
    </w:p>
    <w:p w14:paraId="0EB431D4" w14:textId="3BB6FDE9" w:rsidR="00C02476" w:rsidRPr="00C02476" w:rsidRDefault="00C02476" w:rsidP="00BB507A">
      <w:pPr>
        <w:jc w:val="both"/>
        <w:rPr>
          <w:lang w:eastAsia="en-US"/>
        </w:rPr>
      </w:pPr>
      <w:r>
        <w:rPr>
          <w:lang w:eastAsia="en-US"/>
        </w:rPr>
        <w:t xml:space="preserve">Based on results of above </w:t>
      </w:r>
      <w:proofErr w:type="spellStart"/>
      <w:r>
        <w:rPr>
          <w:lang w:eastAsia="en-US"/>
        </w:rPr>
        <w:t>Levene’s</w:t>
      </w:r>
      <w:proofErr w:type="spellEnd"/>
      <w:r>
        <w:rPr>
          <w:lang w:eastAsia="en-US"/>
        </w:rPr>
        <w:t xml:space="preserve"> Test, the variances between chosen countries aren’t same. Therefore, the use case doesn’t meet one of the criteria for using ANOVA </w:t>
      </w:r>
      <w:r>
        <w:rPr>
          <w:lang w:eastAsia="en-US"/>
        </w:rPr>
        <w:t>(Holt, 2023)</w:t>
      </w:r>
      <w:r>
        <w:rPr>
          <w:lang w:eastAsia="en-US"/>
        </w:rPr>
        <w:t>. Therefore, a more flexible Welch’s ANOVA Test was performed to compare the means across more than two groups (</w:t>
      </w:r>
      <w:proofErr w:type="spellStart"/>
      <w:r w:rsidRPr="00C02476">
        <w:rPr>
          <w:lang w:eastAsia="en-US"/>
        </w:rPr>
        <w:t>Delacre</w:t>
      </w:r>
      <w:proofErr w:type="spellEnd"/>
      <w:r>
        <w:rPr>
          <w:lang w:eastAsia="en-US"/>
        </w:rPr>
        <w:t>, 2019).</w:t>
      </w:r>
    </w:p>
    <w:p w14:paraId="68D66CF7" w14:textId="77777777" w:rsidR="00A10156" w:rsidRDefault="00A10156" w:rsidP="00BB507A">
      <w:pPr>
        <w:numPr>
          <w:ilvl w:val="0"/>
          <w:numId w:val="7"/>
        </w:numPr>
        <w:spacing w:before="100" w:beforeAutospacing="1" w:after="100" w:afterAutospacing="1"/>
        <w:jc w:val="both"/>
      </w:pPr>
      <w:r>
        <w:rPr>
          <w:rStyle w:val="Strong"/>
        </w:rPr>
        <w:t>Null Hypothesis H0:</w:t>
      </w:r>
      <w:r>
        <w:t xml:space="preserve"> There is no difference in means of production in construction across different countries.</w:t>
      </w:r>
    </w:p>
    <w:p w14:paraId="051F3A3E" w14:textId="77777777" w:rsidR="00A10156" w:rsidRDefault="00A10156" w:rsidP="00BB507A">
      <w:pPr>
        <w:numPr>
          <w:ilvl w:val="0"/>
          <w:numId w:val="7"/>
        </w:numPr>
        <w:spacing w:before="100" w:beforeAutospacing="1" w:after="100" w:afterAutospacing="1"/>
        <w:jc w:val="both"/>
      </w:pPr>
      <w:r>
        <w:rPr>
          <w:rStyle w:val="Strong"/>
        </w:rPr>
        <w:t>Alternate Hypothesis H1:</w:t>
      </w:r>
      <w:r>
        <w:t xml:space="preserve"> There is a difference between means across countries.</w:t>
      </w:r>
    </w:p>
    <w:p w14:paraId="1A0A1ACB" w14:textId="77777777" w:rsidR="00A10156" w:rsidRDefault="00A10156" w:rsidP="00BB507A">
      <w:pPr>
        <w:numPr>
          <w:ilvl w:val="0"/>
          <w:numId w:val="7"/>
        </w:numPr>
        <w:spacing w:before="100" w:beforeAutospacing="1" w:after="100" w:afterAutospacing="1"/>
        <w:jc w:val="both"/>
      </w:pPr>
      <w:r>
        <w:rPr>
          <w:rStyle w:val="Strong"/>
        </w:rPr>
        <w:t>Significance Level (alpha):</w:t>
      </w:r>
      <w:r>
        <w:t xml:space="preserve"> 5% (0.05)</w:t>
      </w:r>
    </w:p>
    <w:p w14:paraId="560807AF" w14:textId="2BDA2136" w:rsidR="008B52C9" w:rsidRDefault="001228BB" w:rsidP="00BB507A">
      <w:pPr>
        <w:jc w:val="both"/>
      </w:pPr>
      <w:r>
        <w:rPr>
          <w:lang w:eastAsia="en-US"/>
        </w:rPr>
        <w:t xml:space="preserve">From </w:t>
      </w:r>
      <w:r>
        <w:t xml:space="preserve">above test results, the f-value of 355.27 suggests there might be some differences in means of the countries. And the p-value is less than the chosen significance level of 0.05, so the Null hypothesis is rejected. Therefore, there is sufficient evidence to suggest statistically significant differences </w:t>
      </w:r>
      <w:r w:rsidR="00573679">
        <w:t>across</w:t>
      </w:r>
      <w:r>
        <w:t xml:space="preserve"> the mean</w:t>
      </w:r>
      <w:r w:rsidR="00573679">
        <w:t>s</w:t>
      </w:r>
      <w:r>
        <w:t xml:space="preserve"> of these countries.</w:t>
      </w:r>
    </w:p>
    <w:p w14:paraId="4ED4C757" w14:textId="77777777" w:rsidR="009154DC" w:rsidRDefault="009154DC" w:rsidP="00BB507A">
      <w:pPr>
        <w:jc w:val="both"/>
      </w:pPr>
    </w:p>
    <w:p w14:paraId="4285A251" w14:textId="0943BC54" w:rsidR="009154DC" w:rsidRDefault="009154DC" w:rsidP="00BB507A">
      <w:pPr>
        <w:pStyle w:val="Heading5"/>
        <w:jc w:val="both"/>
      </w:pPr>
      <w:r>
        <w:t>Mann-Whitney</w:t>
      </w:r>
      <w:r w:rsidR="00A5203C">
        <w:t xml:space="preserve"> U Test</w:t>
      </w:r>
    </w:p>
    <w:p w14:paraId="351DD8E7" w14:textId="23C65D73" w:rsidR="00A5203C" w:rsidRDefault="00A5203C" w:rsidP="00BB507A">
      <w:pPr>
        <w:jc w:val="both"/>
      </w:pPr>
      <w:r>
        <w:t xml:space="preserve">Similar comparison was also made using non-parametric test called Mann-Whitney U test. </w:t>
      </w:r>
    </w:p>
    <w:p w14:paraId="37CD281F" w14:textId="77777777" w:rsidR="00A5203C" w:rsidRDefault="00A5203C" w:rsidP="00BB507A">
      <w:pPr>
        <w:numPr>
          <w:ilvl w:val="0"/>
          <w:numId w:val="9"/>
        </w:numPr>
        <w:spacing w:before="100" w:beforeAutospacing="1" w:after="100" w:afterAutospacing="1"/>
        <w:jc w:val="both"/>
      </w:pPr>
      <w:r>
        <w:rPr>
          <w:rStyle w:val="Strong"/>
        </w:rPr>
        <w:t>Null Hypothesis H0:</w:t>
      </w:r>
      <w:r>
        <w:t xml:space="preserve"> There is no significant difference between the production in construction indices between Ireland and Netherlands.</w:t>
      </w:r>
    </w:p>
    <w:p w14:paraId="54890DD8" w14:textId="77777777" w:rsidR="00A5203C" w:rsidRDefault="00A5203C" w:rsidP="00BB507A">
      <w:pPr>
        <w:numPr>
          <w:ilvl w:val="0"/>
          <w:numId w:val="9"/>
        </w:numPr>
        <w:spacing w:before="100" w:beforeAutospacing="1" w:after="100" w:afterAutospacing="1"/>
        <w:jc w:val="both"/>
      </w:pPr>
      <w:r>
        <w:rPr>
          <w:rStyle w:val="Strong"/>
        </w:rPr>
        <w:lastRenderedPageBreak/>
        <w:t>Alternate Hypothesis H1:</w:t>
      </w:r>
      <w:r>
        <w:t xml:space="preserve"> There is difference between the two countries</w:t>
      </w:r>
    </w:p>
    <w:p w14:paraId="28E50D7C" w14:textId="77777777" w:rsidR="00A5203C" w:rsidRDefault="00A5203C" w:rsidP="00BB507A">
      <w:pPr>
        <w:numPr>
          <w:ilvl w:val="0"/>
          <w:numId w:val="9"/>
        </w:numPr>
        <w:spacing w:before="100" w:beforeAutospacing="1" w:after="100" w:afterAutospacing="1"/>
        <w:jc w:val="both"/>
      </w:pPr>
      <w:r>
        <w:rPr>
          <w:rStyle w:val="Strong"/>
        </w:rPr>
        <w:t>Significance Level (alpha):</w:t>
      </w:r>
      <w:r>
        <w:t xml:space="preserve"> 5% (0.05)</w:t>
      </w:r>
    </w:p>
    <w:p w14:paraId="57B22F6A" w14:textId="1F8635FB" w:rsidR="00A5203C" w:rsidRDefault="00A5203C" w:rsidP="00BB507A">
      <w:pPr>
        <w:jc w:val="both"/>
      </w:pPr>
      <w:r>
        <w:t>The resulting p-value was 0.028, which is lower than the chosen significance value. Therefore, the Null Hypothesis is rejected.</w:t>
      </w:r>
    </w:p>
    <w:p w14:paraId="2E0F6973" w14:textId="77777777" w:rsidR="00A5203C" w:rsidRDefault="00A5203C" w:rsidP="00BB507A">
      <w:pPr>
        <w:jc w:val="both"/>
      </w:pPr>
    </w:p>
    <w:p w14:paraId="4A6A7820" w14:textId="648CA550" w:rsidR="00A5203C" w:rsidRDefault="00A5203C" w:rsidP="00BB507A">
      <w:pPr>
        <w:pStyle w:val="Heading5"/>
        <w:jc w:val="both"/>
      </w:pPr>
      <w:r>
        <w:t>Wilcoxon Signed-rank Test</w:t>
      </w:r>
    </w:p>
    <w:p w14:paraId="1EB68DE9" w14:textId="33FF77E8" w:rsidR="00A5203C" w:rsidRDefault="00A5203C" w:rsidP="00BB507A">
      <w:pPr>
        <w:jc w:val="both"/>
      </w:pPr>
      <w:r>
        <w:t xml:space="preserve">Another non-parametric test was used to compare two </w:t>
      </w:r>
      <w:r w:rsidR="00DB4D19">
        <w:t xml:space="preserve">groups of production in construction indices for Netherlands. </w:t>
      </w:r>
    </w:p>
    <w:p w14:paraId="71454D9F" w14:textId="77777777" w:rsidR="00DB4D19" w:rsidRDefault="00DB4D19" w:rsidP="00BB507A">
      <w:pPr>
        <w:numPr>
          <w:ilvl w:val="0"/>
          <w:numId w:val="10"/>
        </w:numPr>
        <w:spacing w:before="100" w:beforeAutospacing="1" w:after="100" w:afterAutospacing="1"/>
        <w:jc w:val="both"/>
      </w:pPr>
      <w:r>
        <w:rPr>
          <w:rStyle w:val="Strong"/>
        </w:rPr>
        <w:t>Null Hypothesis H0:</w:t>
      </w:r>
      <w:r>
        <w:t xml:space="preserve"> There is no significant difference between the production in construction indices in Netherlands before and after 3rd quarter of 2022.</w:t>
      </w:r>
    </w:p>
    <w:p w14:paraId="0ABFBD02" w14:textId="77777777" w:rsidR="00DB4D19" w:rsidRDefault="00DB4D19" w:rsidP="00BB507A">
      <w:pPr>
        <w:numPr>
          <w:ilvl w:val="0"/>
          <w:numId w:val="10"/>
        </w:numPr>
        <w:spacing w:before="100" w:beforeAutospacing="1" w:after="100" w:afterAutospacing="1"/>
        <w:jc w:val="both"/>
      </w:pPr>
      <w:r>
        <w:rPr>
          <w:rStyle w:val="Strong"/>
        </w:rPr>
        <w:t>Alternate Hypothesis H1:</w:t>
      </w:r>
      <w:r>
        <w:t xml:space="preserve"> There is difference between the group of production in construction indices.</w:t>
      </w:r>
    </w:p>
    <w:p w14:paraId="78C2AD18" w14:textId="77777777" w:rsidR="00DB4D19" w:rsidRDefault="00DB4D19" w:rsidP="00BB507A">
      <w:pPr>
        <w:numPr>
          <w:ilvl w:val="0"/>
          <w:numId w:val="10"/>
        </w:numPr>
        <w:spacing w:before="100" w:beforeAutospacing="1" w:after="100" w:afterAutospacing="1"/>
        <w:jc w:val="both"/>
      </w:pPr>
      <w:r>
        <w:rPr>
          <w:rStyle w:val="Strong"/>
        </w:rPr>
        <w:t>Significance Level (alpha):</w:t>
      </w:r>
      <w:r>
        <w:t xml:space="preserve"> 5% (0.05)</w:t>
      </w:r>
    </w:p>
    <w:p w14:paraId="440D8E43" w14:textId="0D8C7546" w:rsidR="00DB4D19" w:rsidRPr="00A5203C" w:rsidRDefault="00DB4D19" w:rsidP="00BB507A">
      <w:pPr>
        <w:jc w:val="both"/>
      </w:pPr>
      <w:r>
        <w:t>It resulted in p-value of 0.50, so the Null Hypothesis is accepted.</w:t>
      </w:r>
    </w:p>
    <w:p w14:paraId="449FFBD8" w14:textId="77777777" w:rsidR="00AF3D49" w:rsidRDefault="00AF3D49" w:rsidP="00BB507A">
      <w:pPr>
        <w:jc w:val="both"/>
      </w:pPr>
    </w:p>
    <w:p w14:paraId="320A675A" w14:textId="5FB38EA1" w:rsidR="00745DDD" w:rsidRDefault="00745DDD" w:rsidP="00BB507A">
      <w:pPr>
        <w:pStyle w:val="Heading4"/>
        <w:jc w:val="both"/>
      </w:pPr>
      <w:r>
        <w:t>Data Preparation</w:t>
      </w:r>
    </w:p>
    <w:p w14:paraId="02E44565" w14:textId="5543EF75" w:rsidR="00745DDD" w:rsidRDefault="005E3B31" w:rsidP="00BB507A">
      <w:pPr>
        <w:jc w:val="both"/>
      </w:pPr>
      <w:r>
        <w:t>After shortlisting the relevant datasets and performing statistical analysis, they were</w:t>
      </w:r>
      <w:r w:rsidR="00033AF6">
        <w:t xml:space="preserve"> pivoted to put the independent and target features as columns and</w:t>
      </w:r>
      <w:r>
        <w:t xml:space="preserve"> joined togethe</w:t>
      </w:r>
      <w:r w:rsidR="00033AF6">
        <w:t>r</w:t>
      </w:r>
      <w:r>
        <w:t>.</w:t>
      </w:r>
      <w:r w:rsidR="00033AF6">
        <w:t xml:space="preserve"> This resulted in a data containing price indices for 40 construction materials, and production in construction indices for 5 types. This was done to understand the relationship between the materials and certain construction types</w:t>
      </w:r>
      <w:r w:rsidR="00283CD2">
        <w:t>. At the end of the study, the objective was to identify key materials affecting a construction type, and to perform prediction and/or classification. Such information could help to better plan the supply of proper materials as per the needs of each construction type and their demands.</w:t>
      </w:r>
    </w:p>
    <w:p w14:paraId="0CCD84E1" w14:textId="77777777" w:rsidR="00B74620" w:rsidRPr="00655869" w:rsidRDefault="00B74620" w:rsidP="00BB507A">
      <w:pPr>
        <w:jc w:val="both"/>
        <w:rPr>
          <w:lang w:val="en-US"/>
        </w:rPr>
      </w:pPr>
    </w:p>
    <w:p w14:paraId="6EB2CC4A" w14:textId="77777777" w:rsidR="00DE71A1" w:rsidRDefault="00DE71A1" w:rsidP="00BB507A">
      <w:pPr>
        <w:pStyle w:val="ListParagraph"/>
        <w:spacing w:line="276" w:lineRule="auto"/>
        <w:jc w:val="both"/>
        <w:rPr>
          <w:lang w:eastAsia="en-US"/>
        </w:rPr>
      </w:pPr>
    </w:p>
    <w:p w14:paraId="1D30CA7A" w14:textId="68FE6C97" w:rsidR="00A20740" w:rsidRDefault="00655869" w:rsidP="00BB507A">
      <w:pPr>
        <w:spacing w:line="276" w:lineRule="auto"/>
        <w:jc w:val="both"/>
        <w:rPr>
          <w:lang w:eastAsia="en-US"/>
        </w:rPr>
      </w:pPr>
      <w:r>
        <w:rPr>
          <w:noProof/>
          <w:lang w:eastAsia="en-US"/>
          <w14:ligatures w14:val="standardContextual"/>
        </w:rPr>
        <w:drawing>
          <wp:inline distT="0" distB="0" distL="0" distR="0" wp14:anchorId="0398BFFD" wp14:editId="3C90B638">
            <wp:extent cx="5731510" cy="1781175"/>
            <wp:effectExtent l="0" t="0" r="0" b="0"/>
            <wp:docPr id="1141326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26582" name="Picture 11413265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pic:spPr>
                </pic:pic>
              </a:graphicData>
            </a:graphic>
          </wp:inline>
        </w:drawing>
      </w:r>
      <w:r w:rsidR="00A20740">
        <w:rPr>
          <w:lang w:eastAsia="en-US"/>
        </w:rPr>
        <w:br w:type="page"/>
      </w:r>
    </w:p>
    <w:p w14:paraId="0ECEC744" w14:textId="60D9206D" w:rsidR="00A20740" w:rsidRDefault="00A20740" w:rsidP="00BB507A">
      <w:pPr>
        <w:pStyle w:val="Heading1"/>
        <w:spacing w:line="276" w:lineRule="auto"/>
      </w:pPr>
      <w:r>
        <w:lastRenderedPageBreak/>
        <w:t>Results</w:t>
      </w:r>
    </w:p>
    <w:p w14:paraId="04BDE16C" w14:textId="08CCF975" w:rsidR="00A20740" w:rsidRDefault="00A20740" w:rsidP="00BB507A">
      <w:pPr>
        <w:spacing w:line="276" w:lineRule="auto"/>
        <w:jc w:val="both"/>
        <w:rPr>
          <w:lang w:eastAsia="en-US"/>
        </w:rPr>
      </w:pPr>
    </w:p>
    <w:p w14:paraId="3A8AA1B2" w14:textId="77777777" w:rsidR="00A20740" w:rsidRDefault="00A20740" w:rsidP="00BB507A">
      <w:pPr>
        <w:spacing w:line="276" w:lineRule="auto"/>
        <w:jc w:val="both"/>
        <w:rPr>
          <w:lang w:eastAsia="en-US"/>
        </w:rPr>
      </w:pPr>
      <w:r>
        <w:rPr>
          <w:lang w:eastAsia="en-US"/>
        </w:rPr>
        <w:br w:type="page"/>
      </w:r>
    </w:p>
    <w:p w14:paraId="07956193" w14:textId="7515ABFA" w:rsidR="00A20740" w:rsidRDefault="00A20740" w:rsidP="00BB507A">
      <w:pPr>
        <w:pStyle w:val="Heading1"/>
        <w:spacing w:line="276" w:lineRule="auto"/>
      </w:pPr>
      <w:r>
        <w:lastRenderedPageBreak/>
        <w:t>Discussion/Conclusions</w:t>
      </w:r>
    </w:p>
    <w:p w14:paraId="5B739E90" w14:textId="77777777" w:rsidR="00A20740" w:rsidRDefault="00A20740" w:rsidP="00BB507A">
      <w:pPr>
        <w:spacing w:line="276" w:lineRule="auto"/>
        <w:jc w:val="both"/>
        <w:rPr>
          <w:lang w:eastAsia="en-US"/>
        </w:rPr>
      </w:pPr>
      <w:r>
        <w:rPr>
          <w:lang w:eastAsia="en-US"/>
        </w:rPr>
        <w:br w:type="page"/>
      </w:r>
    </w:p>
    <w:p w14:paraId="42F611CD" w14:textId="0CBCF48D" w:rsidR="00A20740" w:rsidRDefault="00A20740" w:rsidP="00BB507A">
      <w:pPr>
        <w:pStyle w:val="Heading1"/>
        <w:spacing w:line="276" w:lineRule="auto"/>
      </w:pPr>
      <w:r>
        <w:lastRenderedPageBreak/>
        <w:t>References</w:t>
      </w:r>
    </w:p>
    <w:p w14:paraId="5283F51D" w14:textId="77777777" w:rsidR="00CB2E9B" w:rsidRDefault="00CB2E9B" w:rsidP="00BB507A">
      <w:pPr>
        <w:pStyle w:val="ListParagraph"/>
        <w:numPr>
          <w:ilvl w:val="0"/>
          <w:numId w:val="2"/>
        </w:numPr>
        <w:overflowPunct w:val="0"/>
        <w:autoSpaceDE w:val="0"/>
        <w:autoSpaceDN w:val="0"/>
        <w:adjustRightInd w:val="0"/>
        <w:spacing w:after="80" w:line="276" w:lineRule="auto"/>
        <w:jc w:val="both"/>
        <w:textAlignment w:val="baseline"/>
      </w:pPr>
      <w:proofErr w:type="spellStart"/>
      <w:r>
        <w:t>SparkByExamples</w:t>
      </w:r>
      <w:proofErr w:type="spellEnd"/>
      <w:r>
        <w:t xml:space="preserve"> (2023). </w:t>
      </w:r>
      <w:r w:rsidRPr="00A2018B">
        <w:rPr>
          <w:i/>
          <w:iCs/>
        </w:rPr>
        <w:t xml:space="preserve">Pandas vs </w:t>
      </w:r>
      <w:proofErr w:type="spellStart"/>
      <w:r w:rsidRPr="00A2018B">
        <w:rPr>
          <w:i/>
          <w:iCs/>
        </w:rPr>
        <w:t>PySpark</w:t>
      </w:r>
      <w:proofErr w:type="spellEnd"/>
      <w:r w:rsidRPr="00A2018B">
        <w:rPr>
          <w:i/>
          <w:iCs/>
        </w:rPr>
        <w:t xml:space="preserve"> </w:t>
      </w:r>
      <w:proofErr w:type="spellStart"/>
      <w:r w:rsidRPr="00A2018B">
        <w:rPr>
          <w:i/>
          <w:iCs/>
        </w:rPr>
        <w:t>DataFrame</w:t>
      </w:r>
      <w:proofErr w:type="spellEnd"/>
      <w:r w:rsidRPr="00A2018B">
        <w:rPr>
          <w:i/>
          <w:iCs/>
        </w:rPr>
        <w:t xml:space="preserve"> With Examples</w:t>
      </w:r>
      <w:r>
        <w:t xml:space="preserve">. Available at: </w:t>
      </w:r>
      <w:hyperlink r:id="rId10" w:history="1">
        <w:r w:rsidRPr="0081187B">
          <w:rPr>
            <w:rStyle w:val="Hyperlink"/>
          </w:rPr>
          <w:t>https://sparkbyexamples.com/pyspark/pandas-vs-pyspark-dataframe-with-examples/</w:t>
        </w:r>
      </w:hyperlink>
      <w:r>
        <w:t xml:space="preserve"> (Accessed: 14 April 2023).</w:t>
      </w:r>
    </w:p>
    <w:p w14:paraId="671B6A0A" w14:textId="41A633A1" w:rsidR="00465AD7" w:rsidRDefault="00465AD7" w:rsidP="00BB507A">
      <w:pPr>
        <w:pStyle w:val="ListParagraph"/>
        <w:numPr>
          <w:ilvl w:val="0"/>
          <w:numId w:val="2"/>
        </w:numPr>
        <w:overflowPunct w:val="0"/>
        <w:autoSpaceDE w:val="0"/>
        <w:autoSpaceDN w:val="0"/>
        <w:adjustRightInd w:val="0"/>
        <w:spacing w:after="80" w:line="276" w:lineRule="auto"/>
        <w:jc w:val="both"/>
        <w:textAlignment w:val="baseline"/>
      </w:pPr>
      <w:proofErr w:type="spellStart"/>
      <w:r w:rsidRPr="00196280">
        <w:t>Kotu</w:t>
      </w:r>
      <w:proofErr w:type="spellEnd"/>
      <w:r>
        <w:t xml:space="preserve"> v.</w:t>
      </w:r>
      <w:r w:rsidRPr="00196280">
        <w:t xml:space="preserve"> and</w:t>
      </w:r>
      <w:r>
        <w:t xml:space="preserve"> </w:t>
      </w:r>
      <w:r w:rsidRPr="00196280">
        <w:t>Deshpande</w:t>
      </w:r>
      <w:r>
        <w:t xml:space="preserve"> B.</w:t>
      </w:r>
      <w:r w:rsidRPr="00196280">
        <w:t xml:space="preserve"> (2014) Predictive Analytics and Data Mining : Concepts and Practice with RapidMiner. Amsterdam: Morgan Kaufmann. Available at: </w:t>
      </w:r>
      <w:hyperlink r:id="rId11" w:history="1">
        <w:r w:rsidR="0048139E" w:rsidRPr="00842599">
          <w:rPr>
            <w:rStyle w:val="Hyperlink"/>
          </w:rPr>
          <w:t>https://search.ebscohost.com/login.aspx?direct=true&amp;db=e250xww&amp;AN=919334&amp;site=eds-live</w:t>
        </w:r>
      </w:hyperlink>
      <w:r w:rsidR="0048139E">
        <w:t xml:space="preserve"> </w:t>
      </w:r>
      <w:r w:rsidRPr="00196280">
        <w:t>(Accessed: 12 April 2023).</w:t>
      </w:r>
    </w:p>
    <w:p w14:paraId="0256C65A" w14:textId="630DC5A2" w:rsidR="00CB2E9B" w:rsidRDefault="000B5BE5" w:rsidP="00BB507A">
      <w:pPr>
        <w:pStyle w:val="ListParagraph"/>
        <w:numPr>
          <w:ilvl w:val="0"/>
          <w:numId w:val="1"/>
        </w:numPr>
        <w:spacing w:line="276" w:lineRule="auto"/>
        <w:jc w:val="both"/>
        <w:rPr>
          <w:lang w:eastAsia="en-US"/>
        </w:rPr>
      </w:pPr>
      <w:r w:rsidRPr="000B5BE5">
        <w:rPr>
          <w:lang w:eastAsia="en-US"/>
        </w:rPr>
        <w:t xml:space="preserve">Arthur I. </w:t>
      </w:r>
      <w:proofErr w:type="spellStart"/>
      <w:r w:rsidRPr="000B5BE5">
        <w:rPr>
          <w:lang w:eastAsia="en-US"/>
        </w:rPr>
        <w:t>Tsarev</w:t>
      </w:r>
      <w:proofErr w:type="spellEnd"/>
      <w:r w:rsidRPr="000B5BE5">
        <w:rPr>
          <w:lang w:eastAsia="en-US"/>
        </w:rPr>
        <w:t xml:space="preserve"> (2022) ‘Implementation of BIM technologies in the construction sector: the European experience’, </w:t>
      </w:r>
      <w:proofErr w:type="spellStart"/>
      <w:r w:rsidRPr="000B5BE5">
        <w:rPr>
          <w:lang w:eastAsia="en-US"/>
        </w:rPr>
        <w:t>Stroitel’stvo</w:t>
      </w:r>
      <w:proofErr w:type="spellEnd"/>
      <w:r w:rsidRPr="000B5BE5">
        <w:rPr>
          <w:lang w:eastAsia="en-US"/>
        </w:rPr>
        <w:t xml:space="preserve">: </w:t>
      </w:r>
      <w:proofErr w:type="spellStart"/>
      <w:r w:rsidRPr="000B5BE5">
        <w:rPr>
          <w:lang w:eastAsia="en-US"/>
        </w:rPr>
        <w:t>Nauka</w:t>
      </w:r>
      <w:proofErr w:type="spellEnd"/>
      <w:r w:rsidRPr="000B5BE5">
        <w:rPr>
          <w:lang w:eastAsia="en-US"/>
        </w:rPr>
        <w:t xml:space="preserve"> </w:t>
      </w:r>
      <w:proofErr w:type="spellStart"/>
      <w:r w:rsidRPr="000B5BE5">
        <w:rPr>
          <w:lang w:eastAsia="en-US"/>
        </w:rPr>
        <w:t>i</w:t>
      </w:r>
      <w:proofErr w:type="spellEnd"/>
      <w:r w:rsidRPr="000B5BE5">
        <w:rPr>
          <w:lang w:eastAsia="en-US"/>
        </w:rPr>
        <w:t xml:space="preserve"> </w:t>
      </w:r>
      <w:proofErr w:type="spellStart"/>
      <w:r w:rsidRPr="000B5BE5">
        <w:rPr>
          <w:lang w:eastAsia="en-US"/>
        </w:rPr>
        <w:t>Obrazovanie</w:t>
      </w:r>
      <w:proofErr w:type="spellEnd"/>
      <w:r w:rsidRPr="000B5BE5">
        <w:rPr>
          <w:lang w:eastAsia="en-US"/>
        </w:rPr>
        <w:t>, 12(3), pp. 125–136. doi:10.22227/2305-5502.2022.3.8.</w:t>
      </w:r>
    </w:p>
    <w:p w14:paraId="00BEC26E" w14:textId="50FC0317" w:rsidR="00372CA5" w:rsidRDefault="00372CA5" w:rsidP="00BB507A">
      <w:pPr>
        <w:pStyle w:val="ListParagraph"/>
        <w:numPr>
          <w:ilvl w:val="0"/>
          <w:numId w:val="1"/>
        </w:numPr>
        <w:overflowPunct w:val="0"/>
        <w:autoSpaceDE w:val="0"/>
        <w:autoSpaceDN w:val="0"/>
        <w:adjustRightInd w:val="0"/>
        <w:spacing w:after="80" w:line="276" w:lineRule="auto"/>
        <w:jc w:val="both"/>
        <w:textAlignment w:val="baseline"/>
      </w:pPr>
      <w:r>
        <w:t xml:space="preserve">Government of Ireland (2023). Datasets, Publisher: </w:t>
      </w:r>
      <w:r w:rsidR="0002029B">
        <w:t>Central Statistics Office</w:t>
      </w:r>
      <w:r>
        <w:t xml:space="preserve">. Available at: </w:t>
      </w:r>
      <w:hyperlink r:id="rId12" w:history="1"/>
      <w:r w:rsidR="00402CA1">
        <w:rPr>
          <w:rStyle w:val="Hyperlink"/>
        </w:rPr>
        <w:t xml:space="preserve"> </w:t>
      </w:r>
      <w:r w:rsidR="00402CA1" w:rsidRPr="00402CA1">
        <w:rPr>
          <w:rStyle w:val="Hyperlink"/>
        </w:rPr>
        <w:t>https://data.gov.ie/dataset/beq04-onstruction-sector-base-2015100-by-type-of-building-and-construction-year-and-statistic-fb86?package_type=dataset</w:t>
      </w:r>
      <w:r>
        <w:t xml:space="preserve"> (Accessed: </w:t>
      </w:r>
      <w:r w:rsidR="00402CA1">
        <w:t>27</w:t>
      </w:r>
      <w:r>
        <w:t xml:space="preserve"> April 2023).</w:t>
      </w:r>
    </w:p>
    <w:p w14:paraId="1B395000" w14:textId="6CE547A0" w:rsidR="00372CA5" w:rsidRDefault="0002029B" w:rsidP="00BB507A">
      <w:pPr>
        <w:pStyle w:val="ListParagraph"/>
        <w:numPr>
          <w:ilvl w:val="0"/>
          <w:numId w:val="1"/>
        </w:numPr>
        <w:spacing w:line="276" w:lineRule="auto"/>
        <w:jc w:val="both"/>
        <w:rPr>
          <w:lang w:eastAsia="en-US"/>
        </w:rPr>
      </w:pPr>
      <w:r>
        <w:rPr>
          <w:lang w:eastAsia="en-US"/>
        </w:rPr>
        <w:t xml:space="preserve">European Commission (2023). Datasets, Publisher: Eurostat. Available at: </w:t>
      </w:r>
      <w:hyperlink r:id="rId13" w:history="1">
        <w:r w:rsidRPr="00842599">
          <w:rPr>
            <w:rStyle w:val="Hyperlink"/>
            <w:lang w:eastAsia="en-US"/>
          </w:rPr>
          <w:t>https://data.europa.eu/data/datasets/sb1sa3jwwgiu0buqjyq5g?locale=en</w:t>
        </w:r>
      </w:hyperlink>
      <w:r>
        <w:rPr>
          <w:lang w:eastAsia="en-US"/>
        </w:rPr>
        <w:t xml:space="preserve"> (Accessed: 28 April 2023).</w:t>
      </w:r>
    </w:p>
    <w:p w14:paraId="32B7FD67" w14:textId="64CFE52D" w:rsidR="0002029B" w:rsidRDefault="0002029B" w:rsidP="00BB507A">
      <w:pPr>
        <w:pStyle w:val="ListParagraph"/>
        <w:numPr>
          <w:ilvl w:val="0"/>
          <w:numId w:val="1"/>
        </w:numPr>
        <w:spacing w:line="276" w:lineRule="auto"/>
        <w:jc w:val="both"/>
        <w:rPr>
          <w:lang w:eastAsia="en-US"/>
        </w:rPr>
      </w:pPr>
      <w:r>
        <w:rPr>
          <w:lang w:eastAsia="en-US"/>
        </w:rPr>
        <w:t xml:space="preserve">Reddit Inc. (2023). Data API Terms. Available at: </w:t>
      </w:r>
      <w:hyperlink r:id="rId14" w:history="1">
        <w:r w:rsidRPr="00842599">
          <w:rPr>
            <w:rStyle w:val="Hyperlink"/>
            <w:lang w:eastAsia="en-US"/>
          </w:rPr>
          <w:t>https://www.redditinc.com/policies/data-api-terms</w:t>
        </w:r>
      </w:hyperlink>
      <w:r>
        <w:rPr>
          <w:lang w:eastAsia="en-US"/>
        </w:rPr>
        <w:t xml:space="preserve"> (Accessed at: 23 May 2023).</w:t>
      </w:r>
    </w:p>
    <w:p w14:paraId="658C891F" w14:textId="364E6353" w:rsidR="004136E4" w:rsidRDefault="004136E4" w:rsidP="00BB507A">
      <w:pPr>
        <w:pStyle w:val="ListParagraph"/>
        <w:numPr>
          <w:ilvl w:val="0"/>
          <w:numId w:val="1"/>
        </w:numPr>
        <w:spacing w:line="276" w:lineRule="auto"/>
        <w:jc w:val="both"/>
        <w:rPr>
          <w:lang w:eastAsia="en-US"/>
        </w:rPr>
      </w:pPr>
      <w:proofErr w:type="spellStart"/>
      <w:r w:rsidRPr="004136E4">
        <w:rPr>
          <w:lang w:eastAsia="en-US"/>
        </w:rPr>
        <w:t>Sheposh</w:t>
      </w:r>
      <w:proofErr w:type="spellEnd"/>
      <w:r w:rsidRPr="004136E4">
        <w:rPr>
          <w:lang w:eastAsia="en-US"/>
        </w:rPr>
        <w:t xml:space="preserve">, R. (2022) ‘Pearson correlation coefficient (PCC)’, Salem Press </w:t>
      </w:r>
      <w:proofErr w:type="spellStart"/>
      <w:r w:rsidRPr="004136E4">
        <w:rPr>
          <w:lang w:eastAsia="en-US"/>
        </w:rPr>
        <w:t>Encyclopedia</w:t>
      </w:r>
      <w:proofErr w:type="spellEnd"/>
      <w:r w:rsidRPr="004136E4">
        <w:rPr>
          <w:lang w:eastAsia="en-US"/>
        </w:rPr>
        <w:t xml:space="preserve"> of Science [Preprint]. Available at: </w:t>
      </w:r>
      <w:hyperlink r:id="rId15" w:history="1">
        <w:r w:rsidR="002351B7" w:rsidRPr="00842599">
          <w:rPr>
            <w:rStyle w:val="Hyperlink"/>
            <w:lang w:eastAsia="en-US"/>
          </w:rPr>
          <w:t>https://search.ebscohost.com/login.aspx?direct=true&amp;db=ers&amp;AN=155876503&amp;site=eds-live</w:t>
        </w:r>
      </w:hyperlink>
      <w:r w:rsidR="002351B7">
        <w:rPr>
          <w:lang w:eastAsia="en-US"/>
        </w:rPr>
        <w:t xml:space="preserve"> </w:t>
      </w:r>
      <w:r w:rsidRPr="004136E4">
        <w:rPr>
          <w:lang w:eastAsia="en-US"/>
        </w:rPr>
        <w:t>(Accessed: 23 May 2023).</w:t>
      </w:r>
    </w:p>
    <w:p w14:paraId="70FDC20F" w14:textId="49FDE2B2" w:rsidR="007E349B" w:rsidRDefault="007E349B" w:rsidP="00BB507A">
      <w:pPr>
        <w:pStyle w:val="ListParagraph"/>
        <w:numPr>
          <w:ilvl w:val="0"/>
          <w:numId w:val="1"/>
        </w:numPr>
        <w:spacing w:line="276" w:lineRule="auto"/>
        <w:jc w:val="both"/>
        <w:rPr>
          <w:lang w:eastAsia="en-US"/>
        </w:rPr>
      </w:pPr>
      <w:r w:rsidRPr="007E349B">
        <w:rPr>
          <w:lang w:eastAsia="en-US"/>
        </w:rPr>
        <w:t xml:space="preserve">Prana </w:t>
      </w:r>
      <w:proofErr w:type="spellStart"/>
      <w:r w:rsidRPr="007E349B">
        <w:rPr>
          <w:lang w:eastAsia="en-US"/>
        </w:rPr>
        <w:t>Ugiana</w:t>
      </w:r>
      <w:proofErr w:type="spellEnd"/>
      <w:r w:rsidRPr="007E349B">
        <w:rPr>
          <w:lang w:eastAsia="en-US"/>
        </w:rPr>
        <w:t xml:space="preserve"> Gio and Elly </w:t>
      </w:r>
      <w:proofErr w:type="spellStart"/>
      <w:r w:rsidRPr="007E349B">
        <w:rPr>
          <w:lang w:eastAsia="en-US"/>
        </w:rPr>
        <w:t>Rosmaini</w:t>
      </w:r>
      <w:proofErr w:type="spellEnd"/>
      <w:r w:rsidRPr="007E349B">
        <w:rPr>
          <w:lang w:eastAsia="en-US"/>
        </w:rPr>
        <w:t xml:space="preserve"> (2018) ‘The Robustness of Two Independent Samples </w:t>
      </w:r>
      <w:proofErr w:type="spellStart"/>
      <w:r w:rsidRPr="007E349B">
        <w:rPr>
          <w:lang w:eastAsia="en-US"/>
        </w:rPr>
        <w:t>t</w:t>
      </w:r>
      <w:proofErr w:type="spellEnd"/>
      <w:r w:rsidRPr="007E349B">
        <w:rPr>
          <w:lang w:eastAsia="en-US"/>
        </w:rPr>
        <w:t xml:space="preserve"> Test Using Monte Carlo Simulation with R’, IOP Conference Series: Materials Science and Engineering, 300, p. 012030. Available at: </w:t>
      </w:r>
      <w:hyperlink r:id="rId16" w:history="1">
        <w:r w:rsidR="002351B7" w:rsidRPr="00842599">
          <w:rPr>
            <w:rStyle w:val="Hyperlink"/>
            <w:lang w:eastAsia="en-US"/>
          </w:rPr>
          <w:t>https://search.ebscohost.com/login.aspx?direct=true&amp;db=edsair&amp;AN=edsair.doi...........7fc4a5ce2ebec8a7cf2573c0cef7776a&amp;site=eds-live</w:t>
        </w:r>
      </w:hyperlink>
      <w:r w:rsidR="002351B7">
        <w:rPr>
          <w:lang w:eastAsia="en-US"/>
        </w:rPr>
        <w:t xml:space="preserve"> </w:t>
      </w:r>
      <w:r w:rsidRPr="007E349B">
        <w:rPr>
          <w:lang w:eastAsia="en-US"/>
        </w:rPr>
        <w:t>(Accessed: 23 May 2023).</w:t>
      </w:r>
    </w:p>
    <w:p w14:paraId="70BACF08" w14:textId="16871789" w:rsidR="0029397B" w:rsidRDefault="0029397B" w:rsidP="00BB507A">
      <w:pPr>
        <w:pStyle w:val="ListParagraph"/>
        <w:numPr>
          <w:ilvl w:val="0"/>
          <w:numId w:val="1"/>
        </w:numPr>
        <w:spacing w:line="276" w:lineRule="auto"/>
        <w:jc w:val="both"/>
        <w:rPr>
          <w:lang w:eastAsia="en-US"/>
        </w:rPr>
      </w:pPr>
      <w:r w:rsidRPr="0029397B">
        <w:rPr>
          <w:lang w:eastAsia="en-US"/>
        </w:rPr>
        <w:t xml:space="preserve">Holt, M.P.. Ms. (2023) ‘Analysis of variance (ANOVA)’, Salem Press </w:t>
      </w:r>
      <w:proofErr w:type="spellStart"/>
      <w:r w:rsidRPr="0029397B">
        <w:rPr>
          <w:lang w:eastAsia="en-US"/>
        </w:rPr>
        <w:t>Encyclopedia</w:t>
      </w:r>
      <w:proofErr w:type="spellEnd"/>
      <w:r w:rsidRPr="0029397B">
        <w:rPr>
          <w:lang w:eastAsia="en-US"/>
        </w:rPr>
        <w:t xml:space="preserve"> of Science [Preprint]. Available at: </w:t>
      </w:r>
      <w:hyperlink r:id="rId17" w:history="1">
        <w:r w:rsidR="002351B7" w:rsidRPr="00842599">
          <w:rPr>
            <w:rStyle w:val="Hyperlink"/>
            <w:lang w:eastAsia="en-US"/>
          </w:rPr>
          <w:t>https://search.ebscohost.com/login.aspx?direct=true&amp;db=ers&amp;AN=113931283&amp;site=eds-live</w:t>
        </w:r>
      </w:hyperlink>
      <w:r w:rsidR="002351B7">
        <w:rPr>
          <w:lang w:eastAsia="en-US"/>
        </w:rPr>
        <w:t xml:space="preserve"> </w:t>
      </w:r>
      <w:r w:rsidRPr="0029397B">
        <w:rPr>
          <w:lang w:eastAsia="en-US"/>
        </w:rPr>
        <w:t>(Accessed: 23 May 2023).</w:t>
      </w:r>
    </w:p>
    <w:p w14:paraId="4DCB08AF" w14:textId="33574719" w:rsidR="00C02476" w:rsidRPr="00CB2E9B" w:rsidRDefault="00C02476" w:rsidP="00BB507A">
      <w:pPr>
        <w:pStyle w:val="ListParagraph"/>
        <w:numPr>
          <w:ilvl w:val="0"/>
          <w:numId w:val="1"/>
        </w:numPr>
        <w:spacing w:line="276" w:lineRule="auto"/>
        <w:jc w:val="both"/>
        <w:rPr>
          <w:lang w:eastAsia="en-US"/>
        </w:rPr>
      </w:pPr>
      <w:r w:rsidRPr="00C02476">
        <w:rPr>
          <w:lang w:eastAsia="en-US"/>
        </w:rPr>
        <w:t xml:space="preserve">Marie </w:t>
      </w:r>
      <w:proofErr w:type="spellStart"/>
      <w:r w:rsidRPr="00C02476">
        <w:rPr>
          <w:lang w:eastAsia="en-US"/>
        </w:rPr>
        <w:t>Delacre</w:t>
      </w:r>
      <w:proofErr w:type="spellEnd"/>
      <w:r w:rsidRPr="00C02476">
        <w:rPr>
          <w:lang w:eastAsia="en-US"/>
        </w:rPr>
        <w:t xml:space="preserve"> et al. (2019) ‘Taking Parametric Assumptions Seriously: Arguments for the Use of Welch’s ’F’-test instead of the Classical ’F’-test in One-Way ANOVA’, International Review of Social Psychology, 32(1). doi:10.5334/irsp.198.</w:t>
      </w:r>
    </w:p>
    <w:sectPr w:rsidR="00C02476" w:rsidRPr="00CB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3A73"/>
    <w:multiLevelType w:val="multilevel"/>
    <w:tmpl w:val="2BC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7676"/>
    <w:multiLevelType w:val="multilevel"/>
    <w:tmpl w:val="B1B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4DC9"/>
    <w:multiLevelType w:val="hybridMultilevel"/>
    <w:tmpl w:val="98CEC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515F4"/>
    <w:multiLevelType w:val="multilevel"/>
    <w:tmpl w:val="DE0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4FB3"/>
    <w:multiLevelType w:val="multilevel"/>
    <w:tmpl w:val="8CB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2200E"/>
    <w:multiLevelType w:val="hybridMultilevel"/>
    <w:tmpl w:val="67E4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83913"/>
    <w:multiLevelType w:val="multilevel"/>
    <w:tmpl w:val="A08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A4696"/>
    <w:multiLevelType w:val="multilevel"/>
    <w:tmpl w:val="5C7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F052B"/>
    <w:multiLevelType w:val="hybridMultilevel"/>
    <w:tmpl w:val="DF3E0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8754CD"/>
    <w:multiLevelType w:val="multilevel"/>
    <w:tmpl w:val="E9D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068064">
    <w:abstractNumId w:val="8"/>
  </w:num>
  <w:num w:numId="2" w16cid:durableId="1061977161">
    <w:abstractNumId w:val="5"/>
  </w:num>
  <w:num w:numId="3" w16cid:durableId="1401632642">
    <w:abstractNumId w:val="2"/>
  </w:num>
  <w:num w:numId="4" w16cid:durableId="1765225745">
    <w:abstractNumId w:val="9"/>
  </w:num>
  <w:num w:numId="5" w16cid:durableId="1186676584">
    <w:abstractNumId w:val="4"/>
  </w:num>
  <w:num w:numId="6" w16cid:durableId="1565607662">
    <w:abstractNumId w:val="3"/>
  </w:num>
  <w:num w:numId="7" w16cid:durableId="1912616580">
    <w:abstractNumId w:val="7"/>
  </w:num>
  <w:num w:numId="8" w16cid:durableId="1684478653">
    <w:abstractNumId w:val="1"/>
  </w:num>
  <w:num w:numId="9" w16cid:durableId="19551567">
    <w:abstractNumId w:val="0"/>
  </w:num>
  <w:num w:numId="10" w16cid:durableId="1629119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40"/>
    <w:rsid w:val="00000BD7"/>
    <w:rsid w:val="000114ED"/>
    <w:rsid w:val="0002029B"/>
    <w:rsid w:val="00020335"/>
    <w:rsid w:val="00033AF6"/>
    <w:rsid w:val="000419AA"/>
    <w:rsid w:val="00073DDA"/>
    <w:rsid w:val="000A5387"/>
    <w:rsid w:val="000B3284"/>
    <w:rsid w:val="000B5BE5"/>
    <w:rsid w:val="00106414"/>
    <w:rsid w:val="00107A1E"/>
    <w:rsid w:val="001228BB"/>
    <w:rsid w:val="001621EE"/>
    <w:rsid w:val="00175C80"/>
    <w:rsid w:val="0017624A"/>
    <w:rsid w:val="001852AB"/>
    <w:rsid w:val="001C7BC5"/>
    <w:rsid w:val="002001D0"/>
    <w:rsid w:val="002351B7"/>
    <w:rsid w:val="00260EFE"/>
    <w:rsid w:val="00283CD2"/>
    <w:rsid w:val="00292D14"/>
    <w:rsid w:val="0029397B"/>
    <w:rsid w:val="00296D68"/>
    <w:rsid w:val="00297875"/>
    <w:rsid w:val="00303CBA"/>
    <w:rsid w:val="00316E9F"/>
    <w:rsid w:val="00372CA5"/>
    <w:rsid w:val="003D2693"/>
    <w:rsid w:val="003F0BC6"/>
    <w:rsid w:val="00402CA1"/>
    <w:rsid w:val="004136E4"/>
    <w:rsid w:val="00417EA1"/>
    <w:rsid w:val="00443ABD"/>
    <w:rsid w:val="00465AD7"/>
    <w:rsid w:val="0048139E"/>
    <w:rsid w:val="004968E7"/>
    <w:rsid w:val="004A17AD"/>
    <w:rsid w:val="004A1937"/>
    <w:rsid w:val="004C0C06"/>
    <w:rsid w:val="004D60CE"/>
    <w:rsid w:val="00504D15"/>
    <w:rsid w:val="005653D1"/>
    <w:rsid w:val="00573679"/>
    <w:rsid w:val="005D779D"/>
    <w:rsid w:val="005E3B31"/>
    <w:rsid w:val="00600ADC"/>
    <w:rsid w:val="00603987"/>
    <w:rsid w:val="00655869"/>
    <w:rsid w:val="00661F1F"/>
    <w:rsid w:val="006665EC"/>
    <w:rsid w:val="00674D3B"/>
    <w:rsid w:val="006A473B"/>
    <w:rsid w:val="00701FA1"/>
    <w:rsid w:val="0070504D"/>
    <w:rsid w:val="00745DDD"/>
    <w:rsid w:val="00794262"/>
    <w:rsid w:val="007B0D25"/>
    <w:rsid w:val="007B194F"/>
    <w:rsid w:val="007E349B"/>
    <w:rsid w:val="00815EA0"/>
    <w:rsid w:val="00875AF4"/>
    <w:rsid w:val="008A1F1A"/>
    <w:rsid w:val="008A7224"/>
    <w:rsid w:val="008B52C9"/>
    <w:rsid w:val="008C5FC1"/>
    <w:rsid w:val="0091463D"/>
    <w:rsid w:val="009154DC"/>
    <w:rsid w:val="00933CF8"/>
    <w:rsid w:val="00996B2C"/>
    <w:rsid w:val="009B45E4"/>
    <w:rsid w:val="009E42EF"/>
    <w:rsid w:val="00A10156"/>
    <w:rsid w:val="00A20740"/>
    <w:rsid w:val="00A40251"/>
    <w:rsid w:val="00A5203C"/>
    <w:rsid w:val="00A920A6"/>
    <w:rsid w:val="00AC6D50"/>
    <w:rsid w:val="00AF3D49"/>
    <w:rsid w:val="00B74620"/>
    <w:rsid w:val="00BB507A"/>
    <w:rsid w:val="00BD2DA1"/>
    <w:rsid w:val="00BF7993"/>
    <w:rsid w:val="00C02476"/>
    <w:rsid w:val="00C12AA9"/>
    <w:rsid w:val="00C32C4F"/>
    <w:rsid w:val="00C355AB"/>
    <w:rsid w:val="00C3774B"/>
    <w:rsid w:val="00C64705"/>
    <w:rsid w:val="00CB2E9B"/>
    <w:rsid w:val="00CD5829"/>
    <w:rsid w:val="00D0787B"/>
    <w:rsid w:val="00D164A6"/>
    <w:rsid w:val="00D608A8"/>
    <w:rsid w:val="00D810D5"/>
    <w:rsid w:val="00D81182"/>
    <w:rsid w:val="00DB4D19"/>
    <w:rsid w:val="00DD7628"/>
    <w:rsid w:val="00DE5C15"/>
    <w:rsid w:val="00DE6191"/>
    <w:rsid w:val="00DE71A1"/>
    <w:rsid w:val="00DF0199"/>
    <w:rsid w:val="00E621B5"/>
    <w:rsid w:val="00E869B6"/>
    <w:rsid w:val="00EB3165"/>
    <w:rsid w:val="00ED207E"/>
    <w:rsid w:val="00F141C0"/>
    <w:rsid w:val="00F203DF"/>
    <w:rsid w:val="00F37338"/>
    <w:rsid w:val="00F47081"/>
    <w:rsid w:val="00F655A6"/>
    <w:rsid w:val="00FE57CF"/>
    <w:rsid w:val="00FE5A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A69"/>
  <w15:chartTrackingRefBased/>
  <w15:docId w15:val="{7FD8EC38-5155-FF48-95AF-FAF7C550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4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20740"/>
    <w:pPr>
      <w:keepNext/>
      <w:overflowPunct w:val="0"/>
      <w:autoSpaceDE w:val="0"/>
      <w:autoSpaceDN w:val="0"/>
      <w:adjustRightInd w:val="0"/>
      <w:spacing w:before="120"/>
      <w:jc w:val="both"/>
      <w:textAlignment w:val="baseline"/>
      <w:outlineLvl w:val="0"/>
    </w:pPr>
    <w:rPr>
      <w:rFonts w:ascii="Arial" w:hAnsi="Arial"/>
      <w:b/>
      <w:kern w:val="28"/>
      <w:sz w:val="28"/>
      <w:lang w:eastAsia="en-US"/>
    </w:rPr>
  </w:style>
  <w:style w:type="paragraph" w:styleId="Heading2">
    <w:name w:val="heading 2"/>
    <w:basedOn w:val="Normal"/>
    <w:next w:val="Normal"/>
    <w:link w:val="Heading2Char"/>
    <w:uiPriority w:val="9"/>
    <w:unhideWhenUsed/>
    <w:qFormat/>
    <w:rsid w:val="009E42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1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55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3C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40"/>
    <w:rPr>
      <w:rFonts w:ascii="Arial" w:eastAsia="Times New Roman" w:hAnsi="Arial" w:cs="Times New Roman"/>
      <w:b/>
      <w:kern w:val="28"/>
      <w:sz w:val="28"/>
      <w14:ligatures w14:val="none"/>
    </w:rPr>
  </w:style>
  <w:style w:type="character" w:styleId="Hyperlink">
    <w:name w:val="Hyperlink"/>
    <w:basedOn w:val="DefaultParagraphFont"/>
    <w:uiPriority w:val="99"/>
    <w:unhideWhenUsed/>
    <w:rsid w:val="00A20740"/>
    <w:rPr>
      <w:color w:val="0563C1" w:themeColor="hyperlink"/>
      <w:u w:val="single"/>
    </w:rPr>
  </w:style>
  <w:style w:type="paragraph" w:styleId="NoSpacing">
    <w:name w:val="No Spacing"/>
    <w:link w:val="NoSpacingChar"/>
    <w:uiPriority w:val="1"/>
    <w:qFormat/>
    <w:rsid w:val="00A2074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20740"/>
    <w:rPr>
      <w:rFonts w:eastAsiaTheme="minorEastAsia"/>
      <w:kern w:val="0"/>
      <w:sz w:val="22"/>
      <w:szCs w:val="22"/>
      <w:lang w:val="en-US" w:eastAsia="zh-CN"/>
      <w14:ligatures w14:val="none"/>
    </w:rPr>
  </w:style>
  <w:style w:type="character" w:customStyle="1" w:styleId="Heading2Char">
    <w:name w:val="Heading 2 Char"/>
    <w:basedOn w:val="DefaultParagraphFont"/>
    <w:link w:val="Heading2"/>
    <w:uiPriority w:val="9"/>
    <w:rsid w:val="009E42EF"/>
    <w:rPr>
      <w:rFonts w:asciiTheme="majorHAnsi" w:eastAsiaTheme="majorEastAsia" w:hAnsiTheme="majorHAnsi" w:cstheme="majorBidi"/>
      <w:color w:val="2F5496" w:themeColor="accent1" w:themeShade="BF"/>
      <w:kern w:val="0"/>
      <w:sz w:val="26"/>
      <w:szCs w:val="26"/>
      <w:lang w:eastAsia="en-GB"/>
      <w14:ligatures w14:val="none"/>
    </w:rPr>
  </w:style>
  <w:style w:type="paragraph" w:styleId="ListParagraph">
    <w:name w:val="List Paragraph"/>
    <w:basedOn w:val="Normal"/>
    <w:uiPriority w:val="34"/>
    <w:qFormat/>
    <w:rsid w:val="00CB2E9B"/>
    <w:pPr>
      <w:ind w:left="720"/>
      <w:contextualSpacing/>
    </w:pPr>
  </w:style>
  <w:style w:type="character" w:customStyle="1" w:styleId="Heading3Char">
    <w:name w:val="Heading 3 Char"/>
    <w:basedOn w:val="DefaultParagraphFont"/>
    <w:link w:val="Heading3"/>
    <w:uiPriority w:val="9"/>
    <w:rsid w:val="00D81182"/>
    <w:rPr>
      <w:rFonts w:asciiTheme="majorHAnsi" w:eastAsiaTheme="majorEastAsia" w:hAnsiTheme="majorHAnsi" w:cstheme="majorBidi"/>
      <w:color w:val="1F3763" w:themeColor="accent1" w:themeShade="7F"/>
      <w:kern w:val="0"/>
      <w:lang w:eastAsia="en-GB"/>
      <w14:ligatures w14:val="none"/>
    </w:rPr>
  </w:style>
  <w:style w:type="character" w:styleId="UnresolvedMention">
    <w:name w:val="Unresolved Mention"/>
    <w:basedOn w:val="DefaultParagraphFont"/>
    <w:uiPriority w:val="99"/>
    <w:semiHidden/>
    <w:unhideWhenUsed/>
    <w:rsid w:val="0002029B"/>
    <w:rPr>
      <w:color w:val="605E5C"/>
      <w:shd w:val="clear" w:color="auto" w:fill="E1DFDD"/>
    </w:rPr>
  </w:style>
  <w:style w:type="character" w:customStyle="1" w:styleId="Heading4Char">
    <w:name w:val="Heading 4 Char"/>
    <w:basedOn w:val="DefaultParagraphFont"/>
    <w:link w:val="Heading4"/>
    <w:uiPriority w:val="9"/>
    <w:rsid w:val="00F655A6"/>
    <w:rPr>
      <w:rFonts w:asciiTheme="majorHAnsi" w:eastAsiaTheme="majorEastAsia" w:hAnsiTheme="majorHAnsi" w:cstheme="majorBidi"/>
      <w:i/>
      <w:iCs/>
      <w:color w:val="2F5496" w:themeColor="accent1" w:themeShade="BF"/>
      <w:kern w:val="0"/>
      <w:lang w:eastAsia="en-GB"/>
      <w14:ligatures w14:val="none"/>
    </w:rPr>
  </w:style>
  <w:style w:type="table" w:styleId="GridTable1Light-Accent1">
    <w:name w:val="Grid Table 1 Light Accent 1"/>
    <w:basedOn w:val="TableNormal"/>
    <w:uiPriority w:val="46"/>
    <w:rsid w:val="0002033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073DD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073DDA"/>
    <w:pPr>
      <w:spacing w:after="200"/>
    </w:pPr>
    <w:rPr>
      <w:i/>
      <w:iCs/>
      <w:color w:val="44546A" w:themeColor="text2"/>
      <w:sz w:val="18"/>
      <w:szCs w:val="18"/>
    </w:rPr>
  </w:style>
  <w:style w:type="character" w:customStyle="1" w:styleId="Heading5Char">
    <w:name w:val="Heading 5 Char"/>
    <w:basedOn w:val="DefaultParagraphFont"/>
    <w:link w:val="Heading5"/>
    <w:uiPriority w:val="9"/>
    <w:rsid w:val="00303CBA"/>
    <w:rPr>
      <w:rFonts w:asciiTheme="majorHAnsi" w:eastAsiaTheme="majorEastAsia" w:hAnsiTheme="majorHAnsi" w:cstheme="majorBidi"/>
      <w:color w:val="2F5496" w:themeColor="accent1" w:themeShade="BF"/>
      <w:kern w:val="0"/>
      <w:lang w:eastAsia="en-GB"/>
      <w14:ligatures w14:val="none"/>
    </w:rPr>
  </w:style>
  <w:style w:type="paragraph" w:styleId="NormalWeb">
    <w:name w:val="Normal (Web)"/>
    <w:basedOn w:val="Normal"/>
    <w:uiPriority w:val="99"/>
    <w:semiHidden/>
    <w:unhideWhenUsed/>
    <w:rsid w:val="00303CBA"/>
    <w:pPr>
      <w:spacing w:before="100" w:beforeAutospacing="1" w:after="100" w:afterAutospacing="1"/>
    </w:pPr>
  </w:style>
  <w:style w:type="character" w:styleId="Strong">
    <w:name w:val="Strong"/>
    <w:basedOn w:val="DefaultParagraphFont"/>
    <w:uiPriority w:val="22"/>
    <w:qFormat/>
    <w:rsid w:val="00303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04">
      <w:bodyDiv w:val="1"/>
      <w:marLeft w:val="0"/>
      <w:marRight w:val="0"/>
      <w:marTop w:val="0"/>
      <w:marBottom w:val="0"/>
      <w:divBdr>
        <w:top w:val="none" w:sz="0" w:space="0" w:color="auto"/>
        <w:left w:val="none" w:sz="0" w:space="0" w:color="auto"/>
        <w:bottom w:val="none" w:sz="0" w:space="0" w:color="auto"/>
        <w:right w:val="none" w:sz="0" w:space="0" w:color="auto"/>
      </w:divBdr>
    </w:div>
    <w:div w:id="861435112">
      <w:bodyDiv w:val="1"/>
      <w:marLeft w:val="0"/>
      <w:marRight w:val="0"/>
      <w:marTop w:val="0"/>
      <w:marBottom w:val="0"/>
      <w:divBdr>
        <w:top w:val="none" w:sz="0" w:space="0" w:color="auto"/>
        <w:left w:val="none" w:sz="0" w:space="0" w:color="auto"/>
        <w:bottom w:val="none" w:sz="0" w:space="0" w:color="auto"/>
        <w:right w:val="none" w:sz="0" w:space="0" w:color="auto"/>
      </w:divBdr>
    </w:div>
    <w:div w:id="952712695">
      <w:bodyDiv w:val="1"/>
      <w:marLeft w:val="0"/>
      <w:marRight w:val="0"/>
      <w:marTop w:val="0"/>
      <w:marBottom w:val="0"/>
      <w:divBdr>
        <w:top w:val="none" w:sz="0" w:space="0" w:color="auto"/>
        <w:left w:val="none" w:sz="0" w:space="0" w:color="auto"/>
        <w:bottom w:val="none" w:sz="0" w:space="0" w:color="auto"/>
        <w:right w:val="none" w:sz="0" w:space="0" w:color="auto"/>
      </w:divBdr>
    </w:div>
    <w:div w:id="990209820">
      <w:bodyDiv w:val="1"/>
      <w:marLeft w:val="0"/>
      <w:marRight w:val="0"/>
      <w:marTop w:val="0"/>
      <w:marBottom w:val="0"/>
      <w:divBdr>
        <w:top w:val="none" w:sz="0" w:space="0" w:color="auto"/>
        <w:left w:val="none" w:sz="0" w:space="0" w:color="auto"/>
        <w:bottom w:val="none" w:sz="0" w:space="0" w:color="auto"/>
        <w:right w:val="none" w:sz="0" w:space="0" w:color="auto"/>
      </w:divBdr>
    </w:div>
    <w:div w:id="1079978819">
      <w:bodyDiv w:val="1"/>
      <w:marLeft w:val="0"/>
      <w:marRight w:val="0"/>
      <w:marTop w:val="0"/>
      <w:marBottom w:val="0"/>
      <w:divBdr>
        <w:top w:val="none" w:sz="0" w:space="0" w:color="auto"/>
        <w:left w:val="none" w:sz="0" w:space="0" w:color="auto"/>
        <w:bottom w:val="none" w:sz="0" w:space="0" w:color="auto"/>
        <w:right w:val="none" w:sz="0" w:space="0" w:color="auto"/>
      </w:divBdr>
    </w:div>
    <w:div w:id="1098134872">
      <w:bodyDiv w:val="1"/>
      <w:marLeft w:val="0"/>
      <w:marRight w:val="0"/>
      <w:marTop w:val="0"/>
      <w:marBottom w:val="0"/>
      <w:divBdr>
        <w:top w:val="none" w:sz="0" w:space="0" w:color="auto"/>
        <w:left w:val="none" w:sz="0" w:space="0" w:color="auto"/>
        <w:bottom w:val="none" w:sz="0" w:space="0" w:color="auto"/>
        <w:right w:val="none" w:sz="0" w:space="0" w:color="auto"/>
      </w:divBdr>
    </w:div>
    <w:div w:id="1444424798">
      <w:bodyDiv w:val="1"/>
      <w:marLeft w:val="0"/>
      <w:marRight w:val="0"/>
      <w:marTop w:val="0"/>
      <w:marBottom w:val="0"/>
      <w:divBdr>
        <w:top w:val="none" w:sz="0" w:space="0" w:color="auto"/>
        <w:left w:val="none" w:sz="0" w:space="0" w:color="auto"/>
        <w:bottom w:val="none" w:sz="0" w:space="0" w:color="auto"/>
        <w:right w:val="none" w:sz="0" w:space="0" w:color="auto"/>
      </w:divBdr>
    </w:div>
    <w:div w:id="1452556197">
      <w:bodyDiv w:val="1"/>
      <w:marLeft w:val="0"/>
      <w:marRight w:val="0"/>
      <w:marTop w:val="0"/>
      <w:marBottom w:val="0"/>
      <w:divBdr>
        <w:top w:val="none" w:sz="0" w:space="0" w:color="auto"/>
        <w:left w:val="none" w:sz="0" w:space="0" w:color="auto"/>
        <w:bottom w:val="none" w:sz="0" w:space="0" w:color="auto"/>
        <w:right w:val="none" w:sz="0" w:space="0" w:color="auto"/>
      </w:divBdr>
    </w:div>
    <w:div w:id="1530070266">
      <w:bodyDiv w:val="1"/>
      <w:marLeft w:val="0"/>
      <w:marRight w:val="0"/>
      <w:marTop w:val="0"/>
      <w:marBottom w:val="0"/>
      <w:divBdr>
        <w:top w:val="none" w:sz="0" w:space="0" w:color="auto"/>
        <w:left w:val="none" w:sz="0" w:space="0" w:color="auto"/>
        <w:bottom w:val="none" w:sz="0" w:space="0" w:color="auto"/>
        <w:right w:val="none" w:sz="0" w:space="0" w:color="auto"/>
      </w:divBdr>
    </w:div>
    <w:div w:id="1736928082">
      <w:bodyDiv w:val="1"/>
      <w:marLeft w:val="0"/>
      <w:marRight w:val="0"/>
      <w:marTop w:val="0"/>
      <w:marBottom w:val="0"/>
      <w:divBdr>
        <w:top w:val="none" w:sz="0" w:space="0" w:color="auto"/>
        <w:left w:val="none" w:sz="0" w:space="0" w:color="auto"/>
        <w:bottom w:val="none" w:sz="0" w:space="0" w:color="auto"/>
        <w:right w:val="none" w:sz="0" w:space="0" w:color="auto"/>
      </w:divBdr>
    </w:div>
    <w:div w:id="17626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europa.eu/data/datasets/sb1sa3jwwgiu0buqjyq5g?locale=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gov.ie/dataset?q=houses&amp;organization=department-of-housing-local-government-and-heritage&amp;sort=score+desc%2C+metadata_created+desc&amp;theme=Housing" TargetMode="External"/><Relationship Id="rId17" Type="http://schemas.openxmlformats.org/officeDocument/2006/relationships/hyperlink" Target="https://search.ebscohost.com/login.aspx?direct=true&amp;db=ers&amp;AN=113931283&amp;site=eds-live" TargetMode="External"/><Relationship Id="rId2" Type="http://schemas.openxmlformats.org/officeDocument/2006/relationships/styles" Target="styles.xml"/><Relationship Id="rId16" Type="http://schemas.openxmlformats.org/officeDocument/2006/relationships/hyperlink" Target="https://search.ebscohost.com/login.aspx?direct=true&amp;db=edsair&amp;AN=edsair.doi...........7fc4a5ce2ebec8a7cf2573c0cef7776a&amp;site=eds-liv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ebscohost.com/login.aspx?direct=true&amp;db=e250xww&amp;AN=919334&amp;site=eds-live" TargetMode="External"/><Relationship Id="rId5" Type="http://schemas.openxmlformats.org/officeDocument/2006/relationships/hyperlink" Target="mailto:sbs23010@student.cct.ie" TargetMode="External"/><Relationship Id="rId15" Type="http://schemas.openxmlformats.org/officeDocument/2006/relationships/hyperlink" Target="https://search.ebscohost.com/login.aspx?direct=true&amp;db=ers&amp;AN=155876503&amp;site=eds-live" TargetMode="External"/><Relationship Id="rId10" Type="http://schemas.openxmlformats.org/officeDocument/2006/relationships/hyperlink" Target="https://sparkbyexamples.com/pyspark/pandas-vs-pyspark-dataframe-with-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dditinc.com/policies/data-api-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13</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2023-05-15T15:47:00Z</dcterms:created>
  <dcterms:modified xsi:type="dcterms:W3CDTF">2023-05-23T21:42:00Z</dcterms:modified>
</cp:coreProperties>
</file>