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9192748" w:displacedByCustomXml="next"/>
    <w:sdt>
      <w:sdtPr>
        <w:id w:val="-20555338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FBEEAA" w14:textId="5CD7C782" w:rsidR="00F15619" w:rsidRDefault="00F15619" w:rsidP="00C21F4C">
          <w:pPr>
            <w:pStyle w:val="Heading1"/>
          </w:pPr>
          <w:r>
            <w:t>Contents</w:t>
          </w:r>
          <w:bookmarkEnd w:id="0"/>
        </w:p>
        <w:p w14:paraId="5A61E040" w14:textId="27078AD4" w:rsidR="00997104"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192748" w:history="1">
            <w:r w:rsidR="00997104" w:rsidRPr="005727C2">
              <w:rPr>
                <w:rStyle w:val="Hyperlink"/>
                <w:noProof/>
              </w:rPr>
              <w:t>1.</w:t>
            </w:r>
            <w:r w:rsidR="00997104">
              <w:rPr>
                <w:rFonts w:eastAsiaTheme="minorEastAsia"/>
                <w:noProof/>
                <w:lang w:eastAsia="en-IE"/>
              </w:rPr>
              <w:tab/>
            </w:r>
            <w:r w:rsidR="00997104" w:rsidRPr="005727C2">
              <w:rPr>
                <w:rStyle w:val="Hyperlink"/>
                <w:noProof/>
              </w:rPr>
              <w:t>Contents</w:t>
            </w:r>
            <w:r w:rsidR="00997104">
              <w:rPr>
                <w:noProof/>
                <w:webHidden/>
              </w:rPr>
              <w:tab/>
            </w:r>
            <w:r w:rsidR="00997104">
              <w:rPr>
                <w:noProof/>
                <w:webHidden/>
              </w:rPr>
              <w:fldChar w:fldCharType="begin"/>
            </w:r>
            <w:r w:rsidR="00997104">
              <w:rPr>
                <w:noProof/>
                <w:webHidden/>
              </w:rPr>
              <w:instrText xml:space="preserve"> PAGEREF _Toc159192748 \h </w:instrText>
            </w:r>
            <w:r w:rsidR="00997104">
              <w:rPr>
                <w:noProof/>
                <w:webHidden/>
              </w:rPr>
            </w:r>
            <w:r w:rsidR="00997104">
              <w:rPr>
                <w:noProof/>
                <w:webHidden/>
              </w:rPr>
              <w:fldChar w:fldCharType="separate"/>
            </w:r>
            <w:r w:rsidR="00997104">
              <w:rPr>
                <w:noProof/>
                <w:webHidden/>
              </w:rPr>
              <w:t>1</w:t>
            </w:r>
            <w:r w:rsidR="00997104">
              <w:rPr>
                <w:noProof/>
                <w:webHidden/>
              </w:rPr>
              <w:fldChar w:fldCharType="end"/>
            </w:r>
          </w:hyperlink>
        </w:p>
        <w:p w14:paraId="77E4D907" w14:textId="0E46E470" w:rsidR="00997104" w:rsidRDefault="00997104">
          <w:pPr>
            <w:pStyle w:val="TOC1"/>
            <w:tabs>
              <w:tab w:val="left" w:pos="440"/>
              <w:tab w:val="right" w:leader="dot" w:pos="9016"/>
            </w:tabs>
            <w:rPr>
              <w:rFonts w:eastAsiaTheme="minorEastAsia"/>
              <w:noProof/>
              <w:lang w:eastAsia="en-IE"/>
            </w:rPr>
          </w:pPr>
          <w:hyperlink w:anchor="_Toc159192749" w:history="1">
            <w:r w:rsidRPr="005727C2">
              <w:rPr>
                <w:rStyle w:val="Hyperlink"/>
                <w:noProof/>
              </w:rPr>
              <w:t>2.</w:t>
            </w:r>
            <w:r>
              <w:rPr>
                <w:rFonts w:eastAsiaTheme="minorEastAsia"/>
                <w:noProof/>
                <w:lang w:eastAsia="en-IE"/>
              </w:rPr>
              <w:tab/>
            </w:r>
            <w:r w:rsidRPr="005727C2">
              <w:rPr>
                <w:rStyle w:val="Hyperlink"/>
                <w:noProof/>
              </w:rPr>
              <w:t>Introduction</w:t>
            </w:r>
            <w:r>
              <w:rPr>
                <w:noProof/>
                <w:webHidden/>
              </w:rPr>
              <w:tab/>
            </w:r>
            <w:r>
              <w:rPr>
                <w:noProof/>
                <w:webHidden/>
              </w:rPr>
              <w:fldChar w:fldCharType="begin"/>
            </w:r>
            <w:r>
              <w:rPr>
                <w:noProof/>
                <w:webHidden/>
              </w:rPr>
              <w:instrText xml:space="preserve"> PAGEREF _Toc159192749 \h </w:instrText>
            </w:r>
            <w:r>
              <w:rPr>
                <w:noProof/>
                <w:webHidden/>
              </w:rPr>
            </w:r>
            <w:r>
              <w:rPr>
                <w:noProof/>
                <w:webHidden/>
              </w:rPr>
              <w:fldChar w:fldCharType="separate"/>
            </w:r>
            <w:r>
              <w:rPr>
                <w:noProof/>
                <w:webHidden/>
              </w:rPr>
              <w:t>2</w:t>
            </w:r>
            <w:r>
              <w:rPr>
                <w:noProof/>
                <w:webHidden/>
              </w:rPr>
              <w:fldChar w:fldCharType="end"/>
            </w:r>
          </w:hyperlink>
        </w:p>
        <w:p w14:paraId="2166E352" w14:textId="1D0FB1ED" w:rsidR="00997104" w:rsidRDefault="00997104">
          <w:pPr>
            <w:pStyle w:val="TOC2"/>
            <w:tabs>
              <w:tab w:val="left" w:pos="880"/>
              <w:tab w:val="right" w:leader="dot" w:pos="9016"/>
            </w:tabs>
            <w:rPr>
              <w:rFonts w:eastAsiaTheme="minorEastAsia"/>
              <w:noProof/>
              <w:lang w:eastAsia="en-IE"/>
            </w:rPr>
          </w:pPr>
          <w:hyperlink w:anchor="_Toc159192750" w:history="1">
            <w:r w:rsidRPr="005727C2">
              <w:rPr>
                <w:rStyle w:val="Hyperlink"/>
                <w:noProof/>
              </w:rPr>
              <w:t>2.1.</w:t>
            </w:r>
            <w:r>
              <w:rPr>
                <w:rFonts w:eastAsiaTheme="minorEastAsia"/>
                <w:noProof/>
                <w:lang w:eastAsia="en-IE"/>
              </w:rPr>
              <w:tab/>
            </w:r>
            <w:r w:rsidRPr="005727C2">
              <w:rPr>
                <w:rStyle w:val="Hyperlink"/>
                <w:noProof/>
              </w:rPr>
              <w:t>Topic</w:t>
            </w:r>
            <w:r>
              <w:rPr>
                <w:noProof/>
                <w:webHidden/>
              </w:rPr>
              <w:tab/>
            </w:r>
            <w:r>
              <w:rPr>
                <w:noProof/>
                <w:webHidden/>
              </w:rPr>
              <w:fldChar w:fldCharType="begin"/>
            </w:r>
            <w:r>
              <w:rPr>
                <w:noProof/>
                <w:webHidden/>
              </w:rPr>
              <w:instrText xml:space="preserve"> PAGEREF _Toc159192750 \h </w:instrText>
            </w:r>
            <w:r>
              <w:rPr>
                <w:noProof/>
                <w:webHidden/>
              </w:rPr>
            </w:r>
            <w:r>
              <w:rPr>
                <w:noProof/>
                <w:webHidden/>
              </w:rPr>
              <w:fldChar w:fldCharType="separate"/>
            </w:r>
            <w:r>
              <w:rPr>
                <w:noProof/>
                <w:webHidden/>
              </w:rPr>
              <w:t>2</w:t>
            </w:r>
            <w:r>
              <w:rPr>
                <w:noProof/>
                <w:webHidden/>
              </w:rPr>
              <w:fldChar w:fldCharType="end"/>
            </w:r>
          </w:hyperlink>
        </w:p>
        <w:p w14:paraId="032B8B59" w14:textId="69636C92" w:rsidR="00997104" w:rsidRDefault="00997104">
          <w:pPr>
            <w:pStyle w:val="TOC2"/>
            <w:tabs>
              <w:tab w:val="left" w:pos="880"/>
              <w:tab w:val="right" w:leader="dot" w:pos="9016"/>
            </w:tabs>
            <w:rPr>
              <w:rFonts w:eastAsiaTheme="minorEastAsia"/>
              <w:noProof/>
              <w:lang w:eastAsia="en-IE"/>
            </w:rPr>
          </w:pPr>
          <w:hyperlink w:anchor="_Toc159192751" w:history="1">
            <w:r w:rsidRPr="005727C2">
              <w:rPr>
                <w:rStyle w:val="Hyperlink"/>
                <w:noProof/>
              </w:rPr>
              <w:t>2.2.</w:t>
            </w:r>
            <w:r>
              <w:rPr>
                <w:rFonts w:eastAsiaTheme="minorEastAsia"/>
                <w:noProof/>
                <w:lang w:eastAsia="en-IE"/>
              </w:rPr>
              <w:tab/>
            </w:r>
            <w:r w:rsidRPr="005727C2">
              <w:rPr>
                <w:rStyle w:val="Hyperlink"/>
                <w:noProof/>
              </w:rPr>
              <w:t>Research Objectives</w:t>
            </w:r>
            <w:r>
              <w:rPr>
                <w:noProof/>
                <w:webHidden/>
              </w:rPr>
              <w:tab/>
            </w:r>
            <w:r>
              <w:rPr>
                <w:noProof/>
                <w:webHidden/>
              </w:rPr>
              <w:fldChar w:fldCharType="begin"/>
            </w:r>
            <w:r>
              <w:rPr>
                <w:noProof/>
                <w:webHidden/>
              </w:rPr>
              <w:instrText xml:space="preserve"> PAGEREF _Toc159192751 \h </w:instrText>
            </w:r>
            <w:r>
              <w:rPr>
                <w:noProof/>
                <w:webHidden/>
              </w:rPr>
            </w:r>
            <w:r>
              <w:rPr>
                <w:noProof/>
                <w:webHidden/>
              </w:rPr>
              <w:fldChar w:fldCharType="separate"/>
            </w:r>
            <w:r>
              <w:rPr>
                <w:noProof/>
                <w:webHidden/>
              </w:rPr>
              <w:t>2</w:t>
            </w:r>
            <w:r>
              <w:rPr>
                <w:noProof/>
                <w:webHidden/>
              </w:rPr>
              <w:fldChar w:fldCharType="end"/>
            </w:r>
          </w:hyperlink>
        </w:p>
        <w:p w14:paraId="388D7E8B" w14:textId="12FDD0C7" w:rsidR="00997104" w:rsidRDefault="00997104">
          <w:pPr>
            <w:pStyle w:val="TOC2"/>
            <w:tabs>
              <w:tab w:val="left" w:pos="880"/>
              <w:tab w:val="right" w:leader="dot" w:pos="9016"/>
            </w:tabs>
            <w:rPr>
              <w:rFonts w:eastAsiaTheme="minorEastAsia"/>
              <w:noProof/>
              <w:lang w:eastAsia="en-IE"/>
            </w:rPr>
          </w:pPr>
          <w:hyperlink w:anchor="_Toc159192752" w:history="1">
            <w:r w:rsidRPr="005727C2">
              <w:rPr>
                <w:rStyle w:val="Hyperlink"/>
                <w:noProof/>
              </w:rPr>
              <w:t>2.3.</w:t>
            </w:r>
            <w:r>
              <w:rPr>
                <w:rFonts w:eastAsiaTheme="minorEastAsia"/>
                <w:noProof/>
                <w:lang w:eastAsia="en-IE"/>
              </w:rPr>
              <w:tab/>
            </w:r>
            <w:r w:rsidRPr="005727C2">
              <w:rPr>
                <w:rStyle w:val="Hyperlink"/>
                <w:noProof/>
              </w:rPr>
              <w:t>Background Research and Related Work</w:t>
            </w:r>
            <w:r>
              <w:rPr>
                <w:noProof/>
                <w:webHidden/>
              </w:rPr>
              <w:tab/>
            </w:r>
            <w:r>
              <w:rPr>
                <w:noProof/>
                <w:webHidden/>
              </w:rPr>
              <w:fldChar w:fldCharType="begin"/>
            </w:r>
            <w:r>
              <w:rPr>
                <w:noProof/>
                <w:webHidden/>
              </w:rPr>
              <w:instrText xml:space="preserve"> PAGEREF _Toc159192752 \h </w:instrText>
            </w:r>
            <w:r>
              <w:rPr>
                <w:noProof/>
                <w:webHidden/>
              </w:rPr>
            </w:r>
            <w:r>
              <w:rPr>
                <w:noProof/>
                <w:webHidden/>
              </w:rPr>
              <w:fldChar w:fldCharType="separate"/>
            </w:r>
            <w:r>
              <w:rPr>
                <w:noProof/>
                <w:webHidden/>
              </w:rPr>
              <w:t>3</w:t>
            </w:r>
            <w:r>
              <w:rPr>
                <w:noProof/>
                <w:webHidden/>
              </w:rPr>
              <w:fldChar w:fldCharType="end"/>
            </w:r>
          </w:hyperlink>
        </w:p>
        <w:p w14:paraId="273C7098" w14:textId="19A1C1B1" w:rsidR="00997104" w:rsidRDefault="00997104">
          <w:pPr>
            <w:pStyle w:val="TOC1"/>
            <w:tabs>
              <w:tab w:val="left" w:pos="440"/>
              <w:tab w:val="right" w:leader="dot" w:pos="9016"/>
            </w:tabs>
            <w:rPr>
              <w:rFonts w:eastAsiaTheme="minorEastAsia"/>
              <w:noProof/>
              <w:lang w:eastAsia="en-IE"/>
            </w:rPr>
          </w:pPr>
          <w:hyperlink w:anchor="_Toc159192753" w:history="1">
            <w:r w:rsidRPr="005727C2">
              <w:rPr>
                <w:rStyle w:val="Hyperlink"/>
                <w:noProof/>
              </w:rPr>
              <w:t>3.</w:t>
            </w:r>
            <w:r>
              <w:rPr>
                <w:rFonts w:eastAsiaTheme="minorEastAsia"/>
                <w:noProof/>
                <w:lang w:eastAsia="en-IE"/>
              </w:rPr>
              <w:tab/>
            </w:r>
            <w:r w:rsidRPr="005727C2">
              <w:rPr>
                <w:rStyle w:val="Hyperlink"/>
                <w:noProof/>
              </w:rPr>
              <w:t>Literature Review</w:t>
            </w:r>
            <w:r>
              <w:rPr>
                <w:noProof/>
                <w:webHidden/>
              </w:rPr>
              <w:tab/>
            </w:r>
            <w:r>
              <w:rPr>
                <w:noProof/>
                <w:webHidden/>
              </w:rPr>
              <w:fldChar w:fldCharType="begin"/>
            </w:r>
            <w:r>
              <w:rPr>
                <w:noProof/>
                <w:webHidden/>
              </w:rPr>
              <w:instrText xml:space="preserve"> PAGEREF _Toc159192753 \h </w:instrText>
            </w:r>
            <w:r>
              <w:rPr>
                <w:noProof/>
                <w:webHidden/>
              </w:rPr>
            </w:r>
            <w:r>
              <w:rPr>
                <w:noProof/>
                <w:webHidden/>
              </w:rPr>
              <w:fldChar w:fldCharType="separate"/>
            </w:r>
            <w:r>
              <w:rPr>
                <w:noProof/>
                <w:webHidden/>
              </w:rPr>
              <w:t>4</w:t>
            </w:r>
            <w:r>
              <w:rPr>
                <w:noProof/>
                <w:webHidden/>
              </w:rPr>
              <w:fldChar w:fldCharType="end"/>
            </w:r>
          </w:hyperlink>
        </w:p>
        <w:p w14:paraId="54B83662" w14:textId="15AB81C6" w:rsidR="00997104" w:rsidRDefault="00997104">
          <w:pPr>
            <w:pStyle w:val="TOC2"/>
            <w:tabs>
              <w:tab w:val="left" w:pos="880"/>
              <w:tab w:val="right" w:leader="dot" w:pos="9016"/>
            </w:tabs>
            <w:rPr>
              <w:rFonts w:eastAsiaTheme="minorEastAsia"/>
              <w:noProof/>
              <w:lang w:eastAsia="en-IE"/>
            </w:rPr>
          </w:pPr>
          <w:hyperlink w:anchor="_Toc159192754" w:history="1">
            <w:r w:rsidRPr="005727C2">
              <w:rPr>
                <w:rStyle w:val="Hyperlink"/>
                <w:noProof/>
              </w:rPr>
              <w:t>3.1.</w:t>
            </w:r>
            <w:r>
              <w:rPr>
                <w:rFonts w:eastAsiaTheme="minorEastAsia"/>
                <w:noProof/>
                <w:lang w:eastAsia="en-IE"/>
              </w:rPr>
              <w:tab/>
            </w:r>
            <w:r w:rsidRPr="005727C2">
              <w:rPr>
                <w:rStyle w:val="Hyperlink"/>
                <w:noProof/>
              </w:rPr>
              <w:t>The effectiveness of deep learning in predicting public debt</w:t>
            </w:r>
            <w:r>
              <w:rPr>
                <w:noProof/>
                <w:webHidden/>
              </w:rPr>
              <w:tab/>
            </w:r>
            <w:r>
              <w:rPr>
                <w:noProof/>
                <w:webHidden/>
              </w:rPr>
              <w:fldChar w:fldCharType="begin"/>
            </w:r>
            <w:r>
              <w:rPr>
                <w:noProof/>
                <w:webHidden/>
              </w:rPr>
              <w:instrText xml:space="preserve"> PAGEREF _Toc159192754 \h </w:instrText>
            </w:r>
            <w:r>
              <w:rPr>
                <w:noProof/>
                <w:webHidden/>
              </w:rPr>
            </w:r>
            <w:r>
              <w:rPr>
                <w:noProof/>
                <w:webHidden/>
              </w:rPr>
              <w:fldChar w:fldCharType="separate"/>
            </w:r>
            <w:r>
              <w:rPr>
                <w:noProof/>
                <w:webHidden/>
              </w:rPr>
              <w:t>4</w:t>
            </w:r>
            <w:r>
              <w:rPr>
                <w:noProof/>
                <w:webHidden/>
              </w:rPr>
              <w:fldChar w:fldCharType="end"/>
            </w:r>
          </w:hyperlink>
        </w:p>
        <w:p w14:paraId="3A0B2C29" w14:textId="64E56B48" w:rsidR="00997104" w:rsidRDefault="00997104">
          <w:pPr>
            <w:pStyle w:val="TOC2"/>
            <w:tabs>
              <w:tab w:val="left" w:pos="880"/>
              <w:tab w:val="right" w:leader="dot" w:pos="9016"/>
            </w:tabs>
            <w:rPr>
              <w:rFonts w:eastAsiaTheme="minorEastAsia"/>
              <w:noProof/>
              <w:lang w:eastAsia="en-IE"/>
            </w:rPr>
          </w:pPr>
          <w:hyperlink w:anchor="_Toc159192755" w:history="1">
            <w:r w:rsidRPr="005727C2">
              <w:rPr>
                <w:rStyle w:val="Hyperlink"/>
                <w:noProof/>
              </w:rPr>
              <w:t>3.2.</w:t>
            </w:r>
            <w:r>
              <w:rPr>
                <w:rFonts w:eastAsiaTheme="minorEastAsia"/>
                <w:noProof/>
                <w:lang w:eastAsia="en-IE"/>
              </w:rPr>
              <w:tab/>
            </w:r>
            <w:r w:rsidRPr="005727C2">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_Toc159192755 \h </w:instrText>
            </w:r>
            <w:r>
              <w:rPr>
                <w:noProof/>
                <w:webHidden/>
              </w:rPr>
            </w:r>
            <w:r>
              <w:rPr>
                <w:noProof/>
                <w:webHidden/>
              </w:rPr>
              <w:fldChar w:fldCharType="separate"/>
            </w:r>
            <w:r>
              <w:rPr>
                <w:noProof/>
                <w:webHidden/>
              </w:rPr>
              <w:t>6</w:t>
            </w:r>
            <w:r>
              <w:rPr>
                <w:noProof/>
                <w:webHidden/>
              </w:rPr>
              <w:fldChar w:fldCharType="end"/>
            </w:r>
          </w:hyperlink>
        </w:p>
        <w:p w14:paraId="59AA0393" w14:textId="07178840" w:rsidR="00997104" w:rsidRDefault="00997104">
          <w:pPr>
            <w:pStyle w:val="TOC1"/>
            <w:tabs>
              <w:tab w:val="left" w:pos="440"/>
              <w:tab w:val="right" w:leader="dot" w:pos="9016"/>
            </w:tabs>
            <w:rPr>
              <w:rFonts w:eastAsiaTheme="minorEastAsia"/>
              <w:noProof/>
              <w:lang w:eastAsia="en-IE"/>
            </w:rPr>
          </w:pPr>
          <w:hyperlink w:anchor="_Toc159192756" w:history="1">
            <w:r w:rsidRPr="005727C2">
              <w:rPr>
                <w:rStyle w:val="Hyperlink"/>
                <w:noProof/>
              </w:rPr>
              <w:t>4.</w:t>
            </w:r>
            <w:r>
              <w:rPr>
                <w:rFonts w:eastAsiaTheme="minorEastAsia"/>
                <w:noProof/>
                <w:lang w:eastAsia="en-IE"/>
              </w:rPr>
              <w:tab/>
            </w:r>
            <w:r w:rsidRPr="005727C2">
              <w:rPr>
                <w:rStyle w:val="Hyperlink"/>
                <w:noProof/>
              </w:rPr>
              <w:t>Methodology</w:t>
            </w:r>
            <w:r>
              <w:rPr>
                <w:noProof/>
                <w:webHidden/>
              </w:rPr>
              <w:tab/>
            </w:r>
            <w:r>
              <w:rPr>
                <w:noProof/>
                <w:webHidden/>
              </w:rPr>
              <w:fldChar w:fldCharType="begin"/>
            </w:r>
            <w:r>
              <w:rPr>
                <w:noProof/>
                <w:webHidden/>
              </w:rPr>
              <w:instrText xml:space="preserve"> PAGEREF _Toc159192756 \h </w:instrText>
            </w:r>
            <w:r>
              <w:rPr>
                <w:noProof/>
                <w:webHidden/>
              </w:rPr>
            </w:r>
            <w:r>
              <w:rPr>
                <w:noProof/>
                <w:webHidden/>
              </w:rPr>
              <w:fldChar w:fldCharType="separate"/>
            </w:r>
            <w:r>
              <w:rPr>
                <w:noProof/>
                <w:webHidden/>
              </w:rPr>
              <w:t>6</w:t>
            </w:r>
            <w:r>
              <w:rPr>
                <w:noProof/>
                <w:webHidden/>
              </w:rPr>
              <w:fldChar w:fldCharType="end"/>
            </w:r>
          </w:hyperlink>
        </w:p>
        <w:p w14:paraId="6A5800B5" w14:textId="45864C90" w:rsidR="00997104" w:rsidRDefault="00997104">
          <w:pPr>
            <w:pStyle w:val="TOC2"/>
            <w:tabs>
              <w:tab w:val="left" w:pos="880"/>
              <w:tab w:val="right" w:leader="dot" w:pos="9016"/>
            </w:tabs>
            <w:rPr>
              <w:rFonts w:eastAsiaTheme="minorEastAsia"/>
              <w:noProof/>
              <w:lang w:eastAsia="en-IE"/>
            </w:rPr>
          </w:pPr>
          <w:hyperlink w:anchor="_Toc159192757" w:history="1">
            <w:r w:rsidRPr="005727C2">
              <w:rPr>
                <w:rStyle w:val="Hyperlink"/>
                <w:noProof/>
              </w:rPr>
              <w:t>4.1.</w:t>
            </w:r>
            <w:r>
              <w:rPr>
                <w:rFonts w:eastAsiaTheme="minorEastAsia"/>
                <w:noProof/>
                <w:lang w:eastAsia="en-IE"/>
              </w:rPr>
              <w:tab/>
            </w:r>
            <w:r w:rsidRPr="005727C2">
              <w:rPr>
                <w:rStyle w:val="Hyperlink"/>
                <w:noProof/>
              </w:rPr>
              <w:t>Data Gathered and Primary Research (Interviews)</w:t>
            </w:r>
            <w:r>
              <w:rPr>
                <w:noProof/>
                <w:webHidden/>
              </w:rPr>
              <w:tab/>
            </w:r>
            <w:r>
              <w:rPr>
                <w:noProof/>
                <w:webHidden/>
              </w:rPr>
              <w:fldChar w:fldCharType="begin"/>
            </w:r>
            <w:r>
              <w:rPr>
                <w:noProof/>
                <w:webHidden/>
              </w:rPr>
              <w:instrText xml:space="preserve"> PAGEREF _Toc159192757 \h </w:instrText>
            </w:r>
            <w:r>
              <w:rPr>
                <w:noProof/>
                <w:webHidden/>
              </w:rPr>
            </w:r>
            <w:r>
              <w:rPr>
                <w:noProof/>
                <w:webHidden/>
              </w:rPr>
              <w:fldChar w:fldCharType="separate"/>
            </w:r>
            <w:r>
              <w:rPr>
                <w:noProof/>
                <w:webHidden/>
              </w:rPr>
              <w:t>7</w:t>
            </w:r>
            <w:r>
              <w:rPr>
                <w:noProof/>
                <w:webHidden/>
              </w:rPr>
              <w:fldChar w:fldCharType="end"/>
            </w:r>
          </w:hyperlink>
        </w:p>
        <w:p w14:paraId="4D200595" w14:textId="4D0043B9" w:rsidR="00997104" w:rsidRDefault="00997104">
          <w:pPr>
            <w:pStyle w:val="TOC2"/>
            <w:tabs>
              <w:tab w:val="left" w:pos="880"/>
              <w:tab w:val="right" w:leader="dot" w:pos="9016"/>
            </w:tabs>
            <w:rPr>
              <w:rFonts w:eastAsiaTheme="minorEastAsia"/>
              <w:noProof/>
              <w:lang w:eastAsia="en-IE"/>
            </w:rPr>
          </w:pPr>
          <w:hyperlink w:anchor="_Toc159192758" w:history="1">
            <w:r w:rsidRPr="005727C2">
              <w:rPr>
                <w:rStyle w:val="Hyperlink"/>
                <w:noProof/>
              </w:rPr>
              <w:t>4.2.</w:t>
            </w:r>
            <w:r>
              <w:rPr>
                <w:rFonts w:eastAsiaTheme="minorEastAsia"/>
                <w:noProof/>
                <w:lang w:eastAsia="en-IE"/>
              </w:rPr>
              <w:tab/>
            </w:r>
            <w:r w:rsidRPr="005727C2">
              <w:rPr>
                <w:rStyle w:val="Hyperlink"/>
                <w:noProof/>
              </w:rPr>
              <w:t>Datasets</w:t>
            </w:r>
            <w:r>
              <w:rPr>
                <w:noProof/>
                <w:webHidden/>
              </w:rPr>
              <w:tab/>
            </w:r>
            <w:r>
              <w:rPr>
                <w:noProof/>
                <w:webHidden/>
              </w:rPr>
              <w:fldChar w:fldCharType="begin"/>
            </w:r>
            <w:r>
              <w:rPr>
                <w:noProof/>
                <w:webHidden/>
              </w:rPr>
              <w:instrText xml:space="preserve"> PAGEREF _Toc159192758 \h </w:instrText>
            </w:r>
            <w:r>
              <w:rPr>
                <w:noProof/>
                <w:webHidden/>
              </w:rPr>
            </w:r>
            <w:r>
              <w:rPr>
                <w:noProof/>
                <w:webHidden/>
              </w:rPr>
              <w:fldChar w:fldCharType="separate"/>
            </w:r>
            <w:r>
              <w:rPr>
                <w:noProof/>
                <w:webHidden/>
              </w:rPr>
              <w:t>7</w:t>
            </w:r>
            <w:r>
              <w:rPr>
                <w:noProof/>
                <w:webHidden/>
              </w:rPr>
              <w:fldChar w:fldCharType="end"/>
            </w:r>
          </w:hyperlink>
        </w:p>
        <w:p w14:paraId="6082F932" w14:textId="399CD7BA" w:rsidR="00997104" w:rsidRDefault="00997104">
          <w:pPr>
            <w:pStyle w:val="TOC2"/>
            <w:tabs>
              <w:tab w:val="left" w:pos="880"/>
              <w:tab w:val="right" w:leader="dot" w:pos="9016"/>
            </w:tabs>
            <w:rPr>
              <w:rFonts w:eastAsiaTheme="minorEastAsia"/>
              <w:noProof/>
              <w:lang w:eastAsia="en-IE"/>
            </w:rPr>
          </w:pPr>
          <w:hyperlink w:anchor="_Toc159192759" w:history="1">
            <w:r w:rsidRPr="005727C2">
              <w:rPr>
                <w:rStyle w:val="Hyperlink"/>
                <w:noProof/>
              </w:rPr>
              <w:t>4.3.</w:t>
            </w:r>
            <w:r>
              <w:rPr>
                <w:rFonts w:eastAsiaTheme="minorEastAsia"/>
                <w:noProof/>
                <w:lang w:eastAsia="en-IE"/>
              </w:rPr>
              <w:tab/>
            </w:r>
            <w:r w:rsidRPr="005727C2">
              <w:rPr>
                <w:rStyle w:val="Hyperlink"/>
                <w:noProof/>
              </w:rPr>
              <w:t>Data Preparation</w:t>
            </w:r>
            <w:r>
              <w:rPr>
                <w:noProof/>
                <w:webHidden/>
              </w:rPr>
              <w:tab/>
            </w:r>
            <w:r>
              <w:rPr>
                <w:noProof/>
                <w:webHidden/>
              </w:rPr>
              <w:fldChar w:fldCharType="begin"/>
            </w:r>
            <w:r>
              <w:rPr>
                <w:noProof/>
                <w:webHidden/>
              </w:rPr>
              <w:instrText xml:space="preserve"> PAGEREF _Toc159192759 \h </w:instrText>
            </w:r>
            <w:r>
              <w:rPr>
                <w:noProof/>
                <w:webHidden/>
              </w:rPr>
            </w:r>
            <w:r>
              <w:rPr>
                <w:noProof/>
                <w:webHidden/>
              </w:rPr>
              <w:fldChar w:fldCharType="separate"/>
            </w:r>
            <w:r>
              <w:rPr>
                <w:noProof/>
                <w:webHidden/>
              </w:rPr>
              <w:t>7</w:t>
            </w:r>
            <w:r>
              <w:rPr>
                <w:noProof/>
                <w:webHidden/>
              </w:rPr>
              <w:fldChar w:fldCharType="end"/>
            </w:r>
          </w:hyperlink>
        </w:p>
        <w:p w14:paraId="1B9EEBBA" w14:textId="72DEB7B1" w:rsidR="00997104" w:rsidRDefault="00997104">
          <w:pPr>
            <w:pStyle w:val="TOC3"/>
            <w:tabs>
              <w:tab w:val="left" w:pos="1320"/>
              <w:tab w:val="right" w:leader="dot" w:pos="9016"/>
            </w:tabs>
            <w:rPr>
              <w:rFonts w:eastAsiaTheme="minorEastAsia"/>
              <w:noProof/>
              <w:lang w:eastAsia="en-IE"/>
            </w:rPr>
          </w:pPr>
          <w:hyperlink w:anchor="_Toc159192760" w:history="1">
            <w:r w:rsidRPr="005727C2">
              <w:rPr>
                <w:rStyle w:val="Hyperlink"/>
                <w:noProof/>
              </w:rPr>
              <w:t>4.3.1.</w:t>
            </w:r>
            <w:r>
              <w:rPr>
                <w:rFonts w:eastAsiaTheme="minorEastAsia"/>
                <w:noProof/>
                <w:lang w:eastAsia="en-IE"/>
              </w:rPr>
              <w:tab/>
            </w:r>
            <w:r w:rsidRPr="005727C2">
              <w:rPr>
                <w:rStyle w:val="Hyperlink"/>
                <w:noProof/>
              </w:rPr>
              <w:t>Summary Statistics</w:t>
            </w:r>
            <w:r>
              <w:rPr>
                <w:noProof/>
                <w:webHidden/>
              </w:rPr>
              <w:tab/>
            </w:r>
            <w:r>
              <w:rPr>
                <w:noProof/>
                <w:webHidden/>
              </w:rPr>
              <w:fldChar w:fldCharType="begin"/>
            </w:r>
            <w:r>
              <w:rPr>
                <w:noProof/>
                <w:webHidden/>
              </w:rPr>
              <w:instrText xml:space="preserve"> PAGEREF _Toc159192760 \h </w:instrText>
            </w:r>
            <w:r>
              <w:rPr>
                <w:noProof/>
                <w:webHidden/>
              </w:rPr>
            </w:r>
            <w:r>
              <w:rPr>
                <w:noProof/>
                <w:webHidden/>
              </w:rPr>
              <w:fldChar w:fldCharType="separate"/>
            </w:r>
            <w:r>
              <w:rPr>
                <w:noProof/>
                <w:webHidden/>
              </w:rPr>
              <w:t>7</w:t>
            </w:r>
            <w:r>
              <w:rPr>
                <w:noProof/>
                <w:webHidden/>
              </w:rPr>
              <w:fldChar w:fldCharType="end"/>
            </w:r>
          </w:hyperlink>
        </w:p>
        <w:p w14:paraId="3AC5FC03" w14:textId="4598B9C1" w:rsidR="00997104" w:rsidRDefault="00997104">
          <w:pPr>
            <w:pStyle w:val="TOC3"/>
            <w:tabs>
              <w:tab w:val="left" w:pos="1320"/>
              <w:tab w:val="right" w:leader="dot" w:pos="9016"/>
            </w:tabs>
            <w:rPr>
              <w:rFonts w:eastAsiaTheme="minorEastAsia"/>
              <w:noProof/>
              <w:lang w:eastAsia="en-IE"/>
            </w:rPr>
          </w:pPr>
          <w:hyperlink w:anchor="_Toc159192761" w:history="1">
            <w:r w:rsidRPr="005727C2">
              <w:rPr>
                <w:rStyle w:val="Hyperlink"/>
                <w:noProof/>
              </w:rPr>
              <w:t>4.3.2.</w:t>
            </w:r>
            <w:r>
              <w:rPr>
                <w:rFonts w:eastAsiaTheme="minorEastAsia"/>
                <w:noProof/>
                <w:lang w:eastAsia="en-IE"/>
              </w:rPr>
              <w:tab/>
            </w:r>
            <w:r w:rsidRPr="005727C2">
              <w:rPr>
                <w:rStyle w:val="Hyperlink"/>
                <w:noProof/>
              </w:rPr>
              <w:t>Handling Null Records</w:t>
            </w:r>
            <w:r>
              <w:rPr>
                <w:noProof/>
                <w:webHidden/>
              </w:rPr>
              <w:tab/>
            </w:r>
            <w:r>
              <w:rPr>
                <w:noProof/>
                <w:webHidden/>
              </w:rPr>
              <w:fldChar w:fldCharType="begin"/>
            </w:r>
            <w:r>
              <w:rPr>
                <w:noProof/>
                <w:webHidden/>
              </w:rPr>
              <w:instrText xml:space="preserve"> PAGEREF _Toc159192761 \h </w:instrText>
            </w:r>
            <w:r>
              <w:rPr>
                <w:noProof/>
                <w:webHidden/>
              </w:rPr>
            </w:r>
            <w:r>
              <w:rPr>
                <w:noProof/>
                <w:webHidden/>
              </w:rPr>
              <w:fldChar w:fldCharType="separate"/>
            </w:r>
            <w:r>
              <w:rPr>
                <w:noProof/>
                <w:webHidden/>
              </w:rPr>
              <w:t>8</w:t>
            </w:r>
            <w:r>
              <w:rPr>
                <w:noProof/>
                <w:webHidden/>
              </w:rPr>
              <w:fldChar w:fldCharType="end"/>
            </w:r>
          </w:hyperlink>
        </w:p>
        <w:p w14:paraId="5861D6D4" w14:textId="10057E02" w:rsidR="00997104" w:rsidRDefault="00997104">
          <w:pPr>
            <w:pStyle w:val="TOC3"/>
            <w:tabs>
              <w:tab w:val="left" w:pos="1320"/>
              <w:tab w:val="right" w:leader="dot" w:pos="9016"/>
            </w:tabs>
            <w:rPr>
              <w:rFonts w:eastAsiaTheme="minorEastAsia"/>
              <w:noProof/>
              <w:lang w:eastAsia="en-IE"/>
            </w:rPr>
          </w:pPr>
          <w:hyperlink w:anchor="_Toc159192762" w:history="1">
            <w:r w:rsidRPr="005727C2">
              <w:rPr>
                <w:rStyle w:val="Hyperlink"/>
                <w:noProof/>
              </w:rPr>
              <w:t>4.3.3.</w:t>
            </w:r>
            <w:r>
              <w:rPr>
                <w:rFonts w:eastAsiaTheme="minorEastAsia"/>
                <w:noProof/>
                <w:lang w:eastAsia="en-IE"/>
              </w:rPr>
              <w:tab/>
            </w:r>
            <w:r w:rsidRPr="005727C2">
              <w:rPr>
                <w:rStyle w:val="Hyperlink"/>
                <w:noProof/>
              </w:rPr>
              <w:t>Correlation Coefficients (Pearson/Spearman)</w:t>
            </w:r>
            <w:r>
              <w:rPr>
                <w:noProof/>
                <w:webHidden/>
              </w:rPr>
              <w:tab/>
            </w:r>
            <w:r>
              <w:rPr>
                <w:noProof/>
                <w:webHidden/>
              </w:rPr>
              <w:fldChar w:fldCharType="begin"/>
            </w:r>
            <w:r>
              <w:rPr>
                <w:noProof/>
                <w:webHidden/>
              </w:rPr>
              <w:instrText xml:space="preserve"> PAGEREF _Toc159192762 \h </w:instrText>
            </w:r>
            <w:r>
              <w:rPr>
                <w:noProof/>
                <w:webHidden/>
              </w:rPr>
            </w:r>
            <w:r>
              <w:rPr>
                <w:noProof/>
                <w:webHidden/>
              </w:rPr>
              <w:fldChar w:fldCharType="separate"/>
            </w:r>
            <w:r>
              <w:rPr>
                <w:noProof/>
                <w:webHidden/>
              </w:rPr>
              <w:t>8</w:t>
            </w:r>
            <w:r>
              <w:rPr>
                <w:noProof/>
                <w:webHidden/>
              </w:rPr>
              <w:fldChar w:fldCharType="end"/>
            </w:r>
          </w:hyperlink>
        </w:p>
        <w:p w14:paraId="3C7B77C1" w14:textId="6ACF9C78" w:rsidR="00997104" w:rsidRDefault="00997104">
          <w:pPr>
            <w:pStyle w:val="TOC3"/>
            <w:tabs>
              <w:tab w:val="left" w:pos="1320"/>
              <w:tab w:val="right" w:leader="dot" w:pos="9016"/>
            </w:tabs>
            <w:rPr>
              <w:rFonts w:eastAsiaTheme="minorEastAsia"/>
              <w:noProof/>
              <w:lang w:eastAsia="en-IE"/>
            </w:rPr>
          </w:pPr>
          <w:hyperlink w:anchor="_Toc159192763" w:history="1">
            <w:r w:rsidRPr="005727C2">
              <w:rPr>
                <w:rStyle w:val="Hyperlink"/>
                <w:noProof/>
              </w:rPr>
              <w:t>4.3.4.</w:t>
            </w:r>
            <w:r>
              <w:rPr>
                <w:rFonts w:eastAsiaTheme="minorEastAsia"/>
                <w:noProof/>
                <w:lang w:eastAsia="en-IE"/>
              </w:rPr>
              <w:tab/>
            </w:r>
            <w:r w:rsidRPr="005727C2">
              <w:rPr>
                <w:rStyle w:val="Hyperlink"/>
                <w:noProof/>
              </w:rPr>
              <w:t>Decomposition of the Data</w:t>
            </w:r>
            <w:r>
              <w:rPr>
                <w:noProof/>
                <w:webHidden/>
              </w:rPr>
              <w:tab/>
            </w:r>
            <w:r>
              <w:rPr>
                <w:noProof/>
                <w:webHidden/>
              </w:rPr>
              <w:fldChar w:fldCharType="begin"/>
            </w:r>
            <w:r>
              <w:rPr>
                <w:noProof/>
                <w:webHidden/>
              </w:rPr>
              <w:instrText xml:space="preserve"> PAGEREF _Toc159192763 \h </w:instrText>
            </w:r>
            <w:r>
              <w:rPr>
                <w:noProof/>
                <w:webHidden/>
              </w:rPr>
            </w:r>
            <w:r>
              <w:rPr>
                <w:noProof/>
                <w:webHidden/>
              </w:rPr>
              <w:fldChar w:fldCharType="separate"/>
            </w:r>
            <w:r>
              <w:rPr>
                <w:noProof/>
                <w:webHidden/>
              </w:rPr>
              <w:t>9</w:t>
            </w:r>
            <w:r>
              <w:rPr>
                <w:noProof/>
                <w:webHidden/>
              </w:rPr>
              <w:fldChar w:fldCharType="end"/>
            </w:r>
          </w:hyperlink>
        </w:p>
        <w:p w14:paraId="67AE00CD" w14:textId="0494BB20" w:rsidR="00997104" w:rsidRDefault="00997104">
          <w:pPr>
            <w:pStyle w:val="TOC2"/>
            <w:tabs>
              <w:tab w:val="left" w:pos="880"/>
              <w:tab w:val="right" w:leader="dot" w:pos="9016"/>
            </w:tabs>
            <w:rPr>
              <w:rFonts w:eastAsiaTheme="minorEastAsia"/>
              <w:noProof/>
              <w:lang w:eastAsia="en-IE"/>
            </w:rPr>
          </w:pPr>
          <w:hyperlink w:anchor="_Toc159192764" w:history="1">
            <w:r w:rsidRPr="005727C2">
              <w:rPr>
                <w:rStyle w:val="Hyperlink"/>
                <w:noProof/>
              </w:rPr>
              <w:t>4.4.</w:t>
            </w:r>
            <w:r>
              <w:rPr>
                <w:rFonts w:eastAsiaTheme="minorEastAsia"/>
                <w:noProof/>
                <w:lang w:eastAsia="en-IE"/>
              </w:rPr>
              <w:tab/>
            </w:r>
            <w:r w:rsidRPr="005727C2">
              <w:rPr>
                <w:rStyle w:val="Hyperlink"/>
                <w:noProof/>
              </w:rPr>
              <w:t>Methodology</w:t>
            </w:r>
            <w:r>
              <w:rPr>
                <w:noProof/>
                <w:webHidden/>
              </w:rPr>
              <w:tab/>
            </w:r>
            <w:r>
              <w:rPr>
                <w:noProof/>
                <w:webHidden/>
              </w:rPr>
              <w:fldChar w:fldCharType="begin"/>
            </w:r>
            <w:r>
              <w:rPr>
                <w:noProof/>
                <w:webHidden/>
              </w:rPr>
              <w:instrText xml:space="preserve"> PAGEREF _Toc159192764 \h </w:instrText>
            </w:r>
            <w:r>
              <w:rPr>
                <w:noProof/>
                <w:webHidden/>
              </w:rPr>
            </w:r>
            <w:r>
              <w:rPr>
                <w:noProof/>
                <w:webHidden/>
              </w:rPr>
              <w:fldChar w:fldCharType="separate"/>
            </w:r>
            <w:r>
              <w:rPr>
                <w:noProof/>
                <w:webHidden/>
              </w:rPr>
              <w:t>10</w:t>
            </w:r>
            <w:r>
              <w:rPr>
                <w:noProof/>
                <w:webHidden/>
              </w:rPr>
              <w:fldChar w:fldCharType="end"/>
            </w:r>
          </w:hyperlink>
        </w:p>
        <w:p w14:paraId="1961A293" w14:textId="3DC12EF2" w:rsidR="00997104" w:rsidRDefault="00997104">
          <w:pPr>
            <w:pStyle w:val="TOC3"/>
            <w:tabs>
              <w:tab w:val="left" w:pos="1320"/>
              <w:tab w:val="right" w:leader="dot" w:pos="9016"/>
            </w:tabs>
            <w:rPr>
              <w:rFonts w:eastAsiaTheme="minorEastAsia"/>
              <w:noProof/>
              <w:lang w:eastAsia="en-IE"/>
            </w:rPr>
          </w:pPr>
          <w:hyperlink w:anchor="_Toc159192765" w:history="1">
            <w:r w:rsidRPr="005727C2">
              <w:rPr>
                <w:rStyle w:val="Hyperlink"/>
                <w:noProof/>
              </w:rPr>
              <w:t>4.4.1.</w:t>
            </w:r>
            <w:r>
              <w:rPr>
                <w:rFonts w:eastAsiaTheme="minorEastAsia"/>
                <w:noProof/>
                <w:lang w:eastAsia="en-IE"/>
              </w:rPr>
              <w:tab/>
            </w:r>
            <w:r w:rsidRPr="005727C2">
              <w:rPr>
                <w:rStyle w:val="Hyperlink"/>
                <w:noProof/>
              </w:rPr>
              <w:t>Linear Regression</w:t>
            </w:r>
            <w:r>
              <w:rPr>
                <w:noProof/>
                <w:webHidden/>
              </w:rPr>
              <w:tab/>
            </w:r>
            <w:r>
              <w:rPr>
                <w:noProof/>
                <w:webHidden/>
              </w:rPr>
              <w:fldChar w:fldCharType="begin"/>
            </w:r>
            <w:r>
              <w:rPr>
                <w:noProof/>
                <w:webHidden/>
              </w:rPr>
              <w:instrText xml:space="preserve"> PAGEREF _Toc159192765 \h </w:instrText>
            </w:r>
            <w:r>
              <w:rPr>
                <w:noProof/>
                <w:webHidden/>
              </w:rPr>
            </w:r>
            <w:r>
              <w:rPr>
                <w:noProof/>
                <w:webHidden/>
              </w:rPr>
              <w:fldChar w:fldCharType="separate"/>
            </w:r>
            <w:r>
              <w:rPr>
                <w:noProof/>
                <w:webHidden/>
              </w:rPr>
              <w:t>11</w:t>
            </w:r>
            <w:r>
              <w:rPr>
                <w:noProof/>
                <w:webHidden/>
              </w:rPr>
              <w:fldChar w:fldCharType="end"/>
            </w:r>
          </w:hyperlink>
        </w:p>
        <w:p w14:paraId="51A69CAB" w14:textId="0A798D8B" w:rsidR="00997104" w:rsidRDefault="00997104">
          <w:pPr>
            <w:pStyle w:val="TOC3"/>
            <w:tabs>
              <w:tab w:val="left" w:pos="1320"/>
              <w:tab w:val="right" w:leader="dot" w:pos="9016"/>
            </w:tabs>
            <w:rPr>
              <w:rFonts w:eastAsiaTheme="minorEastAsia"/>
              <w:noProof/>
              <w:lang w:eastAsia="en-IE"/>
            </w:rPr>
          </w:pPr>
          <w:hyperlink w:anchor="_Toc159192766" w:history="1">
            <w:r w:rsidRPr="005727C2">
              <w:rPr>
                <w:rStyle w:val="Hyperlink"/>
                <w:noProof/>
              </w:rPr>
              <w:t>4.4.2.</w:t>
            </w:r>
            <w:r>
              <w:rPr>
                <w:rFonts w:eastAsiaTheme="minorEastAsia"/>
                <w:noProof/>
                <w:lang w:eastAsia="en-IE"/>
              </w:rPr>
              <w:tab/>
            </w:r>
            <w:r w:rsidRPr="005727C2">
              <w:rPr>
                <w:rStyle w:val="Hyperlink"/>
                <w:noProof/>
              </w:rPr>
              <w:t>Random Forest Regressor</w:t>
            </w:r>
            <w:r>
              <w:rPr>
                <w:noProof/>
                <w:webHidden/>
              </w:rPr>
              <w:tab/>
            </w:r>
            <w:r>
              <w:rPr>
                <w:noProof/>
                <w:webHidden/>
              </w:rPr>
              <w:fldChar w:fldCharType="begin"/>
            </w:r>
            <w:r>
              <w:rPr>
                <w:noProof/>
                <w:webHidden/>
              </w:rPr>
              <w:instrText xml:space="preserve"> PAGEREF _Toc159192766 \h </w:instrText>
            </w:r>
            <w:r>
              <w:rPr>
                <w:noProof/>
                <w:webHidden/>
              </w:rPr>
            </w:r>
            <w:r>
              <w:rPr>
                <w:noProof/>
                <w:webHidden/>
              </w:rPr>
              <w:fldChar w:fldCharType="separate"/>
            </w:r>
            <w:r>
              <w:rPr>
                <w:noProof/>
                <w:webHidden/>
              </w:rPr>
              <w:t>12</w:t>
            </w:r>
            <w:r>
              <w:rPr>
                <w:noProof/>
                <w:webHidden/>
              </w:rPr>
              <w:fldChar w:fldCharType="end"/>
            </w:r>
          </w:hyperlink>
        </w:p>
        <w:p w14:paraId="7FD53FF5" w14:textId="2F6D4608" w:rsidR="00997104" w:rsidRDefault="00997104">
          <w:pPr>
            <w:pStyle w:val="TOC3"/>
            <w:tabs>
              <w:tab w:val="left" w:pos="1320"/>
              <w:tab w:val="right" w:leader="dot" w:pos="9016"/>
            </w:tabs>
            <w:rPr>
              <w:rFonts w:eastAsiaTheme="minorEastAsia"/>
              <w:noProof/>
              <w:lang w:eastAsia="en-IE"/>
            </w:rPr>
          </w:pPr>
          <w:hyperlink w:anchor="_Toc159192767" w:history="1">
            <w:r w:rsidRPr="005727C2">
              <w:rPr>
                <w:rStyle w:val="Hyperlink"/>
                <w:noProof/>
              </w:rPr>
              <w:t>4.4.3.</w:t>
            </w:r>
            <w:r>
              <w:rPr>
                <w:rFonts w:eastAsiaTheme="minorEastAsia"/>
                <w:noProof/>
                <w:lang w:eastAsia="en-IE"/>
              </w:rPr>
              <w:tab/>
            </w:r>
            <w:r w:rsidRPr="005727C2">
              <w:rPr>
                <w:rStyle w:val="Hyperlink"/>
                <w:noProof/>
              </w:rPr>
              <w:t>Gradient Boosting Machines</w:t>
            </w:r>
            <w:r>
              <w:rPr>
                <w:noProof/>
                <w:webHidden/>
              </w:rPr>
              <w:tab/>
            </w:r>
            <w:r>
              <w:rPr>
                <w:noProof/>
                <w:webHidden/>
              </w:rPr>
              <w:fldChar w:fldCharType="begin"/>
            </w:r>
            <w:r>
              <w:rPr>
                <w:noProof/>
                <w:webHidden/>
              </w:rPr>
              <w:instrText xml:space="preserve"> PAGEREF _Toc159192767 \h </w:instrText>
            </w:r>
            <w:r>
              <w:rPr>
                <w:noProof/>
                <w:webHidden/>
              </w:rPr>
            </w:r>
            <w:r>
              <w:rPr>
                <w:noProof/>
                <w:webHidden/>
              </w:rPr>
              <w:fldChar w:fldCharType="separate"/>
            </w:r>
            <w:r>
              <w:rPr>
                <w:noProof/>
                <w:webHidden/>
              </w:rPr>
              <w:t>14</w:t>
            </w:r>
            <w:r>
              <w:rPr>
                <w:noProof/>
                <w:webHidden/>
              </w:rPr>
              <w:fldChar w:fldCharType="end"/>
            </w:r>
          </w:hyperlink>
        </w:p>
        <w:p w14:paraId="3303932A" w14:textId="796C2D82" w:rsidR="00997104" w:rsidRDefault="00997104">
          <w:pPr>
            <w:pStyle w:val="TOC3"/>
            <w:tabs>
              <w:tab w:val="left" w:pos="1320"/>
              <w:tab w:val="right" w:leader="dot" w:pos="9016"/>
            </w:tabs>
            <w:rPr>
              <w:rFonts w:eastAsiaTheme="minorEastAsia"/>
              <w:noProof/>
              <w:lang w:eastAsia="en-IE"/>
            </w:rPr>
          </w:pPr>
          <w:hyperlink w:anchor="_Toc159192768" w:history="1">
            <w:r w:rsidRPr="005727C2">
              <w:rPr>
                <w:rStyle w:val="Hyperlink"/>
                <w:noProof/>
              </w:rPr>
              <w:t>4.4.4.</w:t>
            </w:r>
            <w:r>
              <w:rPr>
                <w:rFonts w:eastAsiaTheme="minorEastAsia"/>
                <w:noProof/>
                <w:lang w:eastAsia="en-IE"/>
              </w:rPr>
              <w:tab/>
            </w:r>
            <w:r w:rsidRPr="005727C2">
              <w:rPr>
                <w:rStyle w:val="Hyperlink"/>
                <w:noProof/>
              </w:rPr>
              <w:t>Deep Learning Methods (LSTM)</w:t>
            </w:r>
            <w:r>
              <w:rPr>
                <w:noProof/>
                <w:webHidden/>
              </w:rPr>
              <w:tab/>
            </w:r>
            <w:r>
              <w:rPr>
                <w:noProof/>
                <w:webHidden/>
              </w:rPr>
              <w:fldChar w:fldCharType="begin"/>
            </w:r>
            <w:r>
              <w:rPr>
                <w:noProof/>
                <w:webHidden/>
              </w:rPr>
              <w:instrText xml:space="preserve"> PAGEREF _Toc159192768 \h </w:instrText>
            </w:r>
            <w:r>
              <w:rPr>
                <w:noProof/>
                <w:webHidden/>
              </w:rPr>
            </w:r>
            <w:r>
              <w:rPr>
                <w:noProof/>
                <w:webHidden/>
              </w:rPr>
              <w:fldChar w:fldCharType="separate"/>
            </w:r>
            <w:r>
              <w:rPr>
                <w:noProof/>
                <w:webHidden/>
              </w:rPr>
              <w:t>16</w:t>
            </w:r>
            <w:r>
              <w:rPr>
                <w:noProof/>
                <w:webHidden/>
              </w:rPr>
              <w:fldChar w:fldCharType="end"/>
            </w:r>
          </w:hyperlink>
        </w:p>
        <w:p w14:paraId="2B318129" w14:textId="054D846C" w:rsidR="00997104" w:rsidRDefault="00997104">
          <w:pPr>
            <w:pStyle w:val="TOC1"/>
            <w:tabs>
              <w:tab w:val="left" w:pos="440"/>
              <w:tab w:val="right" w:leader="dot" w:pos="9016"/>
            </w:tabs>
            <w:rPr>
              <w:rFonts w:eastAsiaTheme="minorEastAsia"/>
              <w:noProof/>
              <w:lang w:eastAsia="en-IE"/>
            </w:rPr>
          </w:pPr>
          <w:hyperlink w:anchor="_Toc159192769" w:history="1">
            <w:r w:rsidRPr="005727C2">
              <w:rPr>
                <w:rStyle w:val="Hyperlink"/>
                <w:noProof/>
              </w:rPr>
              <w:t>5.</w:t>
            </w:r>
            <w:r>
              <w:rPr>
                <w:rFonts w:eastAsiaTheme="minorEastAsia"/>
                <w:noProof/>
                <w:lang w:eastAsia="en-IE"/>
              </w:rPr>
              <w:tab/>
            </w:r>
            <w:r w:rsidRPr="005727C2">
              <w:rPr>
                <w:rStyle w:val="Hyperlink"/>
                <w:noProof/>
              </w:rPr>
              <w:t>Evaluation and Analysis</w:t>
            </w:r>
            <w:r>
              <w:rPr>
                <w:noProof/>
                <w:webHidden/>
              </w:rPr>
              <w:tab/>
            </w:r>
            <w:r>
              <w:rPr>
                <w:noProof/>
                <w:webHidden/>
              </w:rPr>
              <w:fldChar w:fldCharType="begin"/>
            </w:r>
            <w:r>
              <w:rPr>
                <w:noProof/>
                <w:webHidden/>
              </w:rPr>
              <w:instrText xml:space="preserve"> PAGEREF _Toc159192769 \h </w:instrText>
            </w:r>
            <w:r>
              <w:rPr>
                <w:noProof/>
                <w:webHidden/>
              </w:rPr>
            </w:r>
            <w:r>
              <w:rPr>
                <w:noProof/>
                <w:webHidden/>
              </w:rPr>
              <w:fldChar w:fldCharType="separate"/>
            </w:r>
            <w:r>
              <w:rPr>
                <w:noProof/>
                <w:webHidden/>
              </w:rPr>
              <w:t>18</w:t>
            </w:r>
            <w:r>
              <w:rPr>
                <w:noProof/>
                <w:webHidden/>
              </w:rPr>
              <w:fldChar w:fldCharType="end"/>
            </w:r>
          </w:hyperlink>
        </w:p>
        <w:p w14:paraId="2534BFA3" w14:textId="37ABA74F" w:rsidR="00997104" w:rsidRDefault="00997104">
          <w:pPr>
            <w:pStyle w:val="TOC1"/>
            <w:tabs>
              <w:tab w:val="left" w:pos="440"/>
              <w:tab w:val="right" w:leader="dot" w:pos="9016"/>
            </w:tabs>
            <w:rPr>
              <w:rFonts w:eastAsiaTheme="minorEastAsia"/>
              <w:noProof/>
              <w:lang w:eastAsia="en-IE"/>
            </w:rPr>
          </w:pPr>
          <w:hyperlink w:anchor="_Toc159192770" w:history="1">
            <w:r w:rsidRPr="005727C2">
              <w:rPr>
                <w:rStyle w:val="Hyperlink"/>
                <w:noProof/>
              </w:rPr>
              <w:t>6.</w:t>
            </w:r>
            <w:r>
              <w:rPr>
                <w:rFonts w:eastAsiaTheme="minorEastAsia"/>
                <w:noProof/>
                <w:lang w:eastAsia="en-IE"/>
              </w:rPr>
              <w:tab/>
            </w:r>
            <w:r w:rsidRPr="005727C2">
              <w:rPr>
                <w:rStyle w:val="Hyperlink"/>
                <w:noProof/>
              </w:rPr>
              <w:t>Conclusion</w:t>
            </w:r>
            <w:r>
              <w:rPr>
                <w:noProof/>
                <w:webHidden/>
              </w:rPr>
              <w:tab/>
            </w:r>
            <w:r>
              <w:rPr>
                <w:noProof/>
                <w:webHidden/>
              </w:rPr>
              <w:fldChar w:fldCharType="begin"/>
            </w:r>
            <w:r>
              <w:rPr>
                <w:noProof/>
                <w:webHidden/>
              </w:rPr>
              <w:instrText xml:space="preserve"> PAGEREF _Toc159192770 \h </w:instrText>
            </w:r>
            <w:r>
              <w:rPr>
                <w:noProof/>
                <w:webHidden/>
              </w:rPr>
            </w:r>
            <w:r>
              <w:rPr>
                <w:noProof/>
                <w:webHidden/>
              </w:rPr>
              <w:fldChar w:fldCharType="separate"/>
            </w:r>
            <w:r>
              <w:rPr>
                <w:noProof/>
                <w:webHidden/>
              </w:rPr>
              <w:t>20</w:t>
            </w:r>
            <w:r>
              <w:rPr>
                <w:noProof/>
                <w:webHidden/>
              </w:rPr>
              <w:fldChar w:fldCharType="end"/>
            </w:r>
          </w:hyperlink>
        </w:p>
        <w:p w14:paraId="73A89D77" w14:textId="4CA72ED5" w:rsidR="00997104" w:rsidRDefault="00997104">
          <w:pPr>
            <w:pStyle w:val="TOC1"/>
            <w:tabs>
              <w:tab w:val="left" w:pos="440"/>
              <w:tab w:val="right" w:leader="dot" w:pos="9016"/>
            </w:tabs>
            <w:rPr>
              <w:rFonts w:eastAsiaTheme="minorEastAsia"/>
              <w:noProof/>
              <w:lang w:eastAsia="en-IE"/>
            </w:rPr>
          </w:pPr>
          <w:hyperlink w:anchor="_Toc159192771" w:history="1">
            <w:r w:rsidRPr="005727C2">
              <w:rPr>
                <w:rStyle w:val="Hyperlink"/>
                <w:noProof/>
              </w:rPr>
              <w:t>7.</w:t>
            </w:r>
            <w:r>
              <w:rPr>
                <w:rFonts w:eastAsiaTheme="minorEastAsia"/>
                <w:noProof/>
                <w:lang w:eastAsia="en-IE"/>
              </w:rPr>
              <w:tab/>
            </w:r>
            <w:r w:rsidRPr="005727C2">
              <w:rPr>
                <w:rStyle w:val="Hyperlink"/>
                <w:noProof/>
                <w:shd w:val="clear" w:color="auto" w:fill="FFFFFF"/>
              </w:rPr>
              <w:t>References</w:t>
            </w:r>
            <w:r>
              <w:rPr>
                <w:noProof/>
                <w:webHidden/>
              </w:rPr>
              <w:tab/>
            </w:r>
            <w:r>
              <w:rPr>
                <w:noProof/>
                <w:webHidden/>
              </w:rPr>
              <w:fldChar w:fldCharType="begin"/>
            </w:r>
            <w:r>
              <w:rPr>
                <w:noProof/>
                <w:webHidden/>
              </w:rPr>
              <w:instrText xml:space="preserve"> PAGEREF _Toc159192771 \h </w:instrText>
            </w:r>
            <w:r>
              <w:rPr>
                <w:noProof/>
                <w:webHidden/>
              </w:rPr>
            </w:r>
            <w:r>
              <w:rPr>
                <w:noProof/>
                <w:webHidden/>
              </w:rPr>
              <w:fldChar w:fldCharType="separate"/>
            </w:r>
            <w:r>
              <w:rPr>
                <w:noProof/>
                <w:webHidden/>
              </w:rPr>
              <w:t>21</w:t>
            </w:r>
            <w:r>
              <w:rPr>
                <w:noProof/>
                <w:webHidden/>
              </w:rPr>
              <w:fldChar w:fldCharType="end"/>
            </w:r>
          </w:hyperlink>
        </w:p>
        <w:p w14:paraId="2EFFD014" w14:textId="26ADC27D"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79AF98BA" w:rsidR="00903BC6" w:rsidRDefault="00F15619" w:rsidP="00C21F4C">
      <w:pPr>
        <w:pStyle w:val="Heading1"/>
      </w:pPr>
      <w:bookmarkStart w:id="1" w:name="_Toc159192749"/>
      <w:r>
        <w:t>I</w:t>
      </w:r>
      <w:r w:rsidR="00903BC6">
        <w:t>ntroduction</w:t>
      </w:r>
      <w:bookmarkEnd w:id="1"/>
    </w:p>
    <w:p w14:paraId="1379F328" w14:textId="77777777" w:rsidR="00903BC6" w:rsidRPr="00903BC6" w:rsidRDefault="00903BC6" w:rsidP="00903BC6"/>
    <w:p w14:paraId="58D02C0C" w14:textId="2C72C357" w:rsidR="00903BC6" w:rsidRDefault="00903BC6" w:rsidP="00C21F4C">
      <w:pPr>
        <w:pStyle w:val="Heading2"/>
      </w:pPr>
      <w:bookmarkStart w:id="2" w:name="_Toc159192750"/>
      <w:r>
        <w:t>Topic</w:t>
      </w:r>
      <w:bookmarkEnd w:id="2"/>
      <w:r>
        <w:t xml:space="preserve"> </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w:t>
      </w:r>
      <w:proofErr w:type="gramStart"/>
      <w:r>
        <w:rPr>
          <w:lang w:val="en-US"/>
        </w:rPr>
        <w:t>draw  a</w:t>
      </w:r>
      <w:proofErr w:type="gramEnd"/>
      <w:r>
        <w:rPr>
          <w:lang w:val="en-US"/>
        </w:rPr>
        <w:t xml:space="preserve"> conclusion.</w:t>
      </w:r>
    </w:p>
    <w:p w14:paraId="08464AB7" w14:textId="031E6437" w:rsidR="00903BC6" w:rsidRDefault="00903BC6" w:rsidP="00C21F4C">
      <w:pPr>
        <w:pStyle w:val="Heading2"/>
      </w:pPr>
      <w:bookmarkStart w:id="3" w:name="_Toc159192751"/>
      <w:r>
        <w:t>Research Objectives</w:t>
      </w:r>
      <w:bookmarkEnd w:id="3"/>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4" w:name="_Toc159192752"/>
      <w:r>
        <w:t>Background Research and Related Work</w:t>
      </w:r>
      <w:bookmarkEnd w:id="4"/>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05F22A7" w:rsidR="00903BC6" w:rsidRPr="00C21F4C" w:rsidRDefault="00574665" w:rsidP="00C21F4C">
      <w:pPr>
        <w:pStyle w:val="Heading1"/>
      </w:pPr>
      <w:bookmarkStart w:id="5" w:name="_Toc159192753"/>
      <w:r w:rsidRPr="00C21F4C">
        <w:t>Literature Review</w:t>
      </w:r>
      <w:bookmarkEnd w:id="5"/>
      <w:r w:rsidRPr="00C21F4C">
        <w:t xml:space="preserve"> </w:t>
      </w:r>
    </w:p>
    <w:p w14:paraId="6D5A1A45" w14:textId="77777777" w:rsidR="00574665" w:rsidRDefault="00574665" w:rsidP="00574665"/>
    <w:p w14:paraId="52D4E014" w14:textId="10E4A48E" w:rsidR="00C21F4C" w:rsidRDefault="00C21F4C" w:rsidP="00C21F4C">
      <w:pPr>
        <w:pStyle w:val="Heading2"/>
      </w:pPr>
      <w:bookmarkStart w:id="6" w:name="_Toc159192754"/>
      <w:r w:rsidRPr="00C21F4C">
        <w:t>The effectiveness of deep learning in predicting public debt</w:t>
      </w:r>
      <w:bookmarkEnd w:id="6"/>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7" w:name="_Toc159192755"/>
      <w:r w:rsidRPr="00672B34">
        <w:t>Identifying Common Features in Deep Learning Models for Public Debt Prediction</w:t>
      </w:r>
      <w:bookmarkEnd w:id="7"/>
    </w:p>
    <w:p w14:paraId="4643CCB4" w14:textId="77777777" w:rsidR="00C21F4C" w:rsidRPr="00C21F4C" w:rsidRDefault="00C21F4C" w:rsidP="00C21F4C"/>
    <w:p w14:paraId="5ECE6404" w14:textId="77777777" w:rsidR="004272E5" w:rsidRDefault="004272E5" w:rsidP="00F4308A"/>
    <w:p w14:paraId="01276F82" w14:textId="77777777" w:rsidR="00B84F23" w:rsidRDefault="00B84F23"/>
    <w:p w14:paraId="58A66743" w14:textId="2408CFB6" w:rsidR="00903BC6" w:rsidRDefault="00903BC6" w:rsidP="00C21F4C">
      <w:pPr>
        <w:pStyle w:val="Heading1"/>
      </w:pPr>
      <w:bookmarkStart w:id="8" w:name="_Toc159192756"/>
      <w:r>
        <w:t>Methodology</w:t>
      </w:r>
      <w:bookmarkEnd w:id="8"/>
    </w:p>
    <w:p w14:paraId="3EB9A386" w14:textId="77777777" w:rsidR="0090348E" w:rsidRPr="0090348E" w:rsidRDefault="0090348E" w:rsidP="0090348E"/>
    <w:p w14:paraId="4490412D" w14:textId="77777777" w:rsidR="009036CE" w:rsidRDefault="009036CE" w:rsidP="00C21F4C">
      <w:pPr>
        <w:pStyle w:val="Heading2"/>
      </w:pPr>
      <w:bookmarkStart w:id="9" w:name="_Toc159192757"/>
      <w:r>
        <w:lastRenderedPageBreak/>
        <w:t>Data Gathered and Primary Research (Interviews)</w:t>
      </w:r>
      <w:bookmarkEnd w:id="9"/>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C21F4C">
      <w:pPr>
        <w:pStyle w:val="Heading2"/>
      </w:pPr>
      <w:bookmarkStart w:id="10" w:name="_Toc159192758"/>
      <w:r>
        <w:t>Datasets</w:t>
      </w:r>
      <w:bookmarkEnd w:id="10"/>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C21F4C">
      <w:pPr>
        <w:pStyle w:val="Heading2"/>
      </w:pPr>
      <w:bookmarkStart w:id="11" w:name="_Toc159192759"/>
      <w:r>
        <w:t>Data Preparation</w:t>
      </w:r>
      <w:bookmarkEnd w:id="11"/>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997104">
      <w:pPr>
        <w:pStyle w:val="Heading3"/>
      </w:pPr>
      <w:bookmarkStart w:id="12" w:name="_Toc159192760"/>
      <w:r>
        <w:t>Summary Statistics</w:t>
      </w:r>
      <w:bookmarkEnd w:id="12"/>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w:t>
      </w:r>
      <w:r w:rsidRPr="000E42FF">
        <w:lastRenderedPageBreak/>
        <w:t>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997104">
      <w:pPr>
        <w:pStyle w:val="Heading3"/>
      </w:pPr>
      <w:bookmarkStart w:id="13" w:name="_Toc159192761"/>
      <w:r>
        <w:t>Handling Null Records</w:t>
      </w:r>
      <w:bookmarkEnd w:id="13"/>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997104">
      <w:pPr>
        <w:pStyle w:val="Heading3"/>
      </w:pPr>
      <w:bookmarkStart w:id="14" w:name="_Toc159192762"/>
      <w:r>
        <w:t>Correlation Coefficients (</w:t>
      </w:r>
      <w:r w:rsidRPr="008145B8">
        <w:t>Pearson</w:t>
      </w:r>
      <w:r>
        <w:t>/Spearman)</w:t>
      </w:r>
      <w:bookmarkEnd w:id="14"/>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lastRenderedPageBreak/>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997104">
      <w:pPr>
        <w:pStyle w:val="Heading3"/>
      </w:pPr>
      <w:bookmarkStart w:id="15" w:name="_Toc159192763"/>
      <w:r>
        <w:t>Decomposition of the Data</w:t>
      </w:r>
      <w:bookmarkEnd w:id="15"/>
    </w:p>
    <w:p w14:paraId="4684F9CB" w14:textId="77777777" w:rsidR="007D1BAF" w:rsidRDefault="007D1BAF" w:rsidP="007D1BAF">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lastRenderedPageBreak/>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6BA786CD" w14:textId="3D5F2FCE" w:rsidR="00997104" w:rsidRPr="00997104" w:rsidRDefault="006A0055" w:rsidP="00997104">
      <w:pPr>
        <w:pStyle w:val="Heading2"/>
      </w:pPr>
      <w:bookmarkStart w:id="16" w:name="_Toc159192764"/>
      <w:r>
        <w:t>Methodology</w:t>
      </w:r>
      <w:bookmarkEnd w:id="16"/>
    </w:p>
    <w:p w14:paraId="2FB23F98" w14:textId="77777777" w:rsidR="006A0055" w:rsidRDefault="006A0055" w:rsidP="006A0055"/>
    <w:p w14:paraId="3ECA28A7" w14:textId="027E9449" w:rsidR="0090348E" w:rsidRDefault="0090348E" w:rsidP="0090348E">
      <w:r>
        <w:t>A</w:t>
      </w:r>
      <w:r>
        <w:t xml:space="preserve">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w:t>
      </w:r>
      <w:r>
        <w:lastRenderedPageBreak/>
        <w:t xml:space="preserve">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246D530E" w14:textId="59556BA2" w:rsidR="006A0055" w:rsidRPr="00997104" w:rsidRDefault="006A0055" w:rsidP="00997104">
      <w:pPr>
        <w:pStyle w:val="Heading3"/>
      </w:pPr>
      <w:bookmarkStart w:id="17" w:name="_Toc159192765"/>
      <w:r w:rsidRPr="00997104">
        <w:t>Linear Regression</w:t>
      </w:r>
      <w:bookmarkEnd w:id="17"/>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997104">
      <w:pPr>
        <w:pStyle w:val="Heading3"/>
      </w:pPr>
      <w:bookmarkStart w:id="18" w:name="_Toc159192766"/>
      <w:r>
        <w:lastRenderedPageBreak/>
        <w:t>Random Forest Regressor</w:t>
      </w:r>
      <w:bookmarkEnd w:id="18"/>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 xml:space="preserve">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w:t>
      </w:r>
      <w:r>
        <w:lastRenderedPageBreak/>
        <w:t>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997104">
      <w:pPr>
        <w:pStyle w:val="Heading3"/>
      </w:pPr>
      <w:bookmarkStart w:id="19" w:name="_Toc159192767"/>
      <w:r>
        <w:t>Gradient Boosting Machines</w:t>
      </w:r>
      <w:bookmarkEnd w:id="19"/>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lastRenderedPageBreak/>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 xml:space="preserve">In conclusion, GBM presents a valuable tool for predicting public debt levels, with its effectiveness contingent upon meticulous model tuning and validation. This study's experiences underscore the </w:t>
      </w:r>
      <w:r>
        <w:lastRenderedPageBreak/>
        <w:t>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997104">
      <w:pPr>
        <w:pStyle w:val="Heading3"/>
      </w:pPr>
      <w:bookmarkStart w:id="20" w:name="_Toc159192768"/>
      <w:r w:rsidRPr="001638F5">
        <w:t>Deep Learning Methods</w:t>
      </w:r>
      <w:r w:rsidR="006A0055">
        <w:t xml:space="preserve"> (LSTM)</w:t>
      </w:r>
      <w:bookmarkEnd w:id="20"/>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lastRenderedPageBreak/>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1" w:name="_Toc159192769"/>
      <w:r>
        <w:lastRenderedPageBreak/>
        <w:t>Evaluation and Analysis</w:t>
      </w:r>
      <w:bookmarkEnd w:id="21"/>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 xml:space="preserve">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w:t>
      </w:r>
      <w:r>
        <w:lastRenderedPageBreak/>
        <w:t>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r>
        <w:t>Ethics Considerations</w:t>
      </w:r>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 xml:space="preserve">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w:t>
      </w:r>
      <w:r>
        <w:lastRenderedPageBreak/>
        <w:t>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2" w:name="_Toc159192770"/>
      <w:r>
        <w:t>Conclusion</w:t>
      </w:r>
      <w:bookmarkEnd w:id="22"/>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w:t>
      </w:r>
      <w:r>
        <w:lastRenderedPageBreak/>
        <w:t xml:space="preserve">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 xml:space="preserve">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w:t>
      </w:r>
      <w:r>
        <w:lastRenderedPageBreak/>
        <w:t>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3" w:name="_Toc159192771"/>
      <w:r>
        <w:rPr>
          <w:shd w:val="clear" w:color="auto" w:fill="FFFFFF"/>
        </w:rPr>
        <w:t>References</w:t>
      </w:r>
      <w:bookmarkEnd w:id="23"/>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lastRenderedPageBreak/>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1353AF"/>
    <w:rsid w:val="001638F5"/>
    <w:rsid w:val="001E15E0"/>
    <w:rsid w:val="002150D8"/>
    <w:rsid w:val="004272E5"/>
    <w:rsid w:val="00442028"/>
    <w:rsid w:val="00455DC1"/>
    <w:rsid w:val="004A0B38"/>
    <w:rsid w:val="00567DE2"/>
    <w:rsid w:val="00574665"/>
    <w:rsid w:val="005B46D6"/>
    <w:rsid w:val="00672B34"/>
    <w:rsid w:val="006A0055"/>
    <w:rsid w:val="006B4A49"/>
    <w:rsid w:val="00735856"/>
    <w:rsid w:val="0076516D"/>
    <w:rsid w:val="00777515"/>
    <w:rsid w:val="007D1BAF"/>
    <w:rsid w:val="008145B8"/>
    <w:rsid w:val="0081531F"/>
    <w:rsid w:val="008249B5"/>
    <w:rsid w:val="009032C1"/>
    <w:rsid w:val="0090348E"/>
    <w:rsid w:val="009036CE"/>
    <w:rsid w:val="00903BC6"/>
    <w:rsid w:val="009478D3"/>
    <w:rsid w:val="00973C0D"/>
    <w:rsid w:val="00997104"/>
    <w:rsid w:val="009E09A8"/>
    <w:rsid w:val="00A66E2C"/>
    <w:rsid w:val="00B55B77"/>
    <w:rsid w:val="00B84F23"/>
    <w:rsid w:val="00BD70FE"/>
    <w:rsid w:val="00BF1211"/>
    <w:rsid w:val="00C21F4C"/>
    <w:rsid w:val="00CF7279"/>
    <w:rsid w:val="00DC7029"/>
    <w:rsid w:val="00DD65A4"/>
    <w:rsid w:val="00DF3BB8"/>
    <w:rsid w:val="00E14932"/>
    <w:rsid w:val="00E1778D"/>
    <w:rsid w:val="00E76A98"/>
    <w:rsid w:val="00E952BA"/>
    <w:rsid w:val="00EB0D94"/>
    <w:rsid w:val="00EF456C"/>
    <w:rsid w:val="00F00FAB"/>
    <w:rsid w:val="00F15619"/>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21F4C"/>
    <w:pPr>
      <w:numPr>
        <w:ilvl w:val="1"/>
      </w:numPr>
      <w:outlineLvl w:val="1"/>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C21F4C"/>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6648</TotalTime>
  <Pages>23</Pages>
  <Words>9369</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18</cp:revision>
  <dcterms:created xsi:type="dcterms:W3CDTF">2024-01-06T22:01:00Z</dcterms:created>
  <dcterms:modified xsi:type="dcterms:W3CDTF">2024-02-19T14:01:00Z</dcterms:modified>
</cp:coreProperties>
</file>