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8A777C">
      <w:pPr>
        <w:jc w:val="center"/>
        <w:rPr>
          <w:b/>
          <w:sz w:val="32"/>
          <w:szCs w:val="32"/>
          <w:highlight w:val="white"/>
        </w:rPr>
      </w:pPr>
      <w:r>
        <w:rPr>
          <w:b/>
          <w:sz w:val="32"/>
          <w:szCs w:val="32"/>
          <w:highlight w:val="white"/>
        </w:rPr>
        <w:t xml:space="preserve">Can Machine Learning Techniques Use Economic Variables to Predict Levels </w:t>
      </w:r>
      <w:proofErr w:type="gramStart"/>
      <w:r>
        <w:rPr>
          <w:b/>
          <w:sz w:val="32"/>
          <w:szCs w:val="32"/>
          <w:highlight w:val="white"/>
        </w:rPr>
        <w:t>Of</w:t>
      </w:r>
      <w:proofErr w:type="gramEnd"/>
      <w:r>
        <w:rPr>
          <w:b/>
          <w:sz w:val="32"/>
          <w:szCs w:val="32"/>
          <w:highlight w:val="white"/>
        </w:rPr>
        <w:t xml:space="preserve"> Public Debt</w:t>
      </w:r>
      <w:r>
        <w:rPr>
          <w:b/>
          <w:sz w:val="32"/>
          <w:szCs w:val="32"/>
          <w:highlight w:val="white"/>
        </w:rPr>
        <w:t>?</w:t>
      </w:r>
    </w:p>
    <w:p w14:paraId="1A2E9BA4" w14:textId="77777777" w:rsidR="008A777C" w:rsidRDefault="008A777C" w:rsidP="008A777C">
      <w:pPr>
        <w:spacing w:line="256" w:lineRule="auto"/>
        <w:jc w:val="center"/>
        <w:rPr>
          <w:b/>
          <w:sz w:val="32"/>
          <w:szCs w:val="32"/>
          <w:highlight w:val="white"/>
        </w:rPr>
      </w:pPr>
      <w:r>
        <w:rPr>
          <w:b/>
          <w:sz w:val="32"/>
          <w:szCs w:val="32"/>
          <w:highlight w:val="white"/>
        </w:rPr>
        <w:t xml:space="preserve"> </w:t>
      </w:r>
    </w:p>
    <w:p w14:paraId="0915A472" w14:textId="4E4769DB" w:rsidR="008A777C" w:rsidRDefault="008A777C" w:rsidP="008A777C">
      <w:pPr>
        <w:spacing w:line="256" w:lineRule="auto"/>
        <w:jc w:val="center"/>
        <w:rPr>
          <w:b/>
          <w:sz w:val="28"/>
          <w:szCs w:val="28"/>
          <w:highlight w:val="white"/>
        </w:rPr>
      </w:pPr>
      <w:r>
        <w:rPr>
          <w:b/>
          <w:sz w:val="28"/>
          <w:szCs w:val="28"/>
          <w:highlight w:val="white"/>
        </w:rPr>
        <w:t>Conor McKenna</w:t>
      </w:r>
    </w:p>
    <w:p w14:paraId="1E524FEE" w14:textId="77777777" w:rsidR="008A777C" w:rsidRDefault="008A777C" w:rsidP="008A777C">
      <w:pPr>
        <w:spacing w:line="256"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8A777C">
      <w:pPr>
        <w:spacing w:line="256" w:lineRule="auto"/>
        <w:jc w:val="center"/>
        <w:rPr>
          <w:b/>
          <w:sz w:val="28"/>
          <w:szCs w:val="28"/>
          <w:highlight w:val="white"/>
        </w:rPr>
      </w:pPr>
      <w:r>
        <w:rPr>
          <w:b/>
          <w:sz w:val="28"/>
          <w:szCs w:val="28"/>
          <w:highlight w:val="white"/>
        </w:rPr>
        <w:t>of the requirements for the</w:t>
      </w:r>
    </w:p>
    <w:p w14:paraId="2F9A40CE" w14:textId="77777777" w:rsidR="008A777C" w:rsidRDefault="008A777C" w:rsidP="008A777C">
      <w:pPr>
        <w:spacing w:line="256" w:lineRule="auto"/>
        <w:jc w:val="center"/>
        <w:rPr>
          <w:b/>
          <w:sz w:val="28"/>
          <w:szCs w:val="28"/>
          <w:highlight w:val="white"/>
        </w:rPr>
      </w:pPr>
      <w:r>
        <w:rPr>
          <w:b/>
          <w:sz w:val="28"/>
          <w:szCs w:val="28"/>
          <w:highlight w:val="white"/>
        </w:rPr>
        <w:t>Degree of</w:t>
      </w:r>
    </w:p>
    <w:p w14:paraId="4BB4F8F9" w14:textId="77777777" w:rsidR="008A777C" w:rsidRDefault="008A777C" w:rsidP="008A777C">
      <w:pPr>
        <w:spacing w:line="256"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05B02D46" w14:textId="77777777" w:rsidR="008A777C" w:rsidRDefault="008A777C" w:rsidP="008A777C">
      <w:pPr>
        <w:spacing w:line="256"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8A777C">
      <w:pPr>
        <w:spacing w:line="256" w:lineRule="auto"/>
        <w:jc w:val="center"/>
        <w:rPr>
          <w:b/>
          <w:sz w:val="28"/>
          <w:szCs w:val="28"/>
          <w:highlight w:val="white"/>
        </w:rPr>
      </w:pPr>
    </w:p>
    <w:p w14:paraId="7DC72C48" w14:textId="77777777" w:rsidR="008A777C" w:rsidRDefault="008A777C" w:rsidP="008A777C">
      <w:pPr>
        <w:spacing w:line="256" w:lineRule="auto"/>
        <w:jc w:val="center"/>
        <w:rPr>
          <w:b/>
          <w:sz w:val="28"/>
          <w:szCs w:val="28"/>
          <w:highlight w:val="white"/>
        </w:rPr>
      </w:pPr>
    </w:p>
    <w:p w14:paraId="5CFAAEAE" w14:textId="77777777" w:rsidR="008A777C" w:rsidRDefault="008A777C" w:rsidP="008A777C">
      <w:pPr>
        <w:spacing w:line="256" w:lineRule="auto"/>
        <w:jc w:val="center"/>
        <w:rPr>
          <w:b/>
          <w:sz w:val="28"/>
          <w:szCs w:val="28"/>
          <w:highlight w:val="white"/>
        </w:rPr>
      </w:pPr>
    </w:p>
    <w:p w14:paraId="180C320A" w14:textId="77777777" w:rsidR="008A777C" w:rsidRDefault="008A777C" w:rsidP="008A777C">
      <w:pPr>
        <w:spacing w:line="256" w:lineRule="auto"/>
        <w:jc w:val="center"/>
        <w:rPr>
          <w:b/>
          <w:sz w:val="28"/>
          <w:szCs w:val="28"/>
          <w:highlight w:val="white"/>
        </w:rPr>
      </w:pPr>
    </w:p>
    <w:p w14:paraId="26E86188" w14:textId="2A541AF9" w:rsidR="008A777C" w:rsidRDefault="008A777C" w:rsidP="008A777C">
      <w:pPr>
        <w:spacing w:line="256" w:lineRule="auto"/>
        <w:jc w:val="center"/>
        <w:rPr>
          <w:b/>
          <w:sz w:val="28"/>
          <w:szCs w:val="28"/>
          <w:highlight w:val="white"/>
        </w:rPr>
      </w:pPr>
      <w:r>
        <w:rPr>
          <w:b/>
          <w:sz w:val="28"/>
          <w:szCs w:val="28"/>
          <w:highlight w:val="white"/>
        </w:rPr>
        <w:t>February 2024</w:t>
      </w:r>
    </w:p>
    <w:p w14:paraId="3BF26537"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5D21BB68"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721F691C"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3A103954" w14:textId="3D4E9573" w:rsidR="008A777C" w:rsidRDefault="008A777C" w:rsidP="008A777C">
      <w:pPr>
        <w:spacing w:line="256"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8A777C">
      <w:pPr>
        <w:spacing w:line="313" w:lineRule="auto"/>
        <w:jc w:val="both"/>
        <w:rPr>
          <w:b/>
          <w:sz w:val="32"/>
          <w:szCs w:val="32"/>
        </w:rPr>
      </w:pPr>
    </w:p>
    <w:p w14:paraId="5184E8D5" w14:textId="77777777" w:rsidR="008A777C" w:rsidRDefault="008A777C" w:rsidP="008A777C">
      <w:pPr>
        <w:jc w:val="center"/>
        <w:rPr>
          <w:b/>
          <w:sz w:val="36"/>
          <w:szCs w:val="36"/>
        </w:rPr>
      </w:pPr>
      <w:r>
        <w:rPr>
          <w:b/>
          <w:sz w:val="36"/>
          <w:szCs w:val="36"/>
        </w:rPr>
        <w:t>CCT College Dublin</w:t>
      </w:r>
    </w:p>
    <w:p w14:paraId="72E522F2" w14:textId="77777777" w:rsidR="008A777C" w:rsidRDefault="008A777C" w:rsidP="008A777C">
      <w:pPr>
        <w:rPr>
          <w:b/>
          <w:sz w:val="28"/>
          <w:szCs w:val="28"/>
        </w:rPr>
      </w:pPr>
    </w:p>
    <w:p w14:paraId="5B7A8982" w14:textId="77777777" w:rsidR="008A777C" w:rsidRDefault="008A777C" w:rsidP="008A777C">
      <w:pPr>
        <w:pBdr>
          <w:bottom w:val="single" w:sz="12" w:space="1" w:color="000000"/>
        </w:pBdr>
        <w:jc w:val="center"/>
        <w:rPr>
          <w:b/>
          <w:sz w:val="28"/>
          <w:szCs w:val="28"/>
        </w:rPr>
      </w:pPr>
      <w:r>
        <w:rPr>
          <w:b/>
          <w:sz w:val="28"/>
          <w:szCs w:val="28"/>
        </w:rPr>
        <w:t>Assessment Cover Page</w:t>
      </w:r>
    </w:p>
    <w:p w14:paraId="06FA3A24" w14:textId="77777777" w:rsidR="008A777C" w:rsidRDefault="008A777C" w:rsidP="008A777C">
      <w:pPr>
        <w:pBdr>
          <w:bottom w:val="single" w:sz="12" w:space="1" w:color="000000"/>
        </w:pBdr>
        <w:jc w:val="center"/>
        <w:rPr>
          <w:i/>
        </w:rPr>
      </w:pPr>
      <w:r>
        <w:rPr>
          <w:i/>
        </w:rPr>
        <w:t>To be provided separately as a word doc for students to include with every submission</w:t>
      </w:r>
    </w:p>
    <w:p w14:paraId="4895187F" w14:textId="77777777" w:rsidR="008A777C" w:rsidRDefault="008A777C" w:rsidP="008A777C">
      <w:pPr>
        <w:pBdr>
          <w:bottom w:val="single" w:sz="12" w:space="1" w:color="000000"/>
        </w:pBdr>
        <w:jc w:val="center"/>
        <w:rPr>
          <w:b/>
          <w:sz w:val="28"/>
          <w:szCs w:val="28"/>
        </w:rPr>
      </w:pPr>
    </w:p>
    <w:p w14:paraId="1AD99A6E" w14:textId="77777777" w:rsidR="008A777C" w:rsidRDefault="008A777C" w:rsidP="008A777C"/>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3D4116">
            <w:pPr>
              <w:rPr>
                <w:b/>
              </w:rPr>
            </w:pPr>
            <w:r>
              <w:rPr>
                <w:b/>
              </w:rPr>
              <w:t>Module Titles:</w:t>
            </w:r>
          </w:p>
          <w:p w14:paraId="6A887F81" w14:textId="77777777" w:rsidR="008A777C" w:rsidRDefault="008A777C" w:rsidP="003D4116">
            <w:pPr>
              <w:rPr>
                <w:b/>
              </w:rPr>
            </w:pPr>
          </w:p>
        </w:tc>
        <w:tc>
          <w:tcPr>
            <w:tcW w:w="6753" w:type="dxa"/>
          </w:tcPr>
          <w:p w14:paraId="11906EB4" w14:textId="77777777" w:rsidR="008A777C" w:rsidRDefault="008A777C" w:rsidP="003D4116">
            <w:r>
              <w:t>Capstone Project</w:t>
            </w:r>
          </w:p>
        </w:tc>
      </w:tr>
      <w:tr w:rsidR="008A777C" w14:paraId="4AE6ED70" w14:textId="77777777" w:rsidTr="003D4116">
        <w:tc>
          <w:tcPr>
            <w:tcW w:w="2263" w:type="dxa"/>
          </w:tcPr>
          <w:p w14:paraId="5A34AAE3" w14:textId="77777777" w:rsidR="008A777C" w:rsidRDefault="008A777C" w:rsidP="003D4116">
            <w:pPr>
              <w:rPr>
                <w:b/>
              </w:rPr>
            </w:pPr>
            <w:r>
              <w:rPr>
                <w:b/>
              </w:rPr>
              <w:t>Assessment Title:</w:t>
            </w:r>
          </w:p>
          <w:p w14:paraId="318CB296" w14:textId="77777777" w:rsidR="008A777C" w:rsidRDefault="008A777C" w:rsidP="003D4116">
            <w:pPr>
              <w:rPr>
                <w:b/>
              </w:rPr>
            </w:pPr>
          </w:p>
        </w:tc>
        <w:tc>
          <w:tcPr>
            <w:tcW w:w="6753" w:type="dxa"/>
          </w:tcPr>
          <w:p w14:paraId="7DAC0273" w14:textId="77777777" w:rsidR="008A777C" w:rsidRDefault="008A777C" w:rsidP="003D4116">
            <w:r>
              <w:t>Thesis</w:t>
            </w:r>
          </w:p>
        </w:tc>
      </w:tr>
      <w:tr w:rsidR="008A777C" w14:paraId="086785D5" w14:textId="77777777" w:rsidTr="003D4116">
        <w:tc>
          <w:tcPr>
            <w:tcW w:w="2263" w:type="dxa"/>
          </w:tcPr>
          <w:p w14:paraId="182FBEAD" w14:textId="77777777" w:rsidR="008A777C" w:rsidRDefault="008A777C" w:rsidP="003D4116">
            <w:pPr>
              <w:rPr>
                <w:b/>
              </w:rPr>
            </w:pPr>
            <w:r>
              <w:rPr>
                <w:b/>
              </w:rPr>
              <w:t>Lecturer’s Name:</w:t>
            </w:r>
          </w:p>
          <w:p w14:paraId="7AB2B648" w14:textId="77777777" w:rsidR="008A777C" w:rsidRDefault="008A777C" w:rsidP="003D4116">
            <w:pPr>
              <w:rPr>
                <w:b/>
              </w:rPr>
            </w:pPr>
          </w:p>
        </w:tc>
        <w:tc>
          <w:tcPr>
            <w:tcW w:w="6753" w:type="dxa"/>
          </w:tcPr>
          <w:p w14:paraId="3507D447" w14:textId="75180AFE" w:rsidR="008A777C" w:rsidRDefault="008A777C" w:rsidP="003D4116">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3D4116">
            <w:pPr>
              <w:rPr>
                <w:b/>
              </w:rPr>
            </w:pPr>
            <w:r>
              <w:rPr>
                <w:b/>
              </w:rPr>
              <w:t>Student’s Full Name:</w:t>
            </w:r>
          </w:p>
          <w:p w14:paraId="5B1318F2" w14:textId="77777777" w:rsidR="008A777C" w:rsidRDefault="008A777C" w:rsidP="003D4116">
            <w:pPr>
              <w:rPr>
                <w:b/>
              </w:rPr>
            </w:pPr>
          </w:p>
        </w:tc>
        <w:tc>
          <w:tcPr>
            <w:tcW w:w="6753" w:type="dxa"/>
          </w:tcPr>
          <w:p w14:paraId="06B0DF1F" w14:textId="76EC2DD7" w:rsidR="008A777C" w:rsidRDefault="008A777C" w:rsidP="003D4116">
            <w:r>
              <w:t>Conor McKenna</w:t>
            </w:r>
          </w:p>
        </w:tc>
      </w:tr>
      <w:tr w:rsidR="008A777C" w14:paraId="10283FFD" w14:textId="77777777" w:rsidTr="003D4116">
        <w:tc>
          <w:tcPr>
            <w:tcW w:w="2263" w:type="dxa"/>
          </w:tcPr>
          <w:p w14:paraId="3CDC92BE" w14:textId="77777777" w:rsidR="008A777C" w:rsidRDefault="008A777C" w:rsidP="003D4116">
            <w:pPr>
              <w:rPr>
                <w:b/>
              </w:rPr>
            </w:pPr>
            <w:r>
              <w:rPr>
                <w:b/>
              </w:rPr>
              <w:t>Student Numbers:</w:t>
            </w:r>
          </w:p>
          <w:p w14:paraId="74F659B6" w14:textId="77777777" w:rsidR="008A777C" w:rsidRDefault="008A777C" w:rsidP="003D4116">
            <w:pPr>
              <w:rPr>
                <w:b/>
              </w:rPr>
            </w:pPr>
          </w:p>
        </w:tc>
        <w:tc>
          <w:tcPr>
            <w:tcW w:w="6753" w:type="dxa"/>
          </w:tcPr>
          <w:p w14:paraId="29DCA164" w14:textId="65BFA028" w:rsidR="008A777C" w:rsidRDefault="008A777C" w:rsidP="003D4116">
            <w:r>
              <w:t>Sbs23014</w:t>
            </w:r>
          </w:p>
        </w:tc>
      </w:tr>
      <w:tr w:rsidR="008A777C" w14:paraId="6CC20335" w14:textId="77777777" w:rsidTr="003D4116">
        <w:tc>
          <w:tcPr>
            <w:tcW w:w="2263" w:type="dxa"/>
          </w:tcPr>
          <w:p w14:paraId="732B8B66" w14:textId="77777777" w:rsidR="008A777C" w:rsidRDefault="008A777C" w:rsidP="003D4116">
            <w:pPr>
              <w:rPr>
                <w:b/>
              </w:rPr>
            </w:pPr>
            <w:r>
              <w:rPr>
                <w:b/>
              </w:rPr>
              <w:t>Assessment Due Date:</w:t>
            </w:r>
          </w:p>
          <w:p w14:paraId="688FB4A0" w14:textId="77777777" w:rsidR="008A777C" w:rsidRDefault="008A777C" w:rsidP="003D4116">
            <w:pPr>
              <w:rPr>
                <w:b/>
              </w:rPr>
            </w:pPr>
          </w:p>
        </w:tc>
        <w:tc>
          <w:tcPr>
            <w:tcW w:w="6753" w:type="dxa"/>
          </w:tcPr>
          <w:p w14:paraId="6C113F9B" w14:textId="049701DE" w:rsidR="008A777C" w:rsidRDefault="008A777C" w:rsidP="003D4116">
            <w:r>
              <w:t>23/02/2024</w:t>
            </w:r>
          </w:p>
        </w:tc>
      </w:tr>
      <w:tr w:rsidR="008A777C" w14:paraId="164D3B2C" w14:textId="77777777" w:rsidTr="003D4116">
        <w:tc>
          <w:tcPr>
            <w:tcW w:w="2263" w:type="dxa"/>
          </w:tcPr>
          <w:p w14:paraId="6A0209A7" w14:textId="77777777" w:rsidR="008A777C" w:rsidRDefault="008A777C" w:rsidP="003D4116">
            <w:pPr>
              <w:rPr>
                <w:b/>
              </w:rPr>
            </w:pPr>
            <w:r>
              <w:rPr>
                <w:b/>
              </w:rPr>
              <w:t>Date of Submission:</w:t>
            </w:r>
          </w:p>
          <w:p w14:paraId="6B39402E" w14:textId="77777777" w:rsidR="008A777C" w:rsidRDefault="008A777C" w:rsidP="003D4116">
            <w:pPr>
              <w:rPr>
                <w:b/>
              </w:rPr>
            </w:pPr>
          </w:p>
        </w:tc>
        <w:tc>
          <w:tcPr>
            <w:tcW w:w="6753" w:type="dxa"/>
          </w:tcPr>
          <w:p w14:paraId="0E600FDD" w14:textId="1D4D3E0F" w:rsidR="008A777C" w:rsidRDefault="008A777C" w:rsidP="003D4116">
            <w:r>
              <w:t>23/02/2024</w:t>
            </w:r>
          </w:p>
        </w:tc>
      </w:tr>
    </w:tbl>
    <w:p w14:paraId="2BE3CF11" w14:textId="77777777" w:rsidR="008A777C" w:rsidRDefault="008A777C" w:rsidP="008A777C"/>
    <w:p w14:paraId="5D8837AA" w14:textId="77777777" w:rsidR="008A777C" w:rsidRDefault="008A777C" w:rsidP="008A777C">
      <w:pPr>
        <w:rPr>
          <w:b/>
          <w:sz w:val="20"/>
          <w:szCs w:val="20"/>
        </w:rPr>
      </w:pPr>
    </w:p>
    <w:p w14:paraId="4DCC5D82" w14:textId="77777777" w:rsidR="008A777C" w:rsidRDefault="008A777C" w:rsidP="008A777C">
      <w:pPr>
        <w:rPr>
          <w:b/>
          <w:sz w:val="20"/>
          <w:szCs w:val="20"/>
        </w:rPr>
      </w:pPr>
      <w:r>
        <w:rPr>
          <w:b/>
          <w:sz w:val="20"/>
          <w:szCs w:val="20"/>
        </w:rPr>
        <w:t xml:space="preserve">Declaration </w:t>
      </w:r>
    </w:p>
    <w:p w14:paraId="342C1B85" w14:textId="77777777" w:rsidR="008A777C" w:rsidRDefault="008A777C" w:rsidP="008A777C">
      <w:pPr>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3D4116">
            <w:r>
              <w:t xml:space="preserve">By submitting this assessment, I confirm that I have read the CCT policy on Academic Misconduct and understand the implications of submitting work that is not my own or does not appropriately reference material </w:t>
            </w:r>
            <w:proofErr w:type="gramStart"/>
            <w:r>
              <w:t>taken</w:t>
            </w:r>
            <w:proofErr w:type="gramEnd"/>
            <w:r>
              <w:t xml:space="preserve">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3D4116">
            <w:pPr>
              <w:rPr>
                <w:sz w:val="20"/>
                <w:szCs w:val="20"/>
              </w:rPr>
            </w:pPr>
          </w:p>
        </w:tc>
      </w:tr>
    </w:tbl>
    <w:p w14:paraId="79B5172D" w14:textId="77777777" w:rsidR="008A777C" w:rsidRDefault="008A777C" w:rsidP="008A777C">
      <w:pPr>
        <w:spacing w:line="313" w:lineRule="auto"/>
        <w:jc w:val="both"/>
        <w:rPr>
          <w:b/>
          <w:sz w:val="32"/>
          <w:szCs w:val="32"/>
        </w:rPr>
      </w:pPr>
    </w:p>
    <w:p w14:paraId="21FF4C1C" w14:textId="2847B789" w:rsidR="00546546" w:rsidRDefault="00546546" w:rsidP="008A777C">
      <w:pPr>
        <w:spacing w:line="313" w:lineRule="auto"/>
        <w:jc w:val="both"/>
        <w:rPr>
          <w:b/>
          <w:sz w:val="32"/>
          <w:szCs w:val="32"/>
        </w:rPr>
      </w:pPr>
      <w:r>
        <w:rPr>
          <w:b/>
          <w:sz w:val="32"/>
          <w:szCs w:val="32"/>
        </w:rPr>
        <w:lastRenderedPageBreak/>
        <w:t>Acknowledgements</w:t>
      </w:r>
    </w:p>
    <w:p w14:paraId="193A7541" w14:textId="034958DB" w:rsidR="003E5D82" w:rsidRDefault="00546546" w:rsidP="00546546">
      <w:r>
        <w:t xml:space="preserve">The completion of this </w:t>
      </w:r>
      <w:r w:rsidR="003E5D82">
        <w:t>project could not have happened without</w:t>
      </w:r>
      <w:r>
        <w:t xml:space="preserve"> the collective effort and </w:t>
      </w:r>
      <w:r w:rsidR="00600B64">
        <w:t>i</w:t>
      </w:r>
      <w:r w:rsidR="003E5D82">
        <w:t>nput</w:t>
      </w:r>
      <w:r>
        <w:t xml:space="preserve"> of numerous individuals. </w:t>
      </w:r>
      <w:r w:rsidR="003E5D82">
        <w:t>Firstly</w:t>
      </w:r>
      <w:r>
        <w:t>,</w:t>
      </w:r>
      <w:r w:rsidR="003E5D82">
        <w:t xml:space="preserve"> I would like to thank</w:t>
      </w:r>
      <w:r>
        <w:t xml:space="preserve"> my </w:t>
      </w:r>
      <w:r w:rsidR="00600B64">
        <w:t>supervisor</w:t>
      </w:r>
      <w:r>
        <w:t xml:space="preserve">, </w:t>
      </w:r>
      <w:r w:rsidR="003E5D82">
        <w:t>David Gonzalez</w:t>
      </w:r>
      <w:r>
        <w:t xml:space="preserve">, whose guidance </w:t>
      </w:r>
      <w:r w:rsidR="003E5D82">
        <w:t>and support helped keep the research moving</w:t>
      </w:r>
      <w:r>
        <w:t xml:space="preserve">. </w:t>
      </w:r>
      <w:r w:rsidR="003E5D82">
        <w:t xml:space="preserve">Our sessions from the beginning were always fruitful and David helped clear </w:t>
      </w:r>
      <w:r w:rsidR="00600B64">
        <w:t xml:space="preserve">up </w:t>
      </w:r>
      <w:r w:rsidR="003E5D82">
        <w:t xml:space="preserve">any </w:t>
      </w:r>
      <w:r w:rsidR="00600B64">
        <w:t>questions and doubts</w:t>
      </w:r>
      <w:r w:rsidR="003E5D82">
        <w:t xml:space="preserve"> I had. </w:t>
      </w:r>
    </w:p>
    <w:p w14:paraId="2EA6B353" w14:textId="0E3A49FD" w:rsidR="00546546" w:rsidRDefault="003E5D82" w:rsidP="00546546">
      <w:r>
        <w:t xml:space="preserve">I would also like to thank David McQuaid, </w:t>
      </w:r>
      <w:proofErr w:type="spellStart"/>
      <w:r w:rsidR="00546546">
        <w:t>Dr.</w:t>
      </w:r>
      <w:proofErr w:type="spellEnd"/>
      <w:r w:rsidR="00546546">
        <w:t xml:space="preserve"> Muhammad Iqbal and </w:t>
      </w:r>
      <w:r w:rsidRPr="003E5D82">
        <w:t>Marina Iantorno</w:t>
      </w:r>
      <w:r w:rsidR="00546546">
        <w:t xml:space="preserve"> </w:t>
      </w:r>
      <w:r>
        <w:t>for all the effort they put into their evening classes throughout the year that preceded this project.</w:t>
      </w:r>
    </w:p>
    <w:p w14:paraId="220E7A31" w14:textId="483CF94C" w:rsidR="00546546" w:rsidRDefault="00546546" w:rsidP="00546546">
      <w:r>
        <w:t xml:space="preserve">My sincere thanks are also due to the participants who engaged in the interviews, offering valuable perspectives that were crucial in </w:t>
      </w:r>
      <w:r w:rsidR="003E5D82">
        <w:t>identifying relevant variables and features to look for when gathering the data required to carry out the work</w:t>
      </w:r>
      <w:r>
        <w:t xml:space="preserve">. </w:t>
      </w:r>
      <w:r w:rsidR="00600B64">
        <w:t>Of course,</w:t>
      </w:r>
      <w:r w:rsidR="003E5D82">
        <w:t xml:space="preserve"> t</w:t>
      </w:r>
      <w:r>
        <w:t xml:space="preserve">his would not have </w:t>
      </w:r>
      <w:r w:rsidR="003E5D82">
        <w:t>been possible</w:t>
      </w:r>
      <w:r>
        <w:t xml:space="preserve"> without the generous support of the Irish government</w:t>
      </w:r>
      <w:r w:rsidR="003E5D82">
        <w:t xml:space="preserve"> and the</w:t>
      </w:r>
      <w:r w:rsidR="00600B64">
        <w:t>ir fantastic</w:t>
      </w:r>
      <w:r w:rsidR="003E5D82">
        <w:t xml:space="preserve"> Springboard programme wh</w:t>
      </w:r>
      <w:r w:rsidR="00600B64">
        <w:t>ich helps to further the career of so many individuals every year.</w:t>
      </w:r>
    </w:p>
    <w:p w14:paraId="614B5D9D" w14:textId="77777777" w:rsidR="00546546" w:rsidRDefault="00546546" w:rsidP="00546546"/>
    <w:p w14:paraId="4C85197D" w14:textId="77777777" w:rsidR="00546546" w:rsidRDefault="00546546" w:rsidP="00546546"/>
    <w:p w14:paraId="2674D5F9" w14:textId="77777777" w:rsidR="00546546" w:rsidRDefault="00546546" w:rsidP="00546546"/>
    <w:p w14:paraId="4A284FB3" w14:textId="77777777" w:rsidR="00546546" w:rsidRDefault="00546546" w:rsidP="00546546"/>
    <w:p w14:paraId="47BFA8D7" w14:textId="77777777" w:rsidR="00546546" w:rsidRDefault="00546546" w:rsidP="00546546"/>
    <w:p w14:paraId="56E6F29A" w14:textId="77777777" w:rsidR="00546546" w:rsidRDefault="00546546" w:rsidP="00546546"/>
    <w:p w14:paraId="1A1E60C2" w14:textId="77777777" w:rsidR="00546546" w:rsidRDefault="00546546" w:rsidP="00546546"/>
    <w:p w14:paraId="3D383D96" w14:textId="77777777" w:rsidR="00546546" w:rsidRDefault="00546546" w:rsidP="00546546"/>
    <w:p w14:paraId="4E41BB6E" w14:textId="77777777" w:rsidR="00546546" w:rsidRDefault="00546546" w:rsidP="00546546"/>
    <w:p w14:paraId="4E52B02D" w14:textId="77777777" w:rsidR="00546546" w:rsidRDefault="00546546" w:rsidP="00546546"/>
    <w:p w14:paraId="36D79181" w14:textId="77777777" w:rsidR="00546546" w:rsidRDefault="00546546" w:rsidP="00546546"/>
    <w:p w14:paraId="1F5C6CB0" w14:textId="77777777" w:rsidR="00546546" w:rsidRDefault="00546546" w:rsidP="00546546"/>
    <w:p w14:paraId="2B22E81F" w14:textId="77777777" w:rsidR="00546546" w:rsidRDefault="00546546" w:rsidP="00546546"/>
    <w:p w14:paraId="0FB72B8E" w14:textId="77777777" w:rsidR="00600B64" w:rsidRDefault="00600B64" w:rsidP="00546546"/>
    <w:p w14:paraId="28D46281" w14:textId="77777777" w:rsidR="00600B64" w:rsidRDefault="00600B64" w:rsidP="00546546"/>
    <w:p w14:paraId="311BB45D" w14:textId="77777777" w:rsidR="00600B64" w:rsidRDefault="00600B64" w:rsidP="00546546"/>
    <w:p w14:paraId="3CB060EB" w14:textId="77777777" w:rsidR="00600B64" w:rsidRDefault="00600B64" w:rsidP="00546546"/>
    <w:p w14:paraId="1A1385D0" w14:textId="77777777" w:rsidR="00600B64" w:rsidRDefault="00600B64" w:rsidP="00546546"/>
    <w:p w14:paraId="19EA8953" w14:textId="77777777" w:rsidR="00600B64" w:rsidRDefault="00600B64" w:rsidP="00546546"/>
    <w:p w14:paraId="5F87EFF8" w14:textId="77777777" w:rsidR="008A777C" w:rsidRDefault="008A777C" w:rsidP="008A777C"/>
    <w:p w14:paraId="57C49210" w14:textId="77777777" w:rsidR="00600B64" w:rsidRDefault="00600B64" w:rsidP="008A777C"/>
    <w:p w14:paraId="2B1052FF" w14:textId="15AE5941" w:rsidR="00600B64" w:rsidRPr="00600B64" w:rsidRDefault="00600B64" w:rsidP="00600B64">
      <w:pPr>
        <w:jc w:val="center"/>
        <w:rPr>
          <w:sz w:val="24"/>
          <w:szCs w:val="24"/>
          <w:u w:val="single"/>
        </w:rPr>
      </w:pPr>
      <w:r w:rsidRPr="00600B64">
        <w:rPr>
          <w:sz w:val="24"/>
          <w:szCs w:val="24"/>
          <w:u w:val="single"/>
        </w:rPr>
        <w:lastRenderedPageBreak/>
        <w:t>Contents</w:t>
      </w:r>
    </w:p>
    <w:sdt>
      <w:sdtPr>
        <w:id w:val="-2055533835"/>
        <w:docPartObj>
          <w:docPartGallery w:val="Table of Contents"/>
          <w:docPartUnique/>
        </w:docPartObj>
      </w:sdtPr>
      <w:sdtEndPr>
        <w:rPr>
          <w:b/>
          <w:bCs/>
          <w:noProof/>
        </w:rPr>
      </w:sdtEndPr>
      <w:sdtContent>
        <w:p w14:paraId="6FFBEEAA" w14:textId="2F5BDAA7" w:rsidR="00F15619" w:rsidRPr="008A777C" w:rsidRDefault="00F15619" w:rsidP="008A777C"/>
        <w:p w14:paraId="38F316BA" w14:textId="31B2BF46" w:rsidR="00D177E6"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436086" w:history="1">
            <w:r w:rsidR="00D177E6" w:rsidRPr="00030630">
              <w:rPr>
                <w:rStyle w:val="Hyperlink"/>
                <w:noProof/>
              </w:rPr>
              <w:t>1.</w:t>
            </w:r>
            <w:r w:rsidR="00D177E6">
              <w:rPr>
                <w:rFonts w:eastAsiaTheme="minorEastAsia"/>
                <w:noProof/>
                <w:lang w:eastAsia="en-IE"/>
              </w:rPr>
              <w:tab/>
            </w:r>
            <w:r w:rsidR="00D177E6" w:rsidRPr="00030630">
              <w:rPr>
                <w:rStyle w:val="Hyperlink"/>
                <w:noProof/>
              </w:rPr>
              <w:t>Introduction</w:t>
            </w:r>
            <w:r w:rsidR="00D177E6">
              <w:rPr>
                <w:noProof/>
                <w:webHidden/>
              </w:rPr>
              <w:tab/>
            </w:r>
            <w:r w:rsidR="00D177E6">
              <w:rPr>
                <w:noProof/>
                <w:webHidden/>
              </w:rPr>
              <w:fldChar w:fldCharType="begin"/>
            </w:r>
            <w:r w:rsidR="00D177E6">
              <w:rPr>
                <w:noProof/>
                <w:webHidden/>
              </w:rPr>
              <w:instrText xml:space="preserve"> PAGEREF _Toc159436086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60BBB4A3" w14:textId="454B6227" w:rsidR="00D177E6" w:rsidRDefault="00D177E6">
          <w:pPr>
            <w:pStyle w:val="TOC2"/>
            <w:tabs>
              <w:tab w:val="left" w:pos="880"/>
              <w:tab w:val="right" w:leader="dot" w:pos="9016"/>
            </w:tabs>
            <w:rPr>
              <w:rFonts w:eastAsiaTheme="minorEastAsia"/>
              <w:noProof/>
              <w:lang w:eastAsia="en-IE"/>
            </w:rPr>
          </w:pPr>
          <w:hyperlink w:anchor="_Toc159436087" w:history="1">
            <w:r w:rsidRPr="00030630">
              <w:rPr>
                <w:rStyle w:val="Hyperlink"/>
                <w:noProof/>
              </w:rPr>
              <w:t>1.1.</w:t>
            </w:r>
            <w:r>
              <w:rPr>
                <w:rFonts w:eastAsiaTheme="minorEastAsia"/>
                <w:noProof/>
                <w:lang w:eastAsia="en-IE"/>
              </w:rPr>
              <w:tab/>
            </w:r>
            <w:r w:rsidRPr="00030630">
              <w:rPr>
                <w:rStyle w:val="Hyperlink"/>
                <w:noProof/>
              </w:rPr>
              <w:t>Topic Background</w:t>
            </w:r>
            <w:r>
              <w:rPr>
                <w:noProof/>
                <w:webHidden/>
              </w:rPr>
              <w:tab/>
            </w:r>
            <w:r>
              <w:rPr>
                <w:noProof/>
                <w:webHidden/>
              </w:rPr>
              <w:fldChar w:fldCharType="begin"/>
            </w:r>
            <w:r>
              <w:rPr>
                <w:noProof/>
                <w:webHidden/>
              </w:rPr>
              <w:instrText xml:space="preserve"> PAGEREF _Toc159436087 \h </w:instrText>
            </w:r>
            <w:r>
              <w:rPr>
                <w:noProof/>
                <w:webHidden/>
              </w:rPr>
            </w:r>
            <w:r>
              <w:rPr>
                <w:noProof/>
                <w:webHidden/>
              </w:rPr>
              <w:fldChar w:fldCharType="separate"/>
            </w:r>
            <w:r>
              <w:rPr>
                <w:noProof/>
                <w:webHidden/>
              </w:rPr>
              <w:t>5</w:t>
            </w:r>
            <w:r>
              <w:rPr>
                <w:noProof/>
                <w:webHidden/>
              </w:rPr>
              <w:fldChar w:fldCharType="end"/>
            </w:r>
          </w:hyperlink>
        </w:p>
        <w:p w14:paraId="1C0DAD9B" w14:textId="41115C1A" w:rsidR="00D177E6" w:rsidRDefault="00D177E6">
          <w:pPr>
            <w:pStyle w:val="TOC2"/>
            <w:tabs>
              <w:tab w:val="left" w:pos="880"/>
              <w:tab w:val="right" w:leader="dot" w:pos="9016"/>
            </w:tabs>
            <w:rPr>
              <w:rFonts w:eastAsiaTheme="minorEastAsia"/>
              <w:noProof/>
              <w:lang w:eastAsia="en-IE"/>
            </w:rPr>
          </w:pPr>
          <w:hyperlink w:anchor="_Toc159436088" w:history="1">
            <w:r w:rsidRPr="00030630">
              <w:rPr>
                <w:rStyle w:val="Hyperlink"/>
                <w:noProof/>
              </w:rPr>
              <w:t>1.2.</w:t>
            </w:r>
            <w:r>
              <w:rPr>
                <w:rFonts w:eastAsiaTheme="minorEastAsia"/>
                <w:noProof/>
                <w:lang w:eastAsia="en-IE"/>
              </w:rPr>
              <w:tab/>
            </w:r>
            <w:r w:rsidRPr="00030630">
              <w:rPr>
                <w:rStyle w:val="Hyperlink"/>
                <w:noProof/>
              </w:rPr>
              <w:t>Research Objectives</w:t>
            </w:r>
            <w:r>
              <w:rPr>
                <w:noProof/>
                <w:webHidden/>
              </w:rPr>
              <w:tab/>
            </w:r>
            <w:r>
              <w:rPr>
                <w:noProof/>
                <w:webHidden/>
              </w:rPr>
              <w:fldChar w:fldCharType="begin"/>
            </w:r>
            <w:r>
              <w:rPr>
                <w:noProof/>
                <w:webHidden/>
              </w:rPr>
              <w:instrText xml:space="preserve"> PAGEREF _Toc159436088 \h </w:instrText>
            </w:r>
            <w:r>
              <w:rPr>
                <w:noProof/>
                <w:webHidden/>
              </w:rPr>
            </w:r>
            <w:r>
              <w:rPr>
                <w:noProof/>
                <w:webHidden/>
              </w:rPr>
              <w:fldChar w:fldCharType="separate"/>
            </w:r>
            <w:r>
              <w:rPr>
                <w:noProof/>
                <w:webHidden/>
              </w:rPr>
              <w:t>5</w:t>
            </w:r>
            <w:r>
              <w:rPr>
                <w:noProof/>
                <w:webHidden/>
              </w:rPr>
              <w:fldChar w:fldCharType="end"/>
            </w:r>
          </w:hyperlink>
        </w:p>
        <w:p w14:paraId="53C9C55C" w14:textId="75CFF64D" w:rsidR="00D177E6" w:rsidRDefault="00D177E6">
          <w:pPr>
            <w:pStyle w:val="TOC2"/>
            <w:tabs>
              <w:tab w:val="left" w:pos="880"/>
              <w:tab w:val="right" w:leader="dot" w:pos="9016"/>
            </w:tabs>
            <w:rPr>
              <w:rFonts w:eastAsiaTheme="minorEastAsia"/>
              <w:noProof/>
              <w:lang w:eastAsia="en-IE"/>
            </w:rPr>
          </w:pPr>
          <w:hyperlink w:anchor="_Toc159436089" w:history="1">
            <w:r w:rsidRPr="00030630">
              <w:rPr>
                <w:rStyle w:val="Hyperlink"/>
                <w:noProof/>
              </w:rPr>
              <w:t>1.3.</w:t>
            </w:r>
            <w:r>
              <w:rPr>
                <w:rFonts w:eastAsiaTheme="minorEastAsia"/>
                <w:noProof/>
                <w:lang w:eastAsia="en-IE"/>
              </w:rPr>
              <w:tab/>
            </w:r>
            <w:r w:rsidRPr="00030630">
              <w:rPr>
                <w:rStyle w:val="Hyperlink"/>
                <w:noProof/>
              </w:rPr>
              <w:t>Background Research and Related Work</w:t>
            </w:r>
            <w:r>
              <w:rPr>
                <w:noProof/>
                <w:webHidden/>
              </w:rPr>
              <w:tab/>
            </w:r>
            <w:r>
              <w:rPr>
                <w:noProof/>
                <w:webHidden/>
              </w:rPr>
              <w:fldChar w:fldCharType="begin"/>
            </w:r>
            <w:r>
              <w:rPr>
                <w:noProof/>
                <w:webHidden/>
              </w:rPr>
              <w:instrText xml:space="preserve"> PAGEREF _Toc159436089 \h </w:instrText>
            </w:r>
            <w:r>
              <w:rPr>
                <w:noProof/>
                <w:webHidden/>
              </w:rPr>
            </w:r>
            <w:r>
              <w:rPr>
                <w:noProof/>
                <w:webHidden/>
              </w:rPr>
              <w:fldChar w:fldCharType="separate"/>
            </w:r>
            <w:r>
              <w:rPr>
                <w:noProof/>
                <w:webHidden/>
              </w:rPr>
              <w:t>6</w:t>
            </w:r>
            <w:r>
              <w:rPr>
                <w:noProof/>
                <w:webHidden/>
              </w:rPr>
              <w:fldChar w:fldCharType="end"/>
            </w:r>
          </w:hyperlink>
        </w:p>
        <w:p w14:paraId="7EA54125" w14:textId="7124B493" w:rsidR="00D177E6" w:rsidRDefault="00D177E6">
          <w:pPr>
            <w:pStyle w:val="TOC1"/>
            <w:tabs>
              <w:tab w:val="left" w:pos="440"/>
              <w:tab w:val="right" w:leader="dot" w:pos="9016"/>
            </w:tabs>
            <w:rPr>
              <w:rFonts w:eastAsiaTheme="minorEastAsia"/>
              <w:noProof/>
              <w:lang w:eastAsia="en-IE"/>
            </w:rPr>
          </w:pPr>
          <w:hyperlink w:anchor="_Toc159436090" w:history="1">
            <w:r w:rsidRPr="00030630">
              <w:rPr>
                <w:rStyle w:val="Hyperlink"/>
                <w:noProof/>
              </w:rPr>
              <w:t>2.</w:t>
            </w:r>
            <w:r>
              <w:rPr>
                <w:rFonts w:eastAsiaTheme="minorEastAsia"/>
                <w:noProof/>
                <w:lang w:eastAsia="en-IE"/>
              </w:rPr>
              <w:tab/>
            </w:r>
            <w:r w:rsidRPr="00030630">
              <w:rPr>
                <w:rStyle w:val="Hyperlink"/>
                <w:noProof/>
              </w:rPr>
              <w:t>Literature Review</w:t>
            </w:r>
            <w:r>
              <w:rPr>
                <w:noProof/>
                <w:webHidden/>
              </w:rPr>
              <w:tab/>
            </w:r>
            <w:r>
              <w:rPr>
                <w:noProof/>
                <w:webHidden/>
              </w:rPr>
              <w:fldChar w:fldCharType="begin"/>
            </w:r>
            <w:r>
              <w:rPr>
                <w:noProof/>
                <w:webHidden/>
              </w:rPr>
              <w:instrText xml:space="preserve"> PAGEREF _Toc159436090 \h </w:instrText>
            </w:r>
            <w:r>
              <w:rPr>
                <w:noProof/>
                <w:webHidden/>
              </w:rPr>
            </w:r>
            <w:r>
              <w:rPr>
                <w:noProof/>
                <w:webHidden/>
              </w:rPr>
              <w:fldChar w:fldCharType="separate"/>
            </w:r>
            <w:r>
              <w:rPr>
                <w:noProof/>
                <w:webHidden/>
              </w:rPr>
              <w:t>7</w:t>
            </w:r>
            <w:r>
              <w:rPr>
                <w:noProof/>
                <w:webHidden/>
              </w:rPr>
              <w:fldChar w:fldCharType="end"/>
            </w:r>
          </w:hyperlink>
        </w:p>
        <w:p w14:paraId="24C129C5" w14:textId="112D4CE7" w:rsidR="00D177E6" w:rsidRDefault="00D177E6">
          <w:pPr>
            <w:pStyle w:val="TOC2"/>
            <w:tabs>
              <w:tab w:val="left" w:pos="880"/>
              <w:tab w:val="right" w:leader="dot" w:pos="9016"/>
            </w:tabs>
            <w:rPr>
              <w:rFonts w:eastAsiaTheme="minorEastAsia"/>
              <w:noProof/>
              <w:lang w:eastAsia="en-IE"/>
            </w:rPr>
          </w:pPr>
          <w:hyperlink w:anchor="_Toc159436091" w:history="1">
            <w:r w:rsidRPr="00030630">
              <w:rPr>
                <w:rStyle w:val="Hyperlink"/>
                <w:noProof/>
              </w:rPr>
              <w:t>2.1.</w:t>
            </w:r>
            <w:r>
              <w:rPr>
                <w:rFonts w:eastAsiaTheme="minorEastAsia"/>
                <w:noProof/>
                <w:lang w:eastAsia="en-IE"/>
              </w:rPr>
              <w:tab/>
            </w:r>
            <w:r w:rsidRPr="00030630">
              <w:rPr>
                <w:rStyle w:val="Hyperlink"/>
                <w:noProof/>
              </w:rPr>
              <w:t>Approaches to predicting public debt using machine learning</w:t>
            </w:r>
            <w:r>
              <w:rPr>
                <w:noProof/>
                <w:webHidden/>
              </w:rPr>
              <w:tab/>
            </w:r>
            <w:r>
              <w:rPr>
                <w:noProof/>
                <w:webHidden/>
              </w:rPr>
              <w:fldChar w:fldCharType="begin"/>
            </w:r>
            <w:r>
              <w:rPr>
                <w:noProof/>
                <w:webHidden/>
              </w:rPr>
              <w:instrText xml:space="preserve"> PAGEREF _Toc159436091 \h </w:instrText>
            </w:r>
            <w:r>
              <w:rPr>
                <w:noProof/>
                <w:webHidden/>
              </w:rPr>
            </w:r>
            <w:r>
              <w:rPr>
                <w:noProof/>
                <w:webHidden/>
              </w:rPr>
              <w:fldChar w:fldCharType="separate"/>
            </w:r>
            <w:r>
              <w:rPr>
                <w:noProof/>
                <w:webHidden/>
              </w:rPr>
              <w:t>7</w:t>
            </w:r>
            <w:r>
              <w:rPr>
                <w:noProof/>
                <w:webHidden/>
              </w:rPr>
              <w:fldChar w:fldCharType="end"/>
            </w:r>
          </w:hyperlink>
        </w:p>
        <w:p w14:paraId="216C31D3" w14:textId="02638B7E" w:rsidR="00D177E6" w:rsidRDefault="00D177E6">
          <w:pPr>
            <w:pStyle w:val="TOC2"/>
            <w:tabs>
              <w:tab w:val="left" w:pos="880"/>
              <w:tab w:val="right" w:leader="dot" w:pos="9016"/>
            </w:tabs>
            <w:rPr>
              <w:rFonts w:eastAsiaTheme="minorEastAsia"/>
              <w:noProof/>
              <w:lang w:eastAsia="en-IE"/>
            </w:rPr>
          </w:pPr>
          <w:hyperlink w:anchor="_Toc159436092" w:history="1">
            <w:r w:rsidRPr="00030630">
              <w:rPr>
                <w:rStyle w:val="Hyperlink"/>
                <w:noProof/>
              </w:rPr>
              <w:t>2.2.</w:t>
            </w:r>
            <w:r>
              <w:rPr>
                <w:rFonts w:eastAsiaTheme="minorEastAsia"/>
                <w:noProof/>
                <w:lang w:eastAsia="en-IE"/>
              </w:rPr>
              <w:tab/>
            </w:r>
            <w:r w:rsidRPr="00030630">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_Toc159436092 \h </w:instrText>
            </w:r>
            <w:r>
              <w:rPr>
                <w:noProof/>
                <w:webHidden/>
              </w:rPr>
            </w:r>
            <w:r>
              <w:rPr>
                <w:noProof/>
                <w:webHidden/>
              </w:rPr>
              <w:fldChar w:fldCharType="separate"/>
            </w:r>
            <w:r>
              <w:rPr>
                <w:noProof/>
                <w:webHidden/>
              </w:rPr>
              <w:t>9</w:t>
            </w:r>
            <w:r>
              <w:rPr>
                <w:noProof/>
                <w:webHidden/>
              </w:rPr>
              <w:fldChar w:fldCharType="end"/>
            </w:r>
          </w:hyperlink>
        </w:p>
        <w:p w14:paraId="4EC03B86" w14:textId="51F7DBA2" w:rsidR="00D177E6" w:rsidRDefault="00D177E6">
          <w:pPr>
            <w:pStyle w:val="TOC2"/>
            <w:tabs>
              <w:tab w:val="left" w:pos="880"/>
              <w:tab w:val="right" w:leader="dot" w:pos="9016"/>
            </w:tabs>
            <w:rPr>
              <w:rFonts w:eastAsiaTheme="minorEastAsia"/>
              <w:noProof/>
              <w:lang w:eastAsia="en-IE"/>
            </w:rPr>
          </w:pPr>
          <w:hyperlink w:anchor="_Toc159436093" w:history="1">
            <w:r w:rsidRPr="00030630">
              <w:rPr>
                <w:rStyle w:val="Hyperlink"/>
                <w:noProof/>
              </w:rPr>
              <w:t>2.3.</w:t>
            </w:r>
            <w:r>
              <w:rPr>
                <w:rFonts w:eastAsiaTheme="minorEastAsia"/>
                <w:noProof/>
                <w:lang w:eastAsia="en-IE"/>
              </w:rPr>
              <w:tab/>
            </w:r>
            <w:r w:rsidRPr="00030630">
              <w:rPr>
                <w:rStyle w:val="Hyperlink"/>
                <w:noProof/>
              </w:rPr>
              <w:t>Emerging Economies</w:t>
            </w:r>
            <w:r>
              <w:rPr>
                <w:noProof/>
                <w:webHidden/>
              </w:rPr>
              <w:tab/>
            </w:r>
            <w:r>
              <w:rPr>
                <w:noProof/>
                <w:webHidden/>
              </w:rPr>
              <w:fldChar w:fldCharType="begin"/>
            </w:r>
            <w:r>
              <w:rPr>
                <w:noProof/>
                <w:webHidden/>
              </w:rPr>
              <w:instrText xml:space="preserve"> PAGEREF _Toc159436093 \h </w:instrText>
            </w:r>
            <w:r>
              <w:rPr>
                <w:noProof/>
                <w:webHidden/>
              </w:rPr>
            </w:r>
            <w:r>
              <w:rPr>
                <w:noProof/>
                <w:webHidden/>
              </w:rPr>
              <w:fldChar w:fldCharType="separate"/>
            </w:r>
            <w:r>
              <w:rPr>
                <w:noProof/>
                <w:webHidden/>
              </w:rPr>
              <w:t>10</w:t>
            </w:r>
            <w:r>
              <w:rPr>
                <w:noProof/>
                <w:webHidden/>
              </w:rPr>
              <w:fldChar w:fldCharType="end"/>
            </w:r>
          </w:hyperlink>
        </w:p>
        <w:p w14:paraId="3FB875A5" w14:textId="56FEB19E" w:rsidR="00D177E6" w:rsidRDefault="00D177E6">
          <w:pPr>
            <w:pStyle w:val="TOC2"/>
            <w:tabs>
              <w:tab w:val="left" w:pos="880"/>
              <w:tab w:val="right" w:leader="dot" w:pos="9016"/>
            </w:tabs>
            <w:rPr>
              <w:rFonts w:eastAsiaTheme="minorEastAsia"/>
              <w:noProof/>
              <w:lang w:eastAsia="en-IE"/>
            </w:rPr>
          </w:pPr>
          <w:hyperlink w:anchor="_Toc159436094" w:history="1">
            <w:r w:rsidRPr="00030630">
              <w:rPr>
                <w:rStyle w:val="Hyperlink"/>
                <w:noProof/>
              </w:rPr>
              <w:t>2.4.</w:t>
            </w:r>
            <w:r>
              <w:rPr>
                <w:rFonts w:eastAsiaTheme="minorEastAsia"/>
                <w:noProof/>
                <w:lang w:eastAsia="en-IE"/>
              </w:rPr>
              <w:tab/>
            </w:r>
            <w:r w:rsidRPr="00030630">
              <w:rPr>
                <w:rStyle w:val="Hyperlink"/>
                <w:noProof/>
              </w:rPr>
              <w:t>Short Sample Timeseries</w:t>
            </w:r>
            <w:r>
              <w:rPr>
                <w:noProof/>
                <w:webHidden/>
              </w:rPr>
              <w:tab/>
            </w:r>
            <w:r>
              <w:rPr>
                <w:noProof/>
                <w:webHidden/>
              </w:rPr>
              <w:fldChar w:fldCharType="begin"/>
            </w:r>
            <w:r>
              <w:rPr>
                <w:noProof/>
                <w:webHidden/>
              </w:rPr>
              <w:instrText xml:space="preserve"> PAGEREF _Toc159436094 \h </w:instrText>
            </w:r>
            <w:r>
              <w:rPr>
                <w:noProof/>
                <w:webHidden/>
              </w:rPr>
            </w:r>
            <w:r>
              <w:rPr>
                <w:noProof/>
                <w:webHidden/>
              </w:rPr>
              <w:fldChar w:fldCharType="separate"/>
            </w:r>
            <w:r>
              <w:rPr>
                <w:noProof/>
                <w:webHidden/>
              </w:rPr>
              <w:t>11</w:t>
            </w:r>
            <w:r>
              <w:rPr>
                <w:noProof/>
                <w:webHidden/>
              </w:rPr>
              <w:fldChar w:fldCharType="end"/>
            </w:r>
          </w:hyperlink>
        </w:p>
        <w:p w14:paraId="22861F59" w14:textId="6815F18F" w:rsidR="00D177E6" w:rsidRDefault="00D177E6">
          <w:pPr>
            <w:pStyle w:val="TOC1"/>
            <w:tabs>
              <w:tab w:val="left" w:pos="440"/>
              <w:tab w:val="right" w:leader="dot" w:pos="9016"/>
            </w:tabs>
            <w:rPr>
              <w:rFonts w:eastAsiaTheme="minorEastAsia"/>
              <w:noProof/>
              <w:lang w:eastAsia="en-IE"/>
            </w:rPr>
          </w:pPr>
          <w:hyperlink w:anchor="_Toc159436095" w:history="1">
            <w:r w:rsidRPr="00030630">
              <w:rPr>
                <w:rStyle w:val="Hyperlink"/>
                <w:noProof/>
              </w:rPr>
              <w:t>3.</w:t>
            </w:r>
            <w:r>
              <w:rPr>
                <w:rFonts w:eastAsiaTheme="minorEastAsia"/>
                <w:noProof/>
                <w:lang w:eastAsia="en-IE"/>
              </w:rPr>
              <w:tab/>
            </w:r>
            <w:r w:rsidRPr="00030630">
              <w:rPr>
                <w:rStyle w:val="Hyperlink"/>
                <w:noProof/>
              </w:rPr>
              <w:t>Research Framework</w:t>
            </w:r>
            <w:r>
              <w:rPr>
                <w:noProof/>
                <w:webHidden/>
              </w:rPr>
              <w:tab/>
            </w:r>
            <w:r>
              <w:rPr>
                <w:noProof/>
                <w:webHidden/>
              </w:rPr>
              <w:fldChar w:fldCharType="begin"/>
            </w:r>
            <w:r>
              <w:rPr>
                <w:noProof/>
                <w:webHidden/>
              </w:rPr>
              <w:instrText xml:space="preserve"> PAGEREF _Toc159436095 \h </w:instrText>
            </w:r>
            <w:r>
              <w:rPr>
                <w:noProof/>
                <w:webHidden/>
              </w:rPr>
            </w:r>
            <w:r>
              <w:rPr>
                <w:noProof/>
                <w:webHidden/>
              </w:rPr>
              <w:fldChar w:fldCharType="separate"/>
            </w:r>
            <w:r>
              <w:rPr>
                <w:noProof/>
                <w:webHidden/>
              </w:rPr>
              <w:t>11</w:t>
            </w:r>
            <w:r>
              <w:rPr>
                <w:noProof/>
                <w:webHidden/>
              </w:rPr>
              <w:fldChar w:fldCharType="end"/>
            </w:r>
          </w:hyperlink>
        </w:p>
        <w:p w14:paraId="0E6D5C19" w14:textId="14B2AB58" w:rsidR="00D177E6" w:rsidRDefault="00D177E6">
          <w:pPr>
            <w:pStyle w:val="TOC1"/>
            <w:tabs>
              <w:tab w:val="left" w:pos="440"/>
              <w:tab w:val="right" w:leader="dot" w:pos="9016"/>
            </w:tabs>
            <w:rPr>
              <w:rFonts w:eastAsiaTheme="minorEastAsia"/>
              <w:noProof/>
              <w:lang w:eastAsia="en-IE"/>
            </w:rPr>
          </w:pPr>
          <w:hyperlink w:anchor="_Toc159436096" w:history="1">
            <w:r w:rsidRPr="00030630">
              <w:rPr>
                <w:rStyle w:val="Hyperlink"/>
                <w:noProof/>
              </w:rPr>
              <w:t>4.</w:t>
            </w:r>
            <w:r>
              <w:rPr>
                <w:rFonts w:eastAsiaTheme="minorEastAsia"/>
                <w:noProof/>
                <w:lang w:eastAsia="en-IE"/>
              </w:rPr>
              <w:tab/>
            </w:r>
            <w:r w:rsidRPr="00030630">
              <w:rPr>
                <w:rStyle w:val="Hyperlink"/>
                <w:noProof/>
              </w:rPr>
              <w:t>Research Methods</w:t>
            </w:r>
            <w:r>
              <w:rPr>
                <w:noProof/>
                <w:webHidden/>
              </w:rPr>
              <w:tab/>
            </w:r>
            <w:r>
              <w:rPr>
                <w:noProof/>
                <w:webHidden/>
              </w:rPr>
              <w:fldChar w:fldCharType="begin"/>
            </w:r>
            <w:r>
              <w:rPr>
                <w:noProof/>
                <w:webHidden/>
              </w:rPr>
              <w:instrText xml:space="preserve"> PAGEREF _Toc159436096 \h </w:instrText>
            </w:r>
            <w:r>
              <w:rPr>
                <w:noProof/>
                <w:webHidden/>
              </w:rPr>
            </w:r>
            <w:r>
              <w:rPr>
                <w:noProof/>
                <w:webHidden/>
              </w:rPr>
              <w:fldChar w:fldCharType="separate"/>
            </w:r>
            <w:r>
              <w:rPr>
                <w:noProof/>
                <w:webHidden/>
              </w:rPr>
              <w:t>13</w:t>
            </w:r>
            <w:r>
              <w:rPr>
                <w:noProof/>
                <w:webHidden/>
              </w:rPr>
              <w:fldChar w:fldCharType="end"/>
            </w:r>
          </w:hyperlink>
        </w:p>
        <w:p w14:paraId="1472D87E" w14:textId="55684EA0" w:rsidR="00D177E6" w:rsidRDefault="00D177E6">
          <w:pPr>
            <w:pStyle w:val="TOC2"/>
            <w:tabs>
              <w:tab w:val="left" w:pos="880"/>
              <w:tab w:val="right" w:leader="dot" w:pos="9016"/>
            </w:tabs>
            <w:rPr>
              <w:rFonts w:eastAsiaTheme="minorEastAsia"/>
              <w:noProof/>
              <w:lang w:eastAsia="en-IE"/>
            </w:rPr>
          </w:pPr>
          <w:hyperlink w:anchor="_Toc159436097" w:history="1">
            <w:r w:rsidRPr="00030630">
              <w:rPr>
                <w:rStyle w:val="Hyperlink"/>
                <w:noProof/>
              </w:rPr>
              <w:t>4.1.</w:t>
            </w:r>
            <w:r>
              <w:rPr>
                <w:rFonts w:eastAsiaTheme="minorEastAsia"/>
                <w:noProof/>
                <w:lang w:eastAsia="en-IE"/>
              </w:rPr>
              <w:tab/>
            </w:r>
            <w:r w:rsidRPr="00030630">
              <w:rPr>
                <w:rStyle w:val="Hyperlink"/>
                <w:noProof/>
              </w:rPr>
              <w:t>Primary Data</w:t>
            </w:r>
            <w:r>
              <w:rPr>
                <w:noProof/>
                <w:webHidden/>
              </w:rPr>
              <w:tab/>
            </w:r>
            <w:r>
              <w:rPr>
                <w:noProof/>
                <w:webHidden/>
              </w:rPr>
              <w:fldChar w:fldCharType="begin"/>
            </w:r>
            <w:r>
              <w:rPr>
                <w:noProof/>
                <w:webHidden/>
              </w:rPr>
              <w:instrText xml:space="preserve"> PAGEREF _Toc159436097 \h </w:instrText>
            </w:r>
            <w:r>
              <w:rPr>
                <w:noProof/>
                <w:webHidden/>
              </w:rPr>
            </w:r>
            <w:r>
              <w:rPr>
                <w:noProof/>
                <w:webHidden/>
              </w:rPr>
              <w:fldChar w:fldCharType="separate"/>
            </w:r>
            <w:r>
              <w:rPr>
                <w:noProof/>
                <w:webHidden/>
              </w:rPr>
              <w:t>14</w:t>
            </w:r>
            <w:r>
              <w:rPr>
                <w:noProof/>
                <w:webHidden/>
              </w:rPr>
              <w:fldChar w:fldCharType="end"/>
            </w:r>
          </w:hyperlink>
        </w:p>
        <w:p w14:paraId="14E81019" w14:textId="5B7CAB05" w:rsidR="00D177E6" w:rsidRDefault="00D177E6">
          <w:pPr>
            <w:pStyle w:val="TOC2"/>
            <w:tabs>
              <w:tab w:val="left" w:pos="880"/>
              <w:tab w:val="right" w:leader="dot" w:pos="9016"/>
            </w:tabs>
            <w:rPr>
              <w:rFonts w:eastAsiaTheme="minorEastAsia"/>
              <w:noProof/>
              <w:lang w:eastAsia="en-IE"/>
            </w:rPr>
          </w:pPr>
          <w:hyperlink w:anchor="_Toc159436098" w:history="1">
            <w:r w:rsidRPr="00030630">
              <w:rPr>
                <w:rStyle w:val="Hyperlink"/>
                <w:noProof/>
              </w:rPr>
              <w:t>4.2.</w:t>
            </w:r>
            <w:r>
              <w:rPr>
                <w:rFonts w:eastAsiaTheme="minorEastAsia"/>
                <w:noProof/>
                <w:lang w:eastAsia="en-IE"/>
              </w:rPr>
              <w:tab/>
            </w:r>
            <w:r w:rsidRPr="00030630">
              <w:rPr>
                <w:rStyle w:val="Hyperlink"/>
                <w:noProof/>
              </w:rPr>
              <w:t>Secondary data</w:t>
            </w:r>
            <w:r>
              <w:rPr>
                <w:noProof/>
                <w:webHidden/>
              </w:rPr>
              <w:tab/>
            </w:r>
            <w:r>
              <w:rPr>
                <w:noProof/>
                <w:webHidden/>
              </w:rPr>
              <w:fldChar w:fldCharType="begin"/>
            </w:r>
            <w:r>
              <w:rPr>
                <w:noProof/>
                <w:webHidden/>
              </w:rPr>
              <w:instrText xml:space="preserve"> PAGEREF _Toc159436098 \h </w:instrText>
            </w:r>
            <w:r>
              <w:rPr>
                <w:noProof/>
                <w:webHidden/>
              </w:rPr>
            </w:r>
            <w:r>
              <w:rPr>
                <w:noProof/>
                <w:webHidden/>
              </w:rPr>
              <w:fldChar w:fldCharType="separate"/>
            </w:r>
            <w:r>
              <w:rPr>
                <w:noProof/>
                <w:webHidden/>
              </w:rPr>
              <w:t>15</w:t>
            </w:r>
            <w:r>
              <w:rPr>
                <w:noProof/>
                <w:webHidden/>
              </w:rPr>
              <w:fldChar w:fldCharType="end"/>
            </w:r>
          </w:hyperlink>
        </w:p>
        <w:p w14:paraId="25BE5D02" w14:textId="52FDF4C3" w:rsidR="00D177E6" w:rsidRDefault="00D177E6">
          <w:pPr>
            <w:pStyle w:val="TOC2"/>
            <w:tabs>
              <w:tab w:val="left" w:pos="880"/>
              <w:tab w:val="right" w:leader="dot" w:pos="9016"/>
            </w:tabs>
            <w:rPr>
              <w:rFonts w:eastAsiaTheme="minorEastAsia"/>
              <w:noProof/>
              <w:lang w:eastAsia="en-IE"/>
            </w:rPr>
          </w:pPr>
          <w:hyperlink w:anchor="_Toc159436099" w:history="1">
            <w:r w:rsidRPr="00030630">
              <w:rPr>
                <w:rStyle w:val="Hyperlink"/>
                <w:noProof/>
              </w:rPr>
              <w:t>4.3.</w:t>
            </w:r>
            <w:r>
              <w:rPr>
                <w:rFonts w:eastAsiaTheme="minorEastAsia"/>
                <w:noProof/>
                <w:lang w:eastAsia="en-IE"/>
              </w:rPr>
              <w:tab/>
            </w:r>
            <w:r w:rsidRPr="00030630">
              <w:rPr>
                <w:rStyle w:val="Hyperlink"/>
                <w:noProof/>
              </w:rPr>
              <w:t>Data Preparation</w:t>
            </w:r>
            <w:r>
              <w:rPr>
                <w:noProof/>
                <w:webHidden/>
              </w:rPr>
              <w:tab/>
            </w:r>
            <w:r>
              <w:rPr>
                <w:noProof/>
                <w:webHidden/>
              </w:rPr>
              <w:fldChar w:fldCharType="begin"/>
            </w:r>
            <w:r>
              <w:rPr>
                <w:noProof/>
                <w:webHidden/>
              </w:rPr>
              <w:instrText xml:space="preserve"> PAGEREF _Toc159436099 \h </w:instrText>
            </w:r>
            <w:r>
              <w:rPr>
                <w:noProof/>
                <w:webHidden/>
              </w:rPr>
            </w:r>
            <w:r>
              <w:rPr>
                <w:noProof/>
                <w:webHidden/>
              </w:rPr>
              <w:fldChar w:fldCharType="separate"/>
            </w:r>
            <w:r>
              <w:rPr>
                <w:noProof/>
                <w:webHidden/>
              </w:rPr>
              <w:t>15</w:t>
            </w:r>
            <w:r>
              <w:rPr>
                <w:noProof/>
                <w:webHidden/>
              </w:rPr>
              <w:fldChar w:fldCharType="end"/>
            </w:r>
          </w:hyperlink>
        </w:p>
        <w:p w14:paraId="1302EBF9" w14:textId="7F915A55" w:rsidR="00D177E6" w:rsidRDefault="00D177E6">
          <w:pPr>
            <w:pStyle w:val="TOC3"/>
            <w:tabs>
              <w:tab w:val="left" w:pos="1320"/>
              <w:tab w:val="right" w:leader="dot" w:pos="9016"/>
            </w:tabs>
            <w:rPr>
              <w:rFonts w:eastAsiaTheme="minorEastAsia"/>
              <w:noProof/>
              <w:lang w:eastAsia="en-IE"/>
            </w:rPr>
          </w:pPr>
          <w:hyperlink w:anchor="_Toc159436100" w:history="1">
            <w:r w:rsidRPr="00030630">
              <w:rPr>
                <w:rStyle w:val="Hyperlink"/>
                <w:noProof/>
              </w:rPr>
              <w:t>4.3.1.</w:t>
            </w:r>
            <w:r>
              <w:rPr>
                <w:rFonts w:eastAsiaTheme="minorEastAsia"/>
                <w:noProof/>
                <w:lang w:eastAsia="en-IE"/>
              </w:rPr>
              <w:tab/>
            </w:r>
            <w:r w:rsidRPr="00030630">
              <w:rPr>
                <w:rStyle w:val="Hyperlink"/>
                <w:noProof/>
              </w:rPr>
              <w:t>Summary Statistics</w:t>
            </w:r>
            <w:r>
              <w:rPr>
                <w:noProof/>
                <w:webHidden/>
              </w:rPr>
              <w:tab/>
            </w:r>
            <w:r>
              <w:rPr>
                <w:noProof/>
                <w:webHidden/>
              </w:rPr>
              <w:fldChar w:fldCharType="begin"/>
            </w:r>
            <w:r>
              <w:rPr>
                <w:noProof/>
                <w:webHidden/>
              </w:rPr>
              <w:instrText xml:space="preserve"> PAGEREF _Toc159436100 \h </w:instrText>
            </w:r>
            <w:r>
              <w:rPr>
                <w:noProof/>
                <w:webHidden/>
              </w:rPr>
            </w:r>
            <w:r>
              <w:rPr>
                <w:noProof/>
                <w:webHidden/>
              </w:rPr>
              <w:fldChar w:fldCharType="separate"/>
            </w:r>
            <w:r>
              <w:rPr>
                <w:noProof/>
                <w:webHidden/>
              </w:rPr>
              <w:t>15</w:t>
            </w:r>
            <w:r>
              <w:rPr>
                <w:noProof/>
                <w:webHidden/>
              </w:rPr>
              <w:fldChar w:fldCharType="end"/>
            </w:r>
          </w:hyperlink>
        </w:p>
        <w:p w14:paraId="7223658D" w14:textId="0B265D2A" w:rsidR="00D177E6" w:rsidRDefault="00D177E6">
          <w:pPr>
            <w:pStyle w:val="TOC3"/>
            <w:tabs>
              <w:tab w:val="left" w:pos="1320"/>
              <w:tab w:val="right" w:leader="dot" w:pos="9016"/>
            </w:tabs>
            <w:rPr>
              <w:rFonts w:eastAsiaTheme="minorEastAsia"/>
              <w:noProof/>
              <w:lang w:eastAsia="en-IE"/>
            </w:rPr>
          </w:pPr>
          <w:hyperlink w:anchor="_Toc159436101" w:history="1">
            <w:r w:rsidRPr="00030630">
              <w:rPr>
                <w:rStyle w:val="Hyperlink"/>
                <w:noProof/>
              </w:rPr>
              <w:t>4.3.2.</w:t>
            </w:r>
            <w:r>
              <w:rPr>
                <w:rFonts w:eastAsiaTheme="minorEastAsia"/>
                <w:noProof/>
                <w:lang w:eastAsia="en-IE"/>
              </w:rPr>
              <w:tab/>
            </w:r>
            <w:r w:rsidRPr="00030630">
              <w:rPr>
                <w:rStyle w:val="Hyperlink"/>
                <w:noProof/>
              </w:rPr>
              <w:t>Handling Null Records</w:t>
            </w:r>
            <w:r>
              <w:rPr>
                <w:noProof/>
                <w:webHidden/>
              </w:rPr>
              <w:tab/>
            </w:r>
            <w:r>
              <w:rPr>
                <w:noProof/>
                <w:webHidden/>
              </w:rPr>
              <w:fldChar w:fldCharType="begin"/>
            </w:r>
            <w:r>
              <w:rPr>
                <w:noProof/>
                <w:webHidden/>
              </w:rPr>
              <w:instrText xml:space="preserve"> PAGEREF _Toc159436101 \h </w:instrText>
            </w:r>
            <w:r>
              <w:rPr>
                <w:noProof/>
                <w:webHidden/>
              </w:rPr>
            </w:r>
            <w:r>
              <w:rPr>
                <w:noProof/>
                <w:webHidden/>
              </w:rPr>
              <w:fldChar w:fldCharType="separate"/>
            </w:r>
            <w:r>
              <w:rPr>
                <w:noProof/>
                <w:webHidden/>
              </w:rPr>
              <w:t>16</w:t>
            </w:r>
            <w:r>
              <w:rPr>
                <w:noProof/>
                <w:webHidden/>
              </w:rPr>
              <w:fldChar w:fldCharType="end"/>
            </w:r>
          </w:hyperlink>
        </w:p>
        <w:p w14:paraId="52FBD7F8" w14:textId="769FBE22" w:rsidR="00D177E6" w:rsidRDefault="00D177E6">
          <w:pPr>
            <w:pStyle w:val="TOC3"/>
            <w:tabs>
              <w:tab w:val="left" w:pos="1320"/>
              <w:tab w:val="right" w:leader="dot" w:pos="9016"/>
            </w:tabs>
            <w:rPr>
              <w:rFonts w:eastAsiaTheme="minorEastAsia"/>
              <w:noProof/>
              <w:lang w:eastAsia="en-IE"/>
            </w:rPr>
          </w:pPr>
          <w:hyperlink w:anchor="_Toc159436102" w:history="1">
            <w:r w:rsidRPr="00030630">
              <w:rPr>
                <w:rStyle w:val="Hyperlink"/>
                <w:noProof/>
              </w:rPr>
              <w:t>4.3.3.</w:t>
            </w:r>
            <w:r>
              <w:rPr>
                <w:rFonts w:eastAsiaTheme="minorEastAsia"/>
                <w:noProof/>
                <w:lang w:eastAsia="en-IE"/>
              </w:rPr>
              <w:tab/>
            </w:r>
            <w:r w:rsidRPr="00030630">
              <w:rPr>
                <w:rStyle w:val="Hyperlink"/>
                <w:noProof/>
              </w:rPr>
              <w:t>Correlation Coefficients (Pearson/Spearman)</w:t>
            </w:r>
            <w:r>
              <w:rPr>
                <w:noProof/>
                <w:webHidden/>
              </w:rPr>
              <w:tab/>
            </w:r>
            <w:r>
              <w:rPr>
                <w:noProof/>
                <w:webHidden/>
              </w:rPr>
              <w:fldChar w:fldCharType="begin"/>
            </w:r>
            <w:r>
              <w:rPr>
                <w:noProof/>
                <w:webHidden/>
              </w:rPr>
              <w:instrText xml:space="preserve"> PAGEREF _Toc159436102 \h </w:instrText>
            </w:r>
            <w:r>
              <w:rPr>
                <w:noProof/>
                <w:webHidden/>
              </w:rPr>
            </w:r>
            <w:r>
              <w:rPr>
                <w:noProof/>
                <w:webHidden/>
              </w:rPr>
              <w:fldChar w:fldCharType="separate"/>
            </w:r>
            <w:r>
              <w:rPr>
                <w:noProof/>
                <w:webHidden/>
              </w:rPr>
              <w:t>16</w:t>
            </w:r>
            <w:r>
              <w:rPr>
                <w:noProof/>
                <w:webHidden/>
              </w:rPr>
              <w:fldChar w:fldCharType="end"/>
            </w:r>
          </w:hyperlink>
        </w:p>
        <w:p w14:paraId="229927C7" w14:textId="6E99A854" w:rsidR="00D177E6" w:rsidRDefault="00D177E6">
          <w:pPr>
            <w:pStyle w:val="TOC3"/>
            <w:tabs>
              <w:tab w:val="left" w:pos="1320"/>
              <w:tab w:val="right" w:leader="dot" w:pos="9016"/>
            </w:tabs>
            <w:rPr>
              <w:rFonts w:eastAsiaTheme="minorEastAsia"/>
              <w:noProof/>
              <w:lang w:eastAsia="en-IE"/>
            </w:rPr>
          </w:pPr>
          <w:hyperlink w:anchor="_Toc159436103" w:history="1">
            <w:r w:rsidRPr="00030630">
              <w:rPr>
                <w:rStyle w:val="Hyperlink"/>
                <w:noProof/>
              </w:rPr>
              <w:t>4.3.4.</w:t>
            </w:r>
            <w:r>
              <w:rPr>
                <w:rFonts w:eastAsiaTheme="minorEastAsia"/>
                <w:noProof/>
                <w:lang w:eastAsia="en-IE"/>
              </w:rPr>
              <w:tab/>
            </w:r>
            <w:r w:rsidRPr="00030630">
              <w:rPr>
                <w:rStyle w:val="Hyperlink"/>
                <w:noProof/>
              </w:rPr>
              <w:t>Decomposition of the Data</w:t>
            </w:r>
            <w:r>
              <w:rPr>
                <w:noProof/>
                <w:webHidden/>
              </w:rPr>
              <w:tab/>
            </w:r>
            <w:r>
              <w:rPr>
                <w:noProof/>
                <w:webHidden/>
              </w:rPr>
              <w:fldChar w:fldCharType="begin"/>
            </w:r>
            <w:r>
              <w:rPr>
                <w:noProof/>
                <w:webHidden/>
              </w:rPr>
              <w:instrText xml:space="preserve"> PAGEREF _Toc159436103 \h </w:instrText>
            </w:r>
            <w:r>
              <w:rPr>
                <w:noProof/>
                <w:webHidden/>
              </w:rPr>
            </w:r>
            <w:r>
              <w:rPr>
                <w:noProof/>
                <w:webHidden/>
              </w:rPr>
              <w:fldChar w:fldCharType="separate"/>
            </w:r>
            <w:r>
              <w:rPr>
                <w:noProof/>
                <w:webHidden/>
              </w:rPr>
              <w:t>17</w:t>
            </w:r>
            <w:r>
              <w:rPr>
                <w:noProof/>
                <w:webHidden/>
              </w:rPr>
              <w:fldChar w:fldCharType="end"/>
            </w:r>
          </w:hyperlink>
        </w:p>
        <w:p w14:paraId="6897B93C" w14:textId="706C1B23" w:rsidR="00D177E6" w:rsidRDefault="00D177E6">
          <w:pPr>
            <w:pStyle w:val="TOC2"/>
            <w:tabs>
              <w:tab w:val="left" w:pos="880"/>
              <w:tab w:val="right" w:leader="dot" w:pos="9016"/>
            </w:tabs>
            <w:rPr>
              <w:rFonts w:eastAsiaTheme="minorEastAsia"/>
              <w:noProof/>
              <w:lang w:eastAsia="en-IE"/>
            </w:rPr>
          </w:pPr>
          <w:hyperlink w:anchor="_Toc159436104" w:history="1">
            <w:r w:rsidRPr="00030630">
              <w:rPr>
                <w:rStyle w:val="Hyperlink"/>
                <w:noProof/>
              </w:rPr>
              <w:t>4.4.</w:t>
            </w:r>
            <w:r>
              <w:rPr>
                <w:rFonts w:eastAsiaTheme="minorEastAsia"/>
                <w:noProof/>
                <w:lang w:eastAsia="en-IE"/>
              </w:rPr>
              <w:tab/>
            </w:r>
            <w:r w:rsidRPr="00030630">
              <w:rPr>
                <w:rStyle w:val="Hyperlink"/>
                <w:noProof/>
              </w:rPr>
              <w:t>Linear Regression</w:t>
            </w:r>
            <w:r>
              <w:rPr>
                <w:noProof/>
                <w:webHidden/>
              </w:rPr>
              <w:tab/>
            </w:r>
            <w:r>
              <w:rPr>
                <w:noProof/>
                <w:webHidden/>
              </w:rPr>
              <w:fldChar w:fldCharType="begin"/>
            </w:r>
            <w:r>
              <w:rPr>
                <w:noProof/>
                <w:webHidden/>
              </w:rPr>
              <w:instrText xml:space="preserve"> PAGEREF _Toc159436104 \h </w:instrText>
            </w:r>
            <w:r>
              <w:rPr>
                <w:noProof/>
                <w:webHidden/>
              </w:rPr>
            </w:r>
            <w:r>
              <w:rPr>
                <w:noProof/>
                <w:webHidden/>
              </w:rPr>
              <w:fldChar w:fldCharType="separate"/>
            </w:r>
            <w:r>
              <w:rPr>
                <w:noProof/>
                <w:webHidden/>
              </w:rPr>
              <w:t>18</w:t>
            </w:r>
            <w:r>
              <w:rPr>
                <w:noProof/>
                <w:webHidden/>
              </w:rPr>
              <w:fldChar w:fldCharType="end"/>
            </w:r>
          </w:hyperlink>
        </w:p>
        <w:p w14:paraId="1FAA18A0" w14:textId="474C6BFB" w:rsidR="00D177E6" w:rsidRDefault="00D177E6">
          <w:pPr>
            <w:pStyle w:val="TOC2"/>
            <w:tabs>
              <w:tab w:val="left" w:pos="880"/>
              <w:tab w:val="right" w:leader="dot" w:pos="9016"/>
            </w:tabs>
            <w:rPr>
              <w:rFonts w:eastAsiaTheme="minorEastAsia"/>
              <w:noProof/>
              <w:lang w:eastAsia="en-IE"/>
            </w:rPr>
          </w:pPr>
          <w:hyperlink w:anchor="_Toc159436105" w:history="1">
            <w:r w:rsidRPr="00030630">
              <w:rPr>
                <w:rStyle w:val="Hyperlink"/>
                <w:noProof/>
              </w:rPr>
              <w:t>4.5.</w:t>
            </w:r>
            <w:r>
              <w:rPr>
                <w:rFonts w:eastAsiaTheme="minorEastAsia"/>
                <w:noProof/>
                <w:lang w:eastAsia="en-IE"/>
              </w:rPr>
              <w:tab/>
            </w:r>
            <w:r w:rsidRPr="00030630">
              <w:rPr>
                <w:rStyle w:val="Hyperlink"/>
                <w:noProof/>
              </w:rPr>
              <w:t>Random Forest Regressor</w:t>
            </w:r>
            <w:r>
              <w:rPr>
                <w:noProof/>
                <w:webHidden/>
              </w:rPr>
              <w:tab/>
            </w:r>
            <w:r>
              <w:rPr>
                <w:noProof/>
                <w:webHidden/>
              </w:rPr>
              <w:fldChar w:fldCharType="begin"/>
            </w:r>
            <w:r>
              <w:rPr>
                <w:noProof/>
                <w:webHidden/>
              </w:rPr>
              <w:instrText xml:space="preserve"> PAGEREF _Toc159436105 \h </w:instrText>
            </w:r>
            <w:r>
              <w:rPr>
                <w:noProof/>
                <w:webHidden/>
              </w:rPr>
            </w:r>
            <w:r>
              <w:rPr>
                <w:noProof/>
                <w:webHidden/>
              </w:rPr>
              <w:fldChar w:fldCharType="separate"/>
            </w:r>
            <w:r>
              <w:rPr>
                <w:noProof/>
                <w:webHidden/>
              </w:rPr>
              <w:t>19</w:t>
            </w:r>
            <w:r>
              <w:rPr>
                <w:noProof/>
                <w:webHidden/>
              </w:rPr>
              <w:fldChar w:fldCharType="end"/>
            </w:r>
          </w:hyperlink>
        </w:p>
        <w:p w14:paraId="5B7F8631" w14:textId="3E138DAC" w:rsidR="00D177E6" w:rsidRDefault="00D177E6">
          <w:pPr>
            <w:pStyle w:val="TOC2"/>
            <w:tabs>
              <w:tab w:val="left" w:pos="880"/>
              <w:tab w:val="right" w:leader="dot" w:pos="9016"/>
            </w:tabs>
            <w:rPr>
              <w:rFonts w:eastAsiaTheme="minorEastAsia"/>
              <w:noProof/>
              <w:lang w:eastAsia="en-IE"/>
            </w:rPr>
          </w:pPr>
          <w:hyperlink w:anchor="_Toc159436106" w:history="1">
            <w:r w:rsidRPr="00030630">
              <w:rPr>
                <w:rStyle w:val="Hyperlink"/>
                <w:noProof/>
              </w:rPr>
              <w:t>4.6.</w:t>
            </w:r>
            <w:r>
              <w:rPr>
                <w:rFonts w:eastAsiaTheme="minorEastAsia"/>
                <w:noProof/>
                <w:lang w:eastAsia="en-IE"/>
              </w:rPr>
              <w:tab/>
            </w:r>
            <w:r w:rsidRPr="00030630">
              <w:rPr>
                <w:rStyle w:val="Hyperlink"/>
                <w:noProof/>
              </w:rPr>
              <w:t>Gradient Boosting Machines</w:t>
            </w:r>
            <w:r>
              <w:rPr>
                <w:noProof/>
                <w:webHidden/>
              </w:rPr>
              <w:tab/>
            </w:r>
            <w:r>
              <w:rPr>
                <w:noProof/>
                <w:webHidden/>
              </w:rPr>
              <w:fldChar w:fldCharType="begin"/>
            </w:r>
            <w:r>
              <w:rPr>
                <w:noProof/>
                <w:webHidden/>
              </w:rPr>
              <w:instrText xml:space="preserve"> PAGEREF _Toc159436106 \h </w:instrText>
            </w:r>
            <w:r>
              <w:rPr>
                <w:noProof/>
                <w:webHidden/>
              </w:rPr>
            </w:r>
            <w:r>
              <w:rPr>
                <w:noProof/>
                <w:webHidden/>
              </w:rPr>
              <w:fldChar w:fldCharType="separate"/>
            </w:r>
            <w:r>
              <w:rPr>
                <w:noProof/>
                <w:webHidden/>
              </w:rPr>
              <w:t>21</w:t>
            </w:r>
            <w:r>
              <w:rPr>
                <w:noProof/>
                <w:webHidden/>
              </w:rPr>
              <w:fldChar w:fldCharType="end"/>
            </w:r>
          </w:hyperlink>
        </w:p>
        <w:p w14:paraId="464BFE5C" w14:textId="31A2F163" w:rsidR="00D177E6" w:rsidRDefault="00D177E6">
          <w:pPr>
            <w:pStyle w:val="TOC2"/>
            <w:tabs>
              <w:tab w:val="left" w:pos="880"/>
              <w:tab w:val="right" w:leader="dot" w:pos="9016"/>
            </w:tabs>
            <w:rPr>
              <w:rFonts w:eastAsiaTheme="minorEastAsia"/>
              <w:noProof/>
              <w:lang w:eastAsia="en-IE"/>
            </w:rPr>
          </w:pPr>
          <w:hyperlink w:anchor="_Toc159436107" w:history="1">
            <w:r w:rsidRPr="00030630">
              <w:rPr>
                <w:rStyle w:val="Hyperlink"/>
                <w:noProof/>
              </w:rPr>
              <w:t>4.7.</w:t>
            </w:r>
            <w:r>
              <w:rPr>
                <w:rFonts w:eastAsiaTheme="minorEastAsia"/>
                <w:noProof/>
                <w:lang w:eastAsia="en-IE"/>
              </w:rPr>
              <w:tab/>
            </w:r>
            <w:r w:rsidRPr="00030630">
              <w:rPr>
                <w:rStyle w:val="Hyperlink"/>
                <w:noProof/>
              </w:rPr>
              <w:t>Deep Learning Methods (LSTM)</w:t>
            </w:r>
            <w:r>
              <w:rPr>
                <w:noProof/>
                <w:webHidden/>
              </w:rPr>
              <w:tab/>
            </w:r>
            <w:r>
              <w:rPr>
                <w:noProof/>
                <w:webHidden/>
              </w:rPr>
              <w:fldChar w:fldCharType="begin"/>
            </w:r>
            <w:r>
              <w:rPr>
                <w:noProof/>
                <w:webHidden/>
              </w:rPr>
              <w:instrText xml:space="preserve"> PAGEREF _Toc159436107 \h </w:instrText>
            </w:r>
            <w:r>
              <w:rPr>
                <w:noProof/>
                <w:webHidden/>
              </w:rPr>
            </w:r>
            <w:r>
              <w:rPr>
                <w:noProof/>
                <w:webHidden/>
              </w:rPr>
              <w:fldChar w:fldCharType="separate"/>
            </w:r>
            <w:r>
              <w:rPr>
                <w:noProof/>
                <w:webHidden/>
              </w:rPr>
              <w:t>23</w:t>
            </w:r>
            <w:r>
              <w:rPr>
                <w:noProof/>
                <w:webHidden/>
              </w:rPr>
              <w:fldChar w:fldCharType="end"/>
            </w:r>
          </w:hyperlink>
        </w:p>
        <w:p w14:paraId="6C69F339" w14:textId="4F23AC48" w:rsidR="00D177E6" w:rsidRDefault="00D177E6">
          <w:pPr>
            <w:pStyle w:val="TOC1"/>
            <w:tabs>
              <w:tab w:val="left" w:pos="440"/>
              <w:tab w:val="right" w:leader="dot" w:pos="9016"/>
            </w:tabs>
            <w:rPr>
              <w:rFonts w:eastAsiaTheme="minorEastAsia"/>
              <w:noProof/>
              <w:lang w:eastAsia="en-IE"/>
            </w:rPr>
          </w:pPr>
          <w:hyperlink w:anchor="_Toc159436108" w:history="1">
            <w:r w:rsidRPr="00030630">
              <w:rPr>
                <w:rStyle w:val="Hyperlink"/>
                <w:noProof/>
              </w:rPr>
              <w:t>5.</w:t>
            </w:r>
            <w:r>
              <w:rPr>
                <w:rFonts w:eastAsiaTheme="minorEastAsia"/>
                <w:noProof/>
                <w:lang w:eastAsia="en-IE"/>
              </w:rPr>
              <w:tab/>
            </w:r>
            <w:r w:rsidRPr="00030630">
              <w:rPr>
                <w:rStyle w:val="Hyperlink"/>
                <w:noProof/>
              </w:rPr>
              <w:t>Evaluation and Analysis</w:t>
            </w:r>
            <w:r>
              <w:rPr>
                <w:noProof/>
                <w:webHidden/>
              </w:rPr>
              <w:tab/>
            </w:r>
            <w:r>
              <w:rPr>
                <w:noProof/>
                <w:webHidden/>
              </w:rPr>
              <w:fldChar w:fldCharType="begin"/>
            </w:r>
            <w:r>
              <w:rPr>
                <w:noProof/>
                <w:webHidden/>
              </w:rPr>
              <w:instrText xml:space="preserve"> PAGEREF _Toc159436108 \h </w:instrText>
            </w:r>
            <w:r>
              <w:rPr>
                <w:noProof/>
                <w:webHidden/>
              </w:rPr>
            </w:r>
            <w:r>
              <w:rPr>
                <w:noProof/>
                <w:webHidden/>
              </w:rPr>
              <w:fldChar w:fldCharType="separate"/>
            </w:r>
            <w:r>
              <w:rPr>
                <w:noProof/>
                <w:webHidden/>
              </w:rPr>
              <w:t>23</w:t>
            </w:r>
            <w:r>
              <w:rPr>
                <w:noProof/>
                <w:webHidden/>
              </w:rPr>
              <w:fldChar w:fldCharType="end"/>
            </w:r>
          </w:hyperlink>
        </w:p>
        <w:p w14:paraId="37A4CFD0" w14:textId="2EE7DC69" w:rsidR="00D177E6" w:rsidRDefault="00D177E6">
          <w:pPr>
            <w:pStyle w:val="TOC1"/>
            <w:tabs>
              <w:tab w:val="left" w:pos="440"/>
              <w:tab w:val="right" w:leader="dot" w:pos="9016"/>
            </w:tabs>
            <w:rPr>
              <w:rFonts w:eastAsiaTheme="minorEastAsia"/>
              <w:noProof/>
              <w:lang w:eastAsia="en-IE"/>
            </w:rPr>
          </w:pPr>
          <w:hyperlink w:anchor="_Toc159436109" w:history="1">
            <w:r w:rsidRPr="00030630">
              <w:rPr>
                <w:rStyle w:val="Hyperlink"/>
                <w:noProof/>
              </w:rPr>
              <w:t>6.</w:t>
            </w:r>
            <w:r>
              <w:rPr>
                <w:rFonts w:eastAsiaTheme="minorEastAsia"/>
                <w:noProof/>
                <w:lang w:eastAsia="en-IE"/>
              </w:rPr>
              <w:tab/>
            </w:r>
            <w:r w:rsidRPr="00030630">
              <w:rPr>
                <w:rStyle w:val="Hyperlink"/>
                <w:noProof/>
              </w:rPr>
              <w:t>Ethics Considerations</w:t>
            </w:r>
            <w:r>
              <w:rPr>
                <w:noProof/>
                <w:webHidden/>
              </w:rPr>
              <w:tab/>
            </w:r>
            <w:r>
              <w:rPr>
                <w:noProof/>
                <w:webHidden/>
              </w:rPr>
              <w:fldChar w:fldCharType="begin"/>
            </w:r>
            <w:r>
              <w:rPr>
                <w:noProof/>
                <w:webHidden/>
              </w:rPr>
              <w:instrText xml:space="preserve"> PAGEREF _Toc159436109 \h </w:instrText>
            </w:r>
            <w:r>
              <w:rPr>
                <w:noProof/>
                <w:webHidden/>
              </w:rPr>
            </w:r>
            <w:r>
              <w:rPr>
                <w:noProof/>
                <w:webHidden/>
              </w:rPr>
              <w:fldChar w:fldCharType="separate"/>
            </w:r>
            <w:r>
              <w:rPr>
                <w:noProof/>
                <w:webHidden/>
              </w:rPr>
              <w:t>24</w:t>
            </w:r>
            <w:r>
              <w:rPr>
                <w:noProof/>
                <w:webHidden/>
              </w:rPr>
              <w:fldChar w:fldCharType="end"/>
            </w:r>
          </w:hyperlink>
        </w:p>
        <w:p w14:paraId="48C52D03" w14:textId="18B39D41" w:rsidR="00D177E6" w:rsidRDefault="00D177E6">
          <w:pPr>
            <w:pStyle w:val="TOC1"/>
            <w:tabs>
              <w:tab w:val="left" w:pos="440"/>
              <w:tab w:val="right" w:leader="dot" w:pos="9016"/>
            </w:tabs>
            <w:rPr>
              <w:rFonts w:eastAsiaTheme="minorEastAsia"/>
              <w:noProof/>
              <w:lang w:eastAsia="en-IE"/>
            </w:rPr>
          </w:pPr>
          <w:hyperlink w:anchor="_Toc159436110" w:history="1">
            <w:r w:rsidRPr="00030630">
              <w:rPr>
                <w:rStyle w:val="Hyperlink"/>
                <w:noProof/>
              </w:rPr>
              <w:t>7.</w:t>
            </w:r>
            <w:r>
              <w:rPr>
                <w:rFonts w:eastAsiaTheme="minorEastAsia"/>
                <w:noProof/>
                <w:lang w:eastAsia="en-IE"/>
              </w:rPr>
              <w:tab/>
            </w:r>
            <w:r w:rsidRPr="00030630">
              <w:rPr>
                <w:rStyle w:val="Hyperlink"/>
                <w:noProof/>
              </w:rPr>
              <w:t>Conclusion</w:t>
            </w:r>
            <w:r>
              <w:rPr>
                <w:noProof/>
                <w:webHidden/>
              </w:rPr>
              <w:tab/>
            </w:r>
            <w:r>
              <w:rPr>
                <w:noProof/>
                <w:webHidden/>
              </w:rPr>
              <w:fldChar w:fldCharType="begin"/>
            </w:r>
            <w:r>
              <w:rPr>
                <w:noProof/>
                <w:webHidden/>
              </w:rPr>
              <w:instrText xml:space="preserve"> PAGEREF _Toc159436110 \h </w:instrText>
            </w:r>
            <w:r>
              <w:rPr>
                <w:noProof/>
                <w:webHidden/>
              </w:rPr>
            </w:r>
            <w:r>
              <w:rPr>
                <w:noProof/>
                <w:webHidden/>
              </w:rPr>
              <w:fldChar w:fldCharType="separate"/>
            </w:r>
            <w:r>
              <w:rPr>
                <w:noProof/>
                <w:webHidden/>
              </w:rPr>
              <w:t>25</w:t>
            </w:r>
            <w:r>
              <w:rPr>
                <w:noProof/>
                <w:webHidden/>
              </w:rPr>
              <w:fldChar w:fldCharType="end"/>
            </w:r>
          </w:hyperlink>
        </w:p>
        <w:p w14:paraId="4F5CACBF" w14:textId="3E051277" w:rsidR="00D177E6" w:rsidRDefault="00D177E6">
          <w:pPr>
            <w:pStyle w:val="TOC1"/>
            <w:tabs>
              <w:tab w:val="left" w:pos="440"/>
              <w:tab w:val="right" w:leader="dot" w:pos="9016"/>
            </w:tabs>
            <w:rPr>
              <w:rFonts w:eastAsiaTheme="minorEastAsia"/>
              <w:noProof/>
              <w:lang w:eastAsia="en-IE"/>
            </w:rPr>
          </w:pPr>
          <w:hyperlink w:anchor="_Toc159436111" w:history="1">
            <w:r w:rsidRPr="00030630">
              <w:rPr>
                <w:rStyle w:val="Hyperlink"/>
                <w:noProof/>
              </w:rPr>
              <w:t>8.</w:t>
            </w:r>
            <w:r>
              <w:rPr>
                <w:rFonts w:eastAsiaTheme="minorEastAsia"/>
                <w:noProof/>
                <w:lang w:eastAsia="en-IE"/>
              </w:rPr>
              <w:tab/>
            </w:r>
            <w:r w:rsidRPr="00030630">
              <w:rPr>
                <w:rStyle w:val="Hyperlink"/>
                <w:noProof/>
                <w:shd w:val="clear" w:color="auto" w:fill="FFFFFF"/>
              </w:rPr>
              <w:t>References</w:t>
            </w:r>
            <w:r>
              <w:rPr>
                <w:noProof/>
                <w:webHidden/>
              </w:rPr>
              <w:tab/>
            </w:r>
            <w:r>
              <w:rPr>
                <w:noProof/>
                <w:webHidden/>
              </w:rPr>
              <w:fldChar w:fldCharType="begin"/>
            </w:r>
            <w:r>
              <w:rPr>
                <w:noProof/>
                <w:webHidden/>
              </w:rPr>
              <w:instrText xml:space="preserve"> PAGEREF _Toc159436111 \h </w:instrText>
            </w:r>
            <w:r>
              <w:rPr>
                <w:noProof/>
                <w:webHidden/>
              </w:rPr>
            </w:r>
            <w:r>
              <w:rPr>
                <w:noProof/>
                <w:webHidden/>
              </w:rPr>
              <w:fldChar w:fldCharType="separate"/>
            </w:r>
            <w:r>
              <w:rPr>
                <w:noProof/>
                <w:webHidden/>
              </w:rPr>
              <w:t>27</w:t>
            </w:r>
            <w:r>
              <w:rPr>
                <w:noProof/>
                <w:webHidden/>
              </w:rPr>
              <w:fldChar w:fldCharType="end"/>
            </w:r>
          </w:hyperlink>
        </w:p>
        <w:p w14:paraId="2EFFD014" w14:textId="315C015E"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6"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bookmarkStart w:id="0" w:name="_Toc159436086"/>
      <w:r>
        <w:t>Introduction</w:t>
      </w:r>
      <w:bookmarkEnd w:id="0"/>
    </w:p>
    <w:p w14:paraId="1379F328" w14:textId="77777777" w:rsidR="00903BC6" w:rsidRPr="00903BC6" w:rsidRDefault="00903BC6" w:rsidP="00903BC6"/>
    <w:p w14:paraId="58D02C0C" w14:textId="7FC083AF" w:rsidR="00903BC6" w:rsidRDefault="00A3479F" w:rsidP="00C21F4C">
      <w:pPr>
        <w:pStyle w:val="Heading2"/>
      </w:pPr>
      <w:bookmarkStart w:id="1" w:name="_Toc159436087"/>
      <w:r>
        <w:t>Topic Background</w:t>
      </w:r>
      <w:bookmarkEnd w:id="1"/>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w:t>
      </w:r>
      <w:proofErr w:type="gramStart"/>
      <w:r>
        <w:rPr>
          <w:lang w:val="en-US"/>
        </w:rPr>
        <w:t>However</w:t>
      </w:r>
      <w:proofErr w:type="gramEnd"/>
      <w:r>
        <w:rPr>
          <w:lang w:val="en-US"/>
        </w:rPr>
        <w:t xml:space="preserve">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2" w:name="_Toc159436088"/>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436089"/>
      <w:r>
        <w:t>Background Research and Related Work</w:t>
      </w:r>
      <w:bookmarkEnd w:id="3"/>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4" w:name="_Toc159436090"/>
      <w:r w:rsidRPr="00C21F4C">
        <w:t>Literature Review</w:t>
      </w:r>
      <w:bookmarkEnd w:id="4"/>
    </w:p>
    <w:p w14:paraId="6D5A1A45" w14:textId="77777777" w:rsidR="00574665" w:rsidRDefault="00574665" w:rsidP="00574665"/>
    <w:p w14:paraId="52D4E014" w14:textId="2A148D72" w:rsidR="00C21F4C" w:rsidRDefault="000E4963" w:rsidP="00C21F4C">
      <w:pPr>
        <w:pStyle w:val="Heading2"/>
      </w:pPr>
      <w:bookmarkStart w:id="5" w:name="_Toc159436091"/>
      <w:r>
        <w:t>Approaches to</w:t>
      </w:r>
      <w:r w:rsidR="00C21F4C" w:rsidRPr="00C21F4C">
        <w:t xml:space="preserve"> predicting public debt</w:t>
      </w:r>
      <w:r>
        <w:t xml:space="preserve"> using machine learning</w:t>
      </w:r>
      <w:bookmarkEnd w:id="5"/>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w:t>
      </w:r>
      <w:r w:rsidRPr="00EB0D94">
        <w:lastRenderedPageBreak/>
        <w:t>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lastRenderedPageBreak/>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6" w:name="_Toc159436092"/>
      <w:r w:rsidRPr="00672B34">
        <w:t>Identifying Common Features in Deep Learning Models for Public Debt Prediction</w:t>
      </w:r>
      <w:bookmarkEnd w:id="6"/>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lastRenderedPageBreak/>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 xml:space="preserve">They conclude that Fuzzy Timeseries and Fuzzy Decision Trees yield the best results. </w:t>
      </w:r>
      <w:r w:rsidR="00340554">
        <w:t>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w:t>
      </w:r>
      <w:r>
        <w:t xml:space="preserve">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4941F28D" w14:textId="77777777" w:rsidR="00F34255" w:rsidRDefault="00F34255" w:rsidP="00340554"/>
    <w:p w14:paraId="3867E3ED" w14:textId="5D031303" w:rsidR="00835F06" w:rsidRDefault="00835F06" w:rsidP="00835F06">
      <w:pPr>
        <w:pStyle w:val="Heading2"/>
      </w:pPr>
      <w:bookmarkStart w:id="7" w:name="_Toc159436093"/>
      <w:r>
        <w:t>Emerging Economies</w:t>
      </w:r>
      <w:bookmarkEnd w:id="7"/>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w:t>
      </w:r>
      <w:r w:rsidR="00835F06" w:rsidRPr="00374F2E">
        <w:t xml:space="preserve">, </w:t>
      </w:r>
      <w:r w:rsidR="00835F06" w:rsidRPr="00374F2E">
        <w:t>(</w:t>
      </w:r>
      <w:proofErr w:type="spellStart"/>
      <w:r w:rsidR="00835F06" w:rsidRPr="00374F2E">
        <w:t>Dufrénot</w:t>
      </w:r>
      <w:proofErr w:type="spellEnd"/>
      <w:r w:rsidR="00835F06" w:rsidRPr="00374F2E">
        <w:t xml:space="preserve"> and Paret, 2018)</w:t>
      </w:r>
      <w:r w:rsidR="00835F06" w:rsidRPr="00374F2E">
        <w:t xml:space="preserve">, </w:t>
      </w:r>
      <w:r w:rsidR="00835F06" w:rsidRPr="00374F2E">
        <w:t>(</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w:t>
      </w:r>
      <w:r w:rsidR="00374F2E">
        <w:lastRenderedPageBreak/>
        <w:t>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8" w:name="_Toc159436094"/>
      <w:r>
        <w:t>Short Sample Timeseries</w:t>
      </w:r>
      <w:bookmarkEnd w:id="8"/>
    </w:p>
    <w:p w14:paraId="0275A0BC" w14:textId="101319D7" w:rsidR="00374F2E" w:rsidRDefault="00374F2E" w:rsidP="00374F2E"/>
    <w:p w14:paraId="75A3FDF9" w14:textId="0AFD6EAC" w:rsidR="00374F2E" w:rsidRDefault="00BF0D28" w:rsidP="00374F2E">
      <w:r w:rsidRPr="00BF0D28">
        <w:t xml:space="preserve">A review of existing literature on </w:t>
      </w:r>
      <w:proofErr w:type="spellStart"/>
      <w:r w:rsidRPr="00BF0D28">
        <w:t>analyzing</w:t>
      </w:r>
      <w:proofErr w:type="spellEnd"/>
      <w:r w:rsidRPr="00BF0D28">
        <w:t xml:space="preserve">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bookmarkStart w:id="9" w:name="_Toc159436095"/>
      <w:r>
        <w:t>Research Framework</w:t>
      </w:r>
      <w:bookmarkEnd w:id="9"/>
    </w:p>
    <w:p w14:paraId="2ABCA7C0" w14:textId="77777777" w:rsidR="001F3A37" w:rsidRDefault="001F3A37" w:rsidP="001F3A37"/>
    <w:p w14:paraId="764533FE" w14:textId="0DB33F27" w:rsidR="00597A38" w:rsidRDefault="00597A38" w:rsidP="001F3A37">
      <w:r>
        <w:rPr>
          <w:noProof/>
        </w:rPr>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597A38">
      <w:pPr>
        <w:rPr>
          <w:lang w:val="en-US"/>
        </w:rPr>
      </w:pPr>
      <w:r w:rsidRPr="002C33F5">
        <w:rPr>
          <w:lang w:val="en-US"/>
        </w:rPr>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E008558" w14:textId="77777777" w:rsidR="00597A38" w:rsidRPr="00044526" w:rsidRDefault="00597A38" w:rsidP="00597A38">
      <w:pPr>
        <w:rPr>
          <w:i/>
          <w:iCs/>
          <w:lang w:val="en-US"/>
        </w:rPr>
      </w:pPr>
      <w:r w:rsidRPr="00044526">
        <w:rPr>
          <w:i/>
          <w:iCs/>
          <w:lang w:val="en-US"/>
        </w:rPr>
        <w:t>Reasons for Choosing Expert Interviews:</w:t>
      </w:r>
    </w:p>
    <w:p w14:paraId="5508655F" w14:textId="77777777" w:rsidR="00597A38" w:rsidRPr="00597A38" w:rsidRDefault="00597A38" w:rsidP="00597A38">
      <w:pPr>
        <w:rPr>
          <w:i/>
          <w:iCs/>
          <w:u w:val="single"/>
          <w:lang w:val="en-US"/>
        </w:rPr>
      </w:pPr>
      <w:r w:rsidRPr="00597A38">
        <w:rPr>
          <w:i/>
          <w:iCs/>
          <w:u w:val="single"/>
          <w:lang w:val="en-US"/>
        </w:rPr>
        <w:t>Rich Qualitative Insights:</w:t>
      </w:r>
    </w:p>
    <w:p w14:paraId="3E25D6A3" w14:textId="77777777" w:rsidR="00597A38" w:rsidRPr="002C33F5" w:rsidRDefault="00597A38" w:rsidP="00597A38">
      <w:pPr>
        <w:rPr>
          <w:lang w:val="en-US"/>
        </w:rPr>
      </w:pPr>
      <w:r w:rsidRPr="002C33F5">
        <w:rPr>
          <w:lang w:val="en-US"/>
        </w:rPr>
        <w:lastRenderedPageBreak/>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63EDE63B" w14:textId="77777777" w:rsidR="00597A38" w:rsidRPr="00597A38" w:rsidRDefault="00597A38" w:rsidP="00597A38">
      <w:pPr>
        <w:rPr>
          <w:i/>
          <w:iCs/>
          <w:u w:val="single"/>
          <w:lang w:val="en-US"/>
        </w:rPr>
      </w:pPr>
      <w:r w:rsidRPr="00597A38">
        <w:rPr>
          <w:i/>
          <w:iCs/>
          <w:u w:val="single"/>
          <w:lang w:val="en-US"/>
        </w:rPr>
        <w:t>Contextual Understanding:</w:t>
      </w:r>
    </w:p>
    <w:p w14:paraId="38A659B9" w14:textId="77777777" w:rsidR="00597A38" w:rsidRPr="002C33F5" w:rsidRDefault="00597A38" w:rsidP="00597A38">
      <w:pPr>
        <w:rPr>
          <w:lang w:val="en-US"/>
        </w:rPr>
      </w:pPr>
      <w:r w:rsidRPr="002C33F5">
        <w:rPr>
          <w:lang w:val="en-US"/>
        </w:rPr>
        <w:t>Economics is a discipline where contextual understanding is paramount. By engaging in one-on-one interviews with experts, the research can tap into their wealth of contextual knowledge, gaining insights into the specific economic, political, and institutional factors that shape public debt dynamics.</w:t>
      </w:r>
    </w:p>
    <w:p w14:paraId="60CCE473" w14:textId="77777777" w:rsidR="00597A38" w:rsidRPr="002C33F5" w:rsidRDefault="00597A38" w:rsidP="00597A38">
      <w:pPr>
        <w:rPr>
          <w:lang w:val="en-US"/>
        </w:rPr>
      </w:pPr>
    </w:p>
    <w:p w14:paraId="2F64EC3D" w14:textId="77777777" w:rsidR="00597A38" w:rsidRPr="00597A38" w:rsidRDefault="00597A38" w:rsidP="00597A38">
      <w:pPr>
        <w:rPr>
          <w:i/>
          <w:iCs/>
          <w:u w:val="single"/>
          <w:lang w:val="en-US"/>
        </w:rPr>
      </w:pPr>
      <w:r w:rsidRPr="00597A38">
        <w:rPr>
          <w:i/>
          <w:iCs/>
          <w:u w:val="single"/>
          <w:lang w:val="en-US"/>
        </w:rPr>
        <w:t>Validation and Clarification:</w:t>
      </w:r>
    </w:p>
    <w:p w14:paraId="4DC7BF8B" w14:textId="77777777" w:rsidR="00597A38" w:rsidRPr="002C33F5" w:rsidRDefault="00597A38" w:rsidP="00597A38">
      <w:pPr>
        <w:rPr>
          <w:lang w:val="en-US"/>
        </w:rPr>
      </w:pPr>
      <w:r w:rsidRPr="002C33F5">
        <w:rPr>
          <w:lang w:val="en-US"/>
        </w:rPr>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597A38">
      <w:pPr>
        <w:rPr>
          <w:u w:val="single"/>
          <w:lang w:val="en-US"/>
        </w:rPr>
      </w:pPr>
    </w:p>
    <w:p w14:paraId="025232C9" w14:textId="77777777" w:rsidR="00597A38" w:rsidRPr="00597A38" w:rsidRDefault="00597A38" w:rsidP="00597A38">
      <w:pPr>
        <w:rPr>
          <w:i/>
          <w:iCs/>
          <w:u w:val="single"/>
          <w:lang w:val="en-US"/>
        </w:rPr>
      </w:pPr>
      <w:r w:rsidRPr="00597A38">
        <w:rPr>
          <w:i/>
          <w:iCs/>
          <w:u w:val="single"/>
          <w:lang w:val="en-US"/>
        </w:rPr>
        <w:t>Conducting Expert Interviews:</w:t>
      </w:r>
    </w:p>
    <w:p w14:paraId="26730C9C" w14:textId="77777777" w:rsidR="00597A38" w:rsidRPr="002C33F5" w:rsidRDefault="00597A38" w:rsidP="00597A38">
      <w:pPr>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1273F9BF" w14:textId="59550610" w:rsidR="005902DD" w:rsidRDefault="005902DD" w:rsidP="005902DD">
      <w:r>
        <w:t xml:space="preserve">Upon the completion of the interviews, the variables </w:t>
      </w:r>
      <w:r w:rsidR="00D177E6">
        <w:t>decided upon</w:t>
      </w:r>
      <w:r>
        <w:t xml:space="preserve"> will then guide the selection of secondary datasets. These datasets </w:t>
      </w:r>
      <w:r w:rsidR="00D177E6">
        <w:t>will need</w:t>
      </w:r>
      <w:r>
        <w:t xml:space="preserve">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379AB740" w14:textId="1A4162EA" w:rsidR="005902DD" w:rsidRDefault="005902DD" w:rsidP="005902DD">
      <w:r>
        <w:t xml:space="preserve">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w:t>
      </w:r>
    </w:p>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698920A5" w14:textId="35013701" w:rsidR="001F3A37" w:rsidRDefault="001F3A37" w:rsidP="001F3A37">
      <w:r>
        <w:t xml:space="preserve">The </w:t>
      </w:r>
      <w:r w:rsidR="00BF4C95">
        <w:t xml:space="preserve">second last </w:t>
      </w:r>
      <w:r>
        <w:t>phase involves the deployment of four distinct time series models. Each model is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lastRenderedPageBreak/>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3EB9A386" w14:textId="77777777" w:rsidR="0090348E" w:rsidRPr="0090348E" w:rsidRDefault="0090348E" w:rsidP="0090348E"/>
    <w:p w14:paraId="6BA786CD" w14:textId="4F79BDD7" w:rsidR="00997104" w:rsidRPr="00997104" w:rsidRDefault="00FB11FA" w:rsidP="006145FE">
      <w:pPr>
        <w:pStyle w:val="Heading1"/>
      </w:pPr>
      <w:bookmarkStart w:id="10" w:name="_Toc159436096"/>
      <w:r>
        <w:t>Research Methods</w:t>
      </w:r>
      <w:bookmarkEnd w:id="10"/>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11" w:name="_Toc159436097"/>
      <w:r>
        <w:t>Primary Data</w:t>
      </w:r>
      <w:bookmarkEnd w:id="11"/>
    </w:p>
    <w:p w14:paraId="014C31D8" w14:textId="77777777" w:rsidR="006145FE" w:rsidRPr="00B84F23" w:rsidRDefault="006145FE" w:rsidP="006145FE"/>
    <w:p w14:paraId="6320DB0C" w14:textId="77777777" w:rsidR="006145FE" w:rsidRDefault="006145FE" w:rsidP="006145FE">
      <w:r w:rsidRPr="00B84F23">
        <w:lastRenderedPageBreak/>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3D4116">
            <w:pPr>
              <w:widowControl w:val="0"/>
            </w:pPr>
            <w:r>
              <w:rPr>
                <w:b/>
              </w:rPr>
              <w:t>Topics</w:t>
            </w:r>
          </w:p>
        </w:tc>
        <w:tc>
          <w:tcPr>
            <w:tcW w:w="2412" w:type="dxa"/>
          </w:tcPr>
          <w:p w14:paraId="260769B3" w14:textId="77777777" w:rsidR="00D443F6" w:rsidRDefault="00D443F6" w:rsidP="003D4116">
            <w:pPr>
              <w:widowControl w:val="0"/>
            </w:pPr>
            <w:r>
              <w:rPr>
                <w:b/>
              </w:rPr>
              <w:t>Person 1</w:t>
            </w:r>
          </w:p>
        </w:tc>
        <w:tc>
          <w:tcPr>
            <w:tcW w:w="2974" w:type="dxa"/>
          </w:tcPr>
          <w:p w14:paraId="056EC954" w14:textId="77777777" w:rsidR="00D443F6" w:rsidRDefault="00D443F6" w:rsidP="003D4116">
            <w:pPr>
              <w:widowControl w:val="0"/>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3D4116">
            <w:pPr>
              <w:widowControl w:val="0"/>
            </w:pPr>
            <w:r>
              <w:t>Features</w:t>
            </w:r>
          </w:p>
        </w:tc>
        <w:tc>
          <w:tcPr>
            <w:tcW w:w="2412" w:type="dxa"/>
          </w:tcPr>
          <w:p w14:paraId="2D5E0EE0" w14:textId="32C30E86" w:rsidR="00D443F6" w:rsidRDefault="00D443F6" w:rsidP="003D4116">
            <w:pPr>
              <w:widowControl w:val="0"/>
            </w:pPr>
            <w:r>
              <w:t>Inflation Rate</w:t>
            </w:r>
          </w:p>
        </w:tc>
        <w:tc>
          <w:tcPr>
            <w:tcW w:w="2974" w:type="dxa"/>
          </w:tcPr>
          <w:p w14:paraId="0C6D7C46" w14:textId="79A4D98B" w:rsidR="00D443F6" w:rsidRDefault="00D443F6" w:rsidP="003D4116">
            <w:pPr>
              <w:widowControl w:val="0"/>
            </w:pPr>
            <w:r>
              <w:t>GDP and inflation rate</w:t>
            </w:r>
          </w:p>
        </w:tc>
      </w:tr>
      <w:tr w:rsidR="00D443F6" w14:paraId="4D2FF1A8" w14:textId="77777777" w:rsidTr="00D443F6">
        <w:trPr>
          <w:trHeight w:val="1110"/>
        </w:trPr>
        <w:tc>
          <w:tcPr>
            <w:tcW w:w="1552" w:type="dxa"/>
          </w:tcPr>
          <w:p w14:paraId="6234FB43" w14:textId="75D5AD03" w:rsidR="00D443F6" w:rsidRDefault="00D443F6" w:rsidP="003D4116">
            <w:pPr>
              <w:widowControl w:val="0"/>
            </w:pPr>
            <w:r>
              <w:t>Countries</w:t>
            </w:r>
          </w:p>
        </w:tc>
        <w:tc>
          <w:tcPr>
            <w:tcW w:w="2412" w:type="dxa"/>
          </w:tcPr>
          <w:p w14:paraId="25982D1B" w14:textId="6B4BBE5C" w:rsidR="00D443F6" w:rsidRDefault="00D443F6" w:rsidP="003D4116">
            <w:pPr>
              <w:widowControl w:val="0"/>
            </w:pPr>
            <w:r>
              <w:t>Agreed that Denmark and UK would be appropriate countries</w:t>
            </w:r>
          </w:p>
        </w:tc>
        <w:tc>
          <w:tcPr>
            <w:tcW w:w="2974" w:type="dxa"/>
          </w:tcPr>
          <w:p w14:paraId="5A0730A2" w14:textId="4C470246" w:rsidR="00D443F6" w:rsidRDefault="00D443F6" w:rsidP="003D4116">
            <w:pPr>
              <w:widowControl w:val="0"/>
            </w:pPr>
            <w:r>
              <w:t>Agreed that Denmark and UK would be appropriate countries</w:t>
            </w:r>
          </w:p>
        </w:tc>
      </w:tr>
      <w:tr w:rsidR="00D443F6" w14:paraId="65549F72" w14:textId="77777777" w:rsidTr="00D443F6">
        <w:trPr>
          <w:trHeight w:val="780"/>
        </w:trPr>
        <w:tc>
          <w:tcPr>
            <w:tcW w:w="1552" w:type="dxa"/>
          </w:tcPr>
          <w:p w14:paraId="7AE59CBB" w14:textId="77777777" w:rsidR="00D443F6" w:rsidRDefault="00D443F6" w:rsidP="003D4116">
            <w:pPr>
              <w:widowControl w:val="0"/>
              <w:rPr>
                <w:sz w:val="20"/>
                <w:szCs w:val="20"/>
              </w:rPr>
            </w:pPr>
            <w:r>
              <w:t>Methodology</w:t>
            </w:r>
          </w:p>
        </w:tc>
        <w:tc>
          <w:tcPr>
            <w:tcW w:w="2412" w:type="dxa"/>
          </w:tcPr>
          <w:p w14:paraId="55BAB282" w14:textId="77777777" w:rsidR="00D443F6" w:rsidRDefault="00D443F6" w:rsidP="003D4116">
            <w:pPr>
              <w:widowControl w:val="0"/>
              <w:rPr>
                <w:sz w:val="20"/>
                <w:szCs w:val="20"/>
              </w:rPr>
            </w:pPr>
            <w:r>
              <w:t>Agreed</w:t>
            </w:r>
          </w:p>
        </w:tc>
        <w:tc>
          <w:tcPr>
            <w:tcW w:w="2974" w:type="dxa"/>
          </w:tcPr>
          <w:p w14:paraId="765F19BD" w14:textId="77777777" w:rsidR="00D443F6" w:rsidRDefault="00D443F6" w:rsidP="003D4116">
            <w:pPr>
              <w:widowControl w:val="0"/>
            </w:pPr>
            <w:r>
              <w:t>Agreed</w:t>
            </w:r>
          </w:p>
        </w:tc>
      </w:tr>
    </w:tbl>
    <w:p w14:paraId="25FC8BAB" w14:textId="77777777" w:rsidR="00D443F6" w:rsidRDefault="00D443F6" w:rsidP="006145FE"/>
    <w:p w14:paraId="3DD5486E" w14:textId="77777777" w:rsidR="006145FE" w:rsidRDefault="006145FE" w:rsidP="006145FE">
      <w:pPr>
        <w:pStyle w:val="Heading2"/>
      </w:pPr>
      <w:bookmarkStart w:id="12" w:name="_Toc159436098"/>
      <w:r>
        <w:t>Secondary data</w:t>
      </w:r>
      <w:bookmarkEnd w:id="12"/>
    </w:p>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3" w:name="_Toc159436099"/>
      <w:r>
        <w:t>Data Preparation</w:t>
      </w:r>
      <w:bookmarkEnd w:id="13"/>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 xml:space="preserve">ation </w:t>
      </w:r>
      <w:r w:rsidRPr="001638F5">
        <w:lastRenderedPageBreak/>
        <w:t>step is pivotal, providing initial insights into the interrelations and potential predictive dynamics among the variables.</w:t>
      </w:r>
    </w:p>
    <w:p w14:paraId="107F8E70" w14:textId="77777777" w:rsidR="006145FE" w:rsidRDefault="006145FE" w:rsidP="006145FE">
      <w:pPr>
        <w:pStyle w:val="Heading3"/>
      </w:pPr>
      <w:bookmarkStart w:id="14" w:name="_Toc159436100"/>
      <w:r>
        <w:t>Summary Statistics</w:t>
      </w:r>
      <w:bookmarkEnd w:id="14"/>
    </w:p>
    <w:p w14:paraId="0888219A" w14:textId="77777777" w:rsidR="006145FE" w:rsidRDefault="006145FE" w:rsidP="006145FE">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5" w:name="_Toc159436101"/>
      <w:r>
        <w:t>Handling Null Records</w:t>
      </w:r>
      <w:bookmarkEnd w:id="15"/>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6" w:name="_Toc159436102"/>
      <w:r>
        <w:t>Correlation Coefficients (</w:t>
      </w:r>
      <w:r w:rsidRPr="008145B8">
        <w:t>Pearson</w:t>
      </w:r>
      <w:r>
        <w:t>/Spearman)</w:t>
      </w:r>
      <w:bookmarkEnd w:id="16"/>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lastRenderedPageBreak/>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7" w:name="_Toc159436103"/>
      <w:r>
        <w:t>Decomposition of the Data</w:t>
      </w:r>
      <w:bookmarkEnd w:id="17"/>
    </w:p>
    <w:p w14:paraId="66B103D3" w14:textId="77777777" w:rsidR="006145FE" w:rsidRDefault="006145FE" w:rsidP="006145FE">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0E12E5E7" w:rsidR="006145FE" w:rsidRDefault="006145FE" w:rsidP="006145FE">
      <w:r>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xml:space="preserve">. In the case of Ireland's public debt to GDP ratio, the absence of seasonality and residuals after decomposition underlines the data's lack of cyclical or irregular patterns, which could otherwise complicate analysis and forecasting. </w:t>
      </w:r>
    </w:p>
    <w:p w14:paraId="36BDA22A" w14:textId="77777777" w:rsidR="006145FE" w:rsidRPr="008772D4" w:rsidRDefault="006145FE" w:rsidP="006145FE">
      <w:pPr>
        <w:rPr>
          <w:i/>
          <w:iCs/>
          <w:u w:val="single"/>
        </w:rPr>
      </w:pPr>
      <w:r w:rsidRPr="008772D4">
        <w:rPr>
          <w:i/>
          <w:iCs/>
          <w:u w:val="single"/>
        </w:rPr>
        <w:lastRenderedPageBreak/>
        <w:t>Interpretation and Implications</w:t>
      </w:r>
    </w:p>
    <w:p w14:paraId="24030219" w14:textId="060A95E1" w:rsidR="006145FE" w:rsidRDefault="006145FE" w:rsidP="006145FE">
      <w:r>
        <w:t>.</w:t>
      </w:r>
    </w:p>
    <w:p w14:paraId="22742E95" w14:textId="77777777" w:rsidR="006145FE" w:rsidRDefault="006145FE" w:rsidP="006145FE"/>
    <w:p w14:paraId="5E2BD821" w14:textId="5F248CBD"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the absence of seasonality and residuals in historical data does not guarantee that future data will behave similarly. External shocks, policy changes, or significant economic events could introduce new patterns not present in the historical data.</w:t>
      </w:r>
    </w:p>
    <w:p w14:paraId="0C2B47DF" w14:textId="77777777" w:rsidR="006145FE" w:rsidRDefault="006145FE" w:rsidP="006145FE">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bookmarkStart w:id="18" w:name="_Toc159436104"/>
      <w:r w:rsidRPr="00997104">
        <w:t>Linear Regression</w:t>
      </w:r>
      <w:bookmarkEnd w:id="1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w:t>
      </w:r>
      <w:r>
        <w:lastRenderedPageBreak/>
        <w:t>relevance and supporting its use as a foundational tool in economic forecasting and policy-making analysis.</w:t>
      </w:r>
    </w:p>
    <w:p w14:paraId="61087AD0" w14:textId="2EE25F59" w:rsidR="006A0055" w:rsidRPr="006A0055" w:rsidRDefault="006A0055" w:rsidP="006145FE">
      <w:pPr>
        <w:pStyle w:val="Heading2"/>
      </w:pPr>
      <w:bookmarkStart w:id="19" w:name="_Toc159436105"/>
      <w:r>
        <w:t>Random Forest Regressor</w:t>
      </w:r>
      <w:bookmarkEnd w:id="19"/>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5A39F307" w:rsidR="006A0055" w:rsidRDefault="00E1778D" w:rsidP="00E1778D">
      <w:r>
        <w:t xml:space="preserve">The adoption of the Random Forest algorithm in this research </w:t>
      </w:r>
      <w:r w:rsidR="008772D4">
        <w:t>reinforces</w:t>
      </w:r>
      <w:r>
        <w:t xml:space="preserve"> the </w:t>
      </w:r>
      <w:r w:rsidR="008772D4">
        <w:t>search</w:t>
      </w:r>
      <w:r>
        <w:t xml:space="preserve">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w:t>
      </w:r>
      <w:r>
        <w:lastRenderedPageBreak/>
        <w:t xml:space="preserve">model's effectiveness in capturing the intricate dynamics at play, offering valuable predictions that could support evidence-based policy-making. </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465F4B9B"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rsidR="00CE4659">
        <w:t xml:space="preserve"> </w:t>
      </w:r>
      <w:r w:rsidR="00CE4659">
        <w:t>(Yildirim et al.)</w:t>
      </w:r>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1B9DA8D1" w:rsidR="00455DC1" w:rsidRDefault="00455DC1" w:rsidP="00455DC1">
      <w:r>
        <w:t>Hyperparameter tuning is crucial because the default settings for a machine learning algorithm might not be optimal for a specific dataset or problem</w:t>
      </w:r>
      <w:r w:rsidR="00CE4659" w:rsidRPr="00CE4659">
        <w:t xml:space="preserve"> </w:t>
      </w:r>
      <w:r w:rsidR="00CE4659">
        <w:t>(Mohapatra et al.)</w:t>
      </w:r>
      <w:r w:rsidR="00CE4659">
        <w:t>.</w:t>
      </w:r>
      <w:r>
        <w:t xml:space="preserve">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t>
      </w:r>
      <w:r>
        <w:lastRenderedPageBreak/>
        <w:t>without the computational expense of a full grid search, making it an ideal choice for preliminary or large-scale tuning efforts where computational resources or time may be limited.</w:t>
      </w:r>
    </w:p>
    <w:p w14:paraId="6B17091E" w14:textId="1877FB7F" w:rsidR="00455DC1" w:rsidRPr="00455DC1" w:rsidRDefault="00CE4659" w:rsidP="00455DC1">
      <w:r>
        <w:t>H</w:t>
      </w:r>
      <w:r w:rsidR="00455DC1">
        <w:t xml:space="preserve">yperparameter tuning via </w:t>
      </w:r>
      <w:proofErr w:type="spellStart"/>
      <w:r w:rsidR="00455DC1">
        <w:t>RandomizedSearchCV</w:t>
      </w:r>
      <w:proofErr w:type="spellEnd"/>
      <w:r w:rsidR="00455DC1">
        <w:t xml:space="preserve"> represents a strategic effort to optimize the performance of a Random Forest Regressor. </w:t>
      </w:r>
    </w:p>
    <w:p w14:paraId="2BF7D8F3" w14:textId="0A658FF0" w:rsidR="006A0055" w:rsidRDefault="006A0055" w:rsidP="006145FE">
      <w:pPr>
        <w:pStyle w:val="Heading2"/>
      </w:pPr>
      <w:bookmarkStart w:id="20" w:name="_Toc159436106"/>
      <w:r>
        <w:t>Gradient Boosting Machines</w:t>
      </w:r>
      <w:bookmarkEnd w:id="20"/>
    </w:p>
    <w:p w14:paraId="6DFFD2BB" w14:textId="64AAC9CF" w:rsidR="006B4A49" w:rsidRDefault="006B4A49" w:rsidP="006B4A49">
      <w:r>
        <w:t xml:space="preserve">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w:t>
      </w:r>
      <w:r w:rsidR="00CE4659">
        <w:t xml:space="preserve">the same </w:t>
      </w:r>
      <w:r>
        <w:t>economic indicators from Denmark, the United Kingdom, and Ireland, including public debt, inflation rates, and GDP figures.</w:t>
      </w:r>
    </w:p>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21" w:name="_Toc159436107"/>
      <w:r w:rsidRPr="001638F5">
        <w:t>Deep Learning Methods</w:t>
      </w:r>
      <w:r w:rsidR="006A0055">
        <w:t xml:space="preserve"> (LSTM)</w:t>
      </w:r>
      <w:bookmarkEnd w:id="21"/>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2" w:name="_Toc159436108"/>
      <w:r>
        <w:t>Evaluation and Analysis</w:t>
      </w:r>
      <w:bookmarkEnd w:id="22"/>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 xml:space="preserve">Despite its simplicity, the excellent MSE and RMSE values of the Linear Regression model suggest it is quite effective for the given dataset, possibly due to the linear nature of the economic indicators in </w:t>
      </w:r>
      <w:r>
        <w:lastRenderedPageBreak/>
        <w:t>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 xml:space="preserve">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w:t>
      </w:r>
      <w:r>
        <w:lastRenderedPageBreak/>
        <w:t>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3" w:name="_Toc159436109"/>
      <w:r>
        <w:t>Ethics Considerations</w:t>
      </w:r>
      <w:bookmarkEnd w:id="23"/>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4" w:name="_Toc159436110"/>
      <w:r>
        <w:t>Conclusion</w:t>
      </w:r>
      <w:bookmarkEnd w:id="24"/>
    </w:p>
    <w:p w14:paraId="1D7857A0" w14:textId="77777777" w:rsidR="00903BC6" w:rsidRDefault="00903BC6"/>
    <w:p w14:paraId="7918EB29" w14:textId="77777777" w:rsidR="00DC7029" w:rsidRDefault="00DC7029" w:rsidP="00DC7029">
      <w:r>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 xml:space="preserve">In a departure from convention, the study has distinguished itself by delving into the nuanced interplay between economic data and social narratives, seeking to capture the pulse of public debt </w:t>
      </w:r>
      <w:r>
        <w:lastRenderedPageBreak/>
        <w:t>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w:t>
      </w:r>
      <w:r>
        <w:lastRenderedPageBreak/>
        <w:t xml:space="preserve">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5" w:name="_Toc159436111"/>
      <w:r>
        <w:rPr>
          <w:shd w:val="clear" w:color="auto" w:fill="FFFFFF"/>
        </w:rPr>
        <w:t>References</w:t>
      </w:r>
      <w:bookmarkEnd w:id="25"/>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xml:space="preserve">, 51(S), </w:t>
      </w:r>
      <w:proofErr w:type="gramStart"/>
      <w:r>
        <w:rPr>
          <w:rFonts w:ascii="Segoe UI" w:hAnsi="Segoe UI" w:cs="Segoe UI"/>
          <w:color w:val="0D0D0D"/>
          <w:shd w:val="clear" w:color="auto" w:fill="FFFFFF"/>
        </w:rPr>
        <w:t>pp.S</w:t>
      </w:r>
      <w:proofErr w:type="gramEnd"/>
      <w:r>
        <w:rPr>
          <w:rFonts w:ascii="Segoe UI" w:hAnsi="Segoe UI" w:cs="Segoe UI"/>
          <w:color w:val="0D0D0D"/>
          <w:shd w:val="clear" w:color="auto" w:fill="FFFFFF"/>
        </w:rPr>
        <w:t>80-S93.</w:t>
      </w:r>
    </w:p>
    <w:p w14:paraId="152D663F" w14:textId="6B11FCEC"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lastRenderedPageBreak/>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p w14:paraId="7D5DE4E0" w14:textId="77777777" w:rsidR="002F01FB" w:rsidRDefault="002F01FB" w:rsidP="002150D8">
      <w:pPr>
        <w:rPr>
          <w:rFonts w:ascii="Segoe UI" w:hAnsi="Segoe UI" w:cs="Segoe UI"/>
          <w:color w:val="0D0D0D"/>
          <w:shd w:val="clear" w:color="auto" w:fill="FFFFFF"/>
        </w:rPr>
      </w:pPr>
    </w:p>
    <w:p w14:paraId="276BF404" w14:textId="77777777" w:rsidR="002F01FB" w:rsidRDefault="002F01FB" w:rsidP="002F01FB">
      <w:pPr>
        <w:pStyle w:val="NormalWeb"/>
        <w:spacing w:before="0" w:beforeAutospacing="0" w:after="0" w:afterAutospacing="0" w:line="480" w:lineRule="auto"/>
        <w:ind w:left="720" w:hanging="720"/>
      </w:pPr>
      <w:r>
        <w:t xml:space="preserve">Savona, Roberto, and Marika Vezzoli. “Fitting and Forecasting Sovereign Defaults Using Multiple Risk Signals.” </w:t>
      </w:r>
      <w:r>
        <w:rPr>
          <w:i/>
          <w:iCs/>
        </w:rPr>
        <w:t>SSRN Electronic Journal</w:t>
      </w:r>
      <w:r>
        <w:t>, 2011, https://doi.org/10.2139/ssrn.1966552.</w:t>
      </w:r>
    </w:p>
    <w:p w14:paraId="3746E31A" w14:textId="3AE0AD65" w:rsidR="002F01FB" w:rsidRDefault="002F01FB" w:rsidP="002F01FB">
      <w:pPr>
        <w:pStyle w:val="NormalWeb"/>
        <w:spacing w:before="0" w:beforeAutospacing="0" w:after="0" w:afterAutospacing="0" w:line="480" w:lineRule="auto"/>
        <w:ind w:left="720" w:hanging="720"/>
      </w:pPr>
      <w:r>
        <w:t xml:space="preserve">Dawood, Mary, et al. “Predicting Sovereign Debt Crises: An Early Warning System Approach.” </w:t>
      </w:r>
      <w:r>
        <w:rPr>
          <w:i/>
          <w:iCs/>
        </w:rPr>
        <w:t>Journal of Financial Stability</w:t>
      </w:r>
      <w:r>
        <w:t>, vol. 28, Feb. 2017, pp. 16–28, https://doi.org/10.1016/j.jfs.2016.11.008.</w:t>
      </w:r>
    </w:p>
    <w:p w14:paraId="3F43E03C" w14:textId="4C17A667" w:rsidR="002F01FB" w:rsidRDefault="002F01FB" w:rsidP="002150D8">
      <w:pPr>
        <w:rPr>
          <w:rFonts w:ascii="Segoe UI" w:hAnsi="Segoe UI" w:cs="Segoe UI"/>
          <w:color w:val="0D0D0D"/>
          <w:shd w:val="clear" w:color="auto" w:fill="FFFFFF"/>
        </w:rPr>
      </w:pPr>
      <w:r>
        <w:rPr>
          <w:rFonts w:ascii="Segoe UI" w:hAnsi="Segoe UI" w:cs="Segoe UI"/>
          <w:color w:val="0D0D0D"/>
          <w:shd w:val="clear" w:color="auto" w:fill="FFFFFF"/>
        </w:rPr>
        <w:t>Manasse, P., Roubini, N. and Schimmelpfennig, A., 2003. Predicting Sovereign Debt Crises. IMF Working Paper, No. 03/221. Washington, DC: International Monetary Fund, pp.1-41</w:t>
      </w:r>
    </w:p>
    <w:p w14:paraId="07529FC8" w14:textId="1221FB80" w:rsidR="008C6CFF" w:rsidRDefault="008C6CFF" w:rsidP="008C6CFF">
      <w:pPr>
        <w:pStyle w:val="NormalWeb"/>
        <w:spacing w:before="0" w:beforeAutospacing="0" w:after="0" w:afterAutospacing="0" w:line="480" w:lineRule="auto"/>
        <w:ind w:left="720" w:hanging="720"/>
      </w:pPr>
      <w:r>
        <w:t xml:space="preserve">Lin, Chin-Shien, et al. “A New Approach to </w:t>
      </w:r>
      <w:proofErr w:type="spellStart"/>
      <w:r>
        <w:t>Modeling</w:t>
      </w:r>
      <w:proofErr w:type="spellEnd"/>
      <w:r>
        <w:t xml:space="preserve"> Early Warning Systems for Currency Crises: Can a Machine-Learning Fuzzy Expert System Predict the Currency Crises Effectively?” </w:t>
      </w:r>
      <w:r>
        <w:rPr>
          <w:i/>
          <w:iCs/>
        </w:rPr>
        <w:t>Journal of International Money and Finance</w:t>
      </w:r>
      <w:r>
        <w:t xml:space="preserve">, vol. 27, no. 7, Nov. 2008, pp. 1098–1121, </w:t>
      </w:r>
      <w:hyperlink r:id="rId11" w:history="1">
        <w:r w:rsidRPr="00A115AB">
          <w:rPr>
            <w:rStyle w:val="Hyperlink"/>
          </w:rPr>
          <w:t>https://doi.org/10.1016/j.jimonfin.2008.05.006</w:t>
        </w:r>
      </w:hyperlink>
      <w:r>
        <w:t>.</w:t>
      </w:r>
    </w:p>
    <w:p w14:paraId="3DFF49F8" w14:textId="77777777" w:rsidR="008C6CFF" w:rsidRDefault="008C6CFF" w:rsidP="008C6CFF">
      <w:pPr>
        <w:pStyle w:val="NormalWeb"/>
        <w:spacing w:before="0" w:beforeAutospacing="0" w:after="0" w:afterAutospacing="0" w:line="480" w:lineRule="auto"/>
        <w:ind w:left="720" w:hanging="720"/>
      </w:pPr>
    </w:p>
    <w:p w14:paraId="0CB16A07" w14:textId="0703894C" w:rsidR="008C6CFF" w:rsidRDefault="008C6CFF" w:rsidP="008C6CFF">
      <w:pPr>
        <w:pStyle w:val="NormalWeb"/>
        <w:spacing w:before="0" w:beforeAutospacing="0" w:after="0" w:afterAutospacing="0" w:line="480" w:lineRule="auto"/>
        <w:ind w:left="720" w:hanging="720"/>
      </w:pPr>
      <w:r>
        <w:t xml:space="preserve">Yu, Lean, et al. </w:t>
      </w:r>
      <w:r>
        <w:rPr>
          <w:i/>
          <w:iCs/>
        </w:rPr>
        <w:t>CURRENCY CRISIS FORECASTING with GENERAL REGRESSION NEURAL NETWORKS</w:t>
      </w:r>
      <w:r>
        <w:t xml:space="preserve">. 1 Sept. 2006, </w:t>
      </w:r>
      <w:hyperlink r:id="rId12" w:history="1">
        <w:r w:rsidRPr="00A115AB">
          <w:rPr>
            <w:rStyle w:val="Hyperlink"/>
          </w:rPr>
          <w:t>https://doi.org/10.1142/s0219622006002040</w:t>
        </w:r>
      </w:hyperlink>
    </w:p>
    <w:p w14:paraId="7FF400F6" w14:textId="77777777" w:rsidR="008C6CFF" w:rsidRDefault="008C6CFF" w:rsidP="008C6CFF">
      <w:pPr>
        <w:pStyle w:val="NormalWeb"/>
        <w:spacing w:before="0" w:beforeAutospacing="0" w:after="0" w:afterAutospacing="0" w:line="480" w:lineRule="auto"/>
        <w:ind w:left="720" w:hanging="720"/>
      </w:pPr>
    </w:p>
    <w:p w14:paraId="1A20EC95" w14:textId="77777777" w:rsidR="00C475EB" w:rsidRDefault="00C475EB" w:rsidP="00C475EB">
      <w:pPr>
        <w:pStyle w:val="NormalWeb"/>
        <w:spacing w:before="0" w:beforeAutospacing="0" w:after="0" w:afterAutospacing="0" w:line="480" w:lineRule="auto"/>
        <w:ind w:left="720" w:hanging="720"/>
      </w:pPr>
      <w:r>
        <w:t xml:space="preserve">Zhou, </w:t>
      </w:r>
      <w:proofErr w:type="spellStart"/>
      <w:r>
        <w:t>Ligang</w:t>
      </w:r>
      <w:proofErr w:type="spellEnd"/>
      <w:r>
        <w:t xml:space="preserve">, and Kin Keung Lai. “AdaBoost Models for Corporate Bankruptcy Prediction with Missing Data.” </w:t>
      </w:r>
      <w:r>
        <w:rPr>
          <w:i/>
          <w:iCs/>
        </w:rPr>
        <w:t>Computational Economics</w:t>
      </w:r>
      <w:r>
        <w:t>, vol. 50, no. 1, 21 Apr. 2016, pp. 69–94, https://doi.org/10.1007/s10614-016-9581-4. Accessed 19 Apr. 2022.</w:t>
      </w:r>
    </w:p>
    <w:p w14:paraId="5A5FB296" w14:textId="781CC75A" w:rsidR="008C6CFF" w:rsidRDefault="00C475EB" w:rsidP="008C6CFF">
      <w:pPr>
        <w:pStyle w:val="NormalWeb"/>
        <w:spacing w:before="0" w:beforeAutospacing="0" w:after="0" w:afterAutospacing="0" w:line="480" w:lineRule="auto"/>
        <w:ind w:left="720" w:hanging="720"/>
      </w:pPr>
      <w:r>
        <w:rPr>
          <w:rFonts w:ascii="Segoe UI" w:hAnsi="Segoe UI" w:cs="Segoe UI"/>
          <w:color w:val="0D0D0D"/>
          <w:shd w:val="clear" w:color="auto" w:fill="FFFFFF"/>
        </w:rPr>
        <w:lastRenderedPageBreak/>
        <w:t xml:space="preserve">Efimov, D. and Sulieman, H., 2015. Sobol Sensitivity: A Strategy for Feature Selection. In: </w:t>
      </w:r>
      <w:r>
        <w:rPr>
          <w:rStyle w:val="Emphasis"/>
          <w:rFonts w:ascii="Segoe UI" w:hAnsi="Segoe UI" w:cs="Segoe UI"/>
          <w:color w:val="0D0D0D"/>
          <w:bdr w:val="single" w:sz="2" w:space="0" w:color="E3E3E3" w:frame="1"/>
          <w:shd w:val="clear" w:color="auto" w:fill="FFFFFF"/>
        </w:rPr>
        <w:t>Mathematics across Contemporary Sciences; AUS-ICMS 2015</w:t>
      </w:r>
      <w:r>
        <w:rPr>
          <w:rFonts w:ascii="Segoe UI" w:hAnsi="Segoe UI" w:cs="Segoe UI"/>
          <w:color w:val="0D0D0D"/>
          <w:shd w:val="clear" w:color="auto" w:fill="FFFFFF"/>
        </w:rPr>
        <w:t>, Springer Proceedings in Mathematics &amp; Statistics, 190. Cham: Springer.</w:t>
      </w:r>
    </w:p>
    <w:p w14:paraId="2D2341CD" w14:textId="77777777" w:rsidR="00C475EB" w:rsidRDefault="00C475EB" w:rsidP="00C475EB">
      <w:pPr>
        <w:pStyle w:val="NormalWeb"/>
        <w:spacing w:before="0" w:beforeAutospacing="0" w:after="0" w:afterAutospacing="0" w:line="480" w:lineRule="auto"/>
        <w:ind w:left="720" w:hanging="720"/>
      </w:pPr>
      <w:r>
        <w:t xml:space="preserve">Wang, </w:t>
      </w:r>
      <w:proofErr w:type="spellStart"/>
      <w:r>
        <w:t>Weijie</w:t>
      </w:r>
      <w:proofErr w:type="spellEnd"/>
      <w:r>
        <w:t xml:space="preserve">, and Yanmin Lu. “Analysis of the Mean Absolute Error (MAE) and the Root Mean Square Error (RMSE) in Assessing Rounding Model.” </w:t>
      </w:r>
      <w:r>
        <w:rPr>
          <w:i/>
          <w:iCs/>
        </w:rPr>
        <w:t>IOP Conference Series: Materials Science and Engineering</w:t>
      </w:r>
      <w:r>
        <w:t>, vol. 324, Mar. 2018, p. 012049, https://doi.org/10.1088/1757-899x/324/1/012049. Accessed 2 Jan. 2020.</w:t>
      </w:r>
    </w:p>
    <w:p w14:paraId="0EEC3518" w14:textId="77777777" w:rsidR="00CE4659" w:rsidRDefault="00CE4659" w:rsidP="00CE4659">
      <w:pPr>
        <w:pStyle w:val="NormalWeb"/>
        <w:spacing w:before="0" w:beforeAutospacing="0" w:after="0" w:afterAutospacing="0" w:line="480" w:lineRule="auto"/>
        <w:ind w:left="720" w:hanging="720"/>
      </w:pPr>
      <w:r>
        <w:t xml:space="preserve">Mohapatra, Shubhankar, et al. “The Role of Adaptive Optimizers for Honest Private Hyperparameter Selection.” </w:t>
      </w:r>
      <w:proofErr w:type="spellStart"/>
      <w:r>
        <w:rPr>
          <w:i/>
          <w:iCs/>
        </w:rPr>
        <w:t>ArXiv</w:t>
      </w:r>
      <w:proofErr w:type="spellEnd"/>
      <w:r>
        <w:rPr>
          <w:i/>
          <w:iCs/>
        </w:rPr>
        <w:t xml:space="preserve"> (Cornell University)</w:t>
      </w:r>
      <w:r>
        <w:t>, 8 Nov. 2021, https://doi.org/10.48550/arxiv.2111.04906. Accessed 22 Feb. 2024.</w:t>
      </w:r>
    </w:p>
    <w:p w14:paraId="1CE59B47" w14:textId="77777777" w:rsidR="00CE4659" w:rsidRDefault="00CE4659" w:rsidP="00CE4659">
      <w:pPr>
        <w:pStyle w:val="NormalWeb"/>
        <w:spacing w:before="0" w:beforeAutospacing="0" w:after="0" w:afterAutospacing="0" w:line="480" w:lineRule="auto"/>
        <w:ind w:left="720" w:hanging="720"/>
      </w:pPr>
      <w:r>
        <w:t xml:space="preserve">Yildirim, Batuhan, et al. </w:t>
      </w:r>
      <w:r>
        <w:rPr>
          <w:i/>
          <w:iCs/>
        </w:rPr>
        <w:t>Machine Failure Prediction</w:t>
      </w:r>
      <w:proofErr w:type="gramStart"/>
      <w:r>
        <w:rPr>
          <w:i/>
          <w:iCs/>
        </w:rPr>
        <w:t>: :</w:t>
      </w:r>
      <w:proofErr w:type="gramEnd"/>
      <w:r>
        <w:rPr>
          <w:i/>
          <w:iCs/>
        </w:rPr>
        <w:t xml:space="preserve"> A Comparative Anomaly Detection</w:t>
      </w:r>
      <w:r>
        <w:t>. 11 Oct. 2023, https://doi.org/10.1109/asyu58738.2023.10296599. Accessed 22 Feb. 2024.</w:t>
      </w:r>
    </w:p>
    <w:p w14:paraId="1B8BE7F4" w14:textId="77777777" w:rsidR="008C6CFF" w:rsidRPr="002150D8" w:rsidRDefault="008C6CFF" w:rsidP="002150D8"/>
    <w:sectPr w:rsidR="008C6CFF"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27BFC"/>
    <w:rsid w:val="00057E79"/>
    <w:rsid w:val="000E42FF"/>
    <w:rsid w:val="000E4963"/>
    <w:rsid w:val="001353AF"/>
    <w:rsid w:val="001530D8"/>
    <w:rsid w:val="001638F5"/>
    <w:rsid w:val="001E15E0"/>
    <w:rsid w:val="001F3A37"/>
    <w:rsid w:val="002150D8"/>
    <w:rsid w:val="002F01FB"/>
    <w:rsid w:val="00340554"/>
    <w:rsid w:val="00374F2E"/>
    <w:rsid w:val="003E5D82"/>
    <w:rsid w:val="004272E5"/>
    <w:rsid w:val="00432031"/>
    <w:rsid w:val="00442028"/>
    <w:rsid w:val="00455DC1"/>
    <w:rsid w:val="004A0B38"/>
    <w:rsid w:val="00546546"/>
    <w:rsid w:val="00567DE2"/>
    <w:rsid w:val="00574665"/>
    <w:rsid w:val="005902DD"/>
    <w:rsid w:val="00597A38"/>
    <w:rsid w:val="005B46D6"/>
    <w:rsid w:val="00600B64"/>
    <w:rsid w:val="006145FE"/>
    <w:rsid w:val="00672B34"/>
    <w:rsid w:val="006A0055"/>
    <w:rsid w:val="006B4A49"/>
    <w:rsid w:val="00735856"/>
    <w:rsid w:val="0076516D"/>
    <w:rsid w:val="00777515"/>
    <w:rsid w:val="007C2323"/>
    <w:rsid w:val="007D1BAF"/>
    <w:rsid w:val="008145B8"/>
    <w:rsid w:val="0081531F"/>
    <w:rsid w:val="008249B5"/>
    <w:rsid w:val="00835F06"/>
    <w:rsid w:val="0085608A"/>
    <w:rsid w:val="008772D4"/>
    <w:rsid w:val="008A777C"/>
    <w:rsid w:val="008C6CFF"/>
    <w:rsid w:val="008F0B8F"/>
    <w:rsid w:val="009032C1"/>
    <w:rsid w:val="0090348E"/>
    <w:rsid w:val="009036CE"/>
    <w:rsid w:val="00903BC6"/>
    <w:rsid w:val="009136A4"/>
    <w:rsid w:val="009478D3"/>
    <w:rsid w:val="00973C0D"/>
    <w:rsid w:val="00997104"/>
    <w:rsid w:val="009E09A8"/>
    <w:rsid w:val="00A3479F"/>
    <w:rsid w:val="00A66E2C"/>
    <w:rsid w:val="00A92695"/>
    <w:rsid w:val="00B55B77"/>
    <w:rsid w:val="00B84F23"/>
    <w:rsid w:val="00BB79D0"/>
    <w:rsid w:val="00BD70FE"/>
    <w:rsid w:val="00BF0D28"/>
    <w:rsid w:val="00BF1211"/>
    <w:rsid w:val="00BF4C95"/>
    <w:rsid w:val="00C21F4C"/>
    <w:rsid w:val="00C475EB"/>
    <w:rsid w:val="00C547A0"/>
    <w:rsid w:val="00CE4659"/>
    <w:rsid w:val="00CF7279"/>
    <w:rsid w:val="00D177E6"/>
    <w:rsid w:val="00D443F6"/>
    <w:rsid w:val="00DC7029"/>
    <w:rsid w:val="00DD65A4"/>
    <w:rsid w:val="00DF3BB8"/>
    <w:rsid w:val="00E14932"/>
    <w:rsid w:val="00E1778D"/>
    <w:rsid w:val="00E76A98"/>
    <w:rsid w:val="00E952BA"/>
    <w:rsid w:val="00EB0D94"/>
    <w:rsid w:val="00EF456C"/>
    <w:rsid w:val="00F00FAB"/>
    <w:rsid w:val="00F15619"/>
    <w:rsid w:val="00F34255"/>
    <w:rsid w:val="00F4308A"/>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166096112">
      <w:bodyDiv w:val="1"/>
      <w:marLeft w:val="0"/>
      <w:marRight w:val="0"/>
      <w:marTop w:val="0"/>
      <w:marBottom w:val="0"/>
      <w:divBdr>
        <w:top w:val="none" w:sz="0" w:space="0" w:color="auto"/>
        <w:left w:val="none" w:sz="0" w:space="0" w:color="auto"/>
        <w:bottom w:val="none" w:sz="0" w:space="0" w:color="auto"/>
        <w:right w:val="none" w:sz="0" w:space="0" w:color="auto"/>
      </w:divBdr>
      <w:divsChild>
        <w:div w:id="1023630359">
          <w:marLeft w:val="-720"/>
          <w:marRight w:val="0"/>
          <w:marTop w:val="0"/>
          <w:marBottom w:val="0"/>
          <w:divBdr>
            <w:top w:val="none" w:sz="0" w:space="0" w:color="auto"/>
            <w:left w:val="none" w:sz="0" w:space="0" w:color="auto"/>
            <w:bottom w:val="none" w:sz="0" w:space="0" w:color="auto"/>
            <w:right w:val="none" w:sz="0" w:space="0" w:color="auto"/>
          </w:divBdr>
        </w:div>
      </w:divsChild>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31822439">
      <w:bodyDiv w:val="1"/>
      <w:marLeft w:val="0"/>
      <w:marRight w:val="0"/>
      <w:marTop w:val="0"/>
      <w:marBottom w:val="0"/>
      <w:divBdr>
        <w:top w:val="none" w:sz="0" w:space="0" w:color="auto"/>
        <w:left w:val="none" w:sz="0" w:space="0" w:color="auto"/>
        <w:bottom w:val="none" w:sz="0" w:space="0" w:color="auto"/>
        <w:right w:val="none" w:sz="0" w:space="0" w:color="auto"/>
      </w:divBdr>
      <w:divsChild>
        <w:div w:id="2136094981">
          <w:marLeft w:val="-720"/>
          <w:marRight w:val="0"/>
          <w:marTop w:val="0"/>
          <w:marBottom w:val="0"/>
          <w:divBdr>
            <w:top w:val="none" w:sz="0" w:space="0" w:color="auto"/>
            <w:left w:val="none" w:sz="0" w:space="0" w:color="auto"/>
            <w:bottom w:val="none" w:sz="0" w:space="0" w:color="auto"/>
            <w:right w:val="none" w:sz="0" w:space="0" w:color="auto"/>
          </w:divBdr>
        </w:div>
      </w:divsChild>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527373301">
      <w:bodyDiv w:val="1"/>
      <w:marLeft w:val="0"/>
      <w:marRight w:val="0"/>
      <w:marTop w:val="0"/>
      <w:marBottom w:val="0"/>
      <w:divBdr>
        <w:top w:val="none" w:sz="0" w:space="0" w:color="auto"/>
        <w:left w:val="none" w:sz="0" w:space="0" w:color="auto"/>
        <w:bottom w:val="none" w:sz="0" w:space="0" w:color="auto"/>
        <w:right w:val="none" w:sz="0" w:space="0" w:color="auto"/>
      </w:divBdr>
      <w:divsChild>
        <w:div w:id="1536886915">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774714766">
      <w:bodyDiv w:val="1"/>
      <w:marLeft w:val="0"/>
      <w:marRight w:val="0"/>
      <w:marTop w:val="0"/>
      <w:marBottom w:val="0"/>
      <w:divBdr>
        <w:top w:val="none" w:sz="0" w:space="0" w:color="auto"/>
        <w:left w:val="none" w:sz="0" w:space="0" w:color="auto"/>
        <w:bottom w:val="none" w:sz="0" w:space="0" w:color="auto"/>
        <w:right w:val="none" w:sz="0" w:space="0" w:color="auto"/>
      </w:divBdr>
      <w:divsChild>
        <w:div w:id="1341001990">
          <w:marLeft w:val="-720"/>
          <w:marRight w:val="0"/>
          <w:marTop w:val="0"/>
          <w:marBottom w:val="0"/>
          <w:divBdr>
            <w:top w:val="none" w:sz="0" w:space="0" w:color="auto"/>
            <w:left w:val="none" w:sz="0" w:space="0" w:color="auto"/>
            <w:bottom w:val="none" w:sz="0" w:space="0" w:color="auto"/>
            <w:right w:val="none" w:sz="0" w:space="0" w:color="auto"/>
          </w:divBdr>
        </w:div>
      </w:divsChild>
    </w:div>
    <w:div w:id="869951631">
      <w:bodyDiv w:val="1"/>
      <w:marLeft w:val="0"/>
      <w:marRight w:val="0"/>
      <w:marTop w:val="0"/>
      <w:marBottom w:val="0"/>
      <w:divBdr>
        <w:top w:val="none" w:sz="0" w:space="0" w:color="auto"/>
        <w:left w:val="none" w:sz="0" w:space="0" w:color="auto"/>
        <w:bottom w:val="none" w:sz="0" w:space="0" w:color="auto"/>
        <w:right w:val="none" w:sz="0" w:space="0" w:color="auto"/>
      </w:divBdr>
      <w:divsChild>
        <w:div w:id="441385155">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984360036">
      <w:bodyDiv w:val="1"/>
      <w:marLeft w:val="0"/>
      <w:marRight w:val="0"/>
      <w:marTop w:val="0"/>
      <w:marBottom w:val="0"/>
      <w:divBdr>
        <w:top w:val="none" w:sz="0" w:space="0" w:color="auto"/>
        <w:left w:val="none" w:sz="0" w:space="0" w:color="auto"/>
        <w:bottom w:val="none" w:sz="0" w:space="0" w:color="auto"/>
        <w:right w:val="none" w:sz="0" w:space="0" w:color="auto"/>
      </w:divBdr>
      <w:divsChild>
        <w:div w:id="1161308241">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494221128">
      <w:bodyDiv w:val="1"/>
      <w:marLeft w:val="0"/>
      <w:marRight w:val="0"/>
      <w:marTop w:val="0"/>
      <w:marBottom w:val="0"/>
      <w:divBdr>
        <w:top w:val="none" w:sz="0" w:space="0" w:color="auto"/>
        <w:left w:val="none" w:sz="0" w:space="0" w:color="auto"/>
        <w:bottom w:val="none" w:sz="0" w:space="0" w:color="auto"/>
        <w:right w:val="none" w:sz="0" w:space="0" w:color="auto"/>
      </w:divBdr>
      <w:divsChild>
        <w:div w:id="1469863360">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1637368284">
      <w:bodyDiv w:val="1"/>
      <w:marLeft w:val="0"/>
      <w:marRight w:val="0"/>
      <w:marTop w:val="0"/>
      <w:marBottom w:val="0"/>
      <w:divBdr>
        <w:top w:val="none" w:sz="0" w:space="0" w:color="auto"/>
        <w:left w:val="none" w:sz="0" w:space="0" w:color="auto"/>
        <w:bottom w:val="none" w:sz="0" w:space="0" w:color="auto"/>
        <w:right w:val="none" w:sz="0" w:space="0" w:color="auto"/>
      </w:divBdr>
      <w:divsChild>
        <w:div w:id="124741665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hyperlink" Target="https://doi.org/10.1142/s0219622006002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hyperlink" Target="https://doi.org/10.1016/j.jimonfin.2008.05.006"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11310</TotalTime>
  <Pages>28</Pages>
  <Words>11198</Words>
  <Characters>63835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30</cp:revision>
  <dcterms:created xsi:type="dcterms:W3CDTF">2024-01-06T22:01:00Z</dcterms:created>
  <dcterms:modified xsi:type="dcterms:W3CDTF">2024-02-22T22:09:00Z</dcterms:modified>
</cp:coreProperties>
</file>