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Default="00F945CF" w:rsidP="00F945CF">
      <w:pPr>
        <w:pStyle w:val="ListParagraph"/>
        <w:numPr>
          <w:ilvl w:val="0"/>
          <w:numId w:val="1"/>
        </w:numPr>
        <w:rPr>
          <w:rFonts w:ascii="Calibri" w:hAnsi="Calibri" w:cs="Calibri"/>
          <w:b/>
          <w:bCs/>
          <w:sz w:val="24"/>
          <w:szCs w:val="24"/>
        </w:rPr>
      </w:pPr>
      <w:r w:rsidRPr="00F945CF">
        <w:rPr>
          <w:rFonts w:ascii="Calibri" w:hAnsi="Calibri" w:cs="Calibri"/>
          <w:b/>
          <w:bCs/>
          <w:sz w:val="24"/>
          <w:szCs w:val="24"/>
        </w:rPr>
        <w:t>Introduction</w:t>
      </w:r>
    </w:p>
    <w:p w14:paraId="098433D5" w14:textId="121FC13F" w:rsidR="00F945CF" w:rsidRPr="00F945CF" w:rsidRDefault="00F945CF" w:rsidP="00F945CF">
      <w:pPr>
        <w:pStyle w:val="ListParagraph"/>
        <w:ind w:left="0"/>
        <w:rPr>
          <w:rFonts w:ascii="Calibri" w:hAnsi="Calibri" w:cs="Calibri"/>
        </w:rPr>
      </w:pPr>
      <w:r w:rsidRPr="00F945CF">
        <w:rPr>
          <w:rFonts w:ascii="Calibri" w:hAnsi="Calibri" w:cs="Calibri"/>
        </w:rPr>
        <w:t>1.1 The Global Financial Crisis and Risk Management Practices</w:t>
      </w:r>
    </w:p>
    <w:p w14:paraId="0F50C7D0" w14:textId="290E3222" w:rsidR="00235877" w:rsidRDefault="003E29A6">
      <w:pPr>
        <w:rPr>
          <w:rFonts w:ascii="Calibri" w:hAnsi="Calibri" w:cs="Calibri"/>
        </w:rPr>
      </w:pPr>
      <w:r>
        <w:rPr>
          <w:rFonts w:ascii="Calibri" w:hAnsi="Calibri" w:cs="Calibri"/>
        </w:rPr>
        <w:t xml:space="preserve">The Global Financial Crisis (GFC) was the most severe international economic crisis since the Great Depression. </w:t>
      </w:r>
      <w:r w:rsidR="003A2608" w:rsidRPr="003A2608">
        <w:rPr>
          <w:rFonts w:ascii="Calibri" w:hAnsi="Calibri" w:cs="Calibri"/>
        </w:rPr>
        <w:t xml:space="preserve">The </w:t>
      </w:r>
      <w:r>
        <w:rPr>
          <w:rFonts w:ascii="Calibri" w:hAnsi="Calibri" w:cs="Calibri"/>
        </w:rPr>
        <w:t>GFC</w:t>
      </w:r>
      <w:r w:rsidR="003A2608">
        <w:rPr>
          <w:rFonts w:ascii="Calibri" w:hAnsi="Calibri" w:cs="Calibri"/>
        </w:rPr>
        <w:t xml:space="preserve"> had far-reaching consequences for the financial system, the housing market, the economy and wider society in general.</w:t>
      </w:r>
      <w:r>
        <w:rPr>
          <w:rFonts w:ascii="Calibri" w:hAnsi="Calibri" w:cs="Calibri"/>
        </w:rPr>
        <w:t xml:space="preserve"> It resulted in a recession leading to extremely high levels of unemployment in the United States and most of Europe, homelessness crises and general economic turmoil (</w:t>
      </w:r>
      <w:r w:rsidRPr="003E29A6">
        <w:rPr>
          <w:rFonts w:ascii="Calibri" w:hAnsi="Calibri" w:cs="Calibri"/>
        </w:rPr>
        <w:t>Consequences of the Global Financial Crisis</w:t>
      </w:r>
      <w:r>
        <w:rPr>
          <w:rFonts w:ascii="Calibri" w:hAnsi="Calibri" w:cs="Calibri"/>
        </w:rPr>
        <w:t xml:space="preserve">, </w:t>
      </w:r>
      <w:r w:rsidRPr="003E29A6">
        <w:rPr>
          <w:rFonts w:ascii="Calibri" w:hAnsi="Calibri" w:cs="Calibri"/>
        </w:rPr>
        <w:t>Grant, Wyn (editor)</w:t>
      </w:r>
      <w:r>
        <w:rPr>
          <w:rFonts w:ascii="Calibri" w:hAnsi="Calibri" w:cs="Calibri"/>
        </w:rPr>
        <w:t>).</w:t>
      </w:r>
      <w:r w:rsidR="003A2608">
        <w:rPr>
          <w:rFonts w:ascii="Calibri" w:hAnsi="Calibri" w:cs="Calibri"/>
        </w:rPr>
        <w:t xml:space="preserve"> The crisis </w:t>
      </w:r>
      <w:r>
        <w:rPr>
          <w:rFonts w:ascii="Calibri" w:hAnsi="Calibri" w:cs="Calibri"/>
        </w:rPr>
        <w:t>consisted of wide-ranging issues in</w:t>
      </w:r>
      <w:r w:rsidR="003A2608">
        <w:rPr>
          <w:rFonts w:ascii="Calibri" w:hAnsi="Calibri" w:cs="Calibri"/>
        </w:rPr>
        <w:t xml:space="preserve"> credit markets centred in the United States of America, Europe and the United Kingdom</w:t>
      </w:r>
      <w:r>
        <w:rPr>
          <w:rFonts w:ascii="Calibri" w:hAnsi="Calibri" w:cs="Calibri"/>
        </w:rPr>
        <w:t xml:space="preserve">. Housing bubbles in the United States, the United Kingdom, Spain and Ireland </w:t>
      </w:r>
      <w:r w:rsidR="006F029B">
        <w:rPr>
          <w:rFonts w:ascii="Calibri" w:hAnsi="Calibri" w:cs="Calibri"/>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Pr>
          <w:rFonts w:ascii="Calibri" w:hAnsi="Calibri" w:cs="Calibri"/>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Pr>
          <w:rFonts w:ascii="Calibri" w:hAnsi="Calibri" w:cs="Calibri"/>
        </w:rPr>
        <w:t>component</w:t>
      </w:r>
      <w:r w:rsidR="00944EFB">
        <w:rPr>
          <w:rFonts w:ascii="Calibri" w:hAnsi="Calibri" w:cs="Calibri"/>
        </w:rPr>
        <w:t xml:space="preserve"> of the Basel III framework was the increase in the level of capital requirements to ensure that banks are sufficiently resilient to withstand losses in the times of stress.</w:t>
      </w:r>
      <w:r w:rsidR="00F945CF">
        <w:rPr>
          <w:rFonts w:ascii="Calibri" w:hAnsi="Calibri" w:cs="Calibri"/>
        </w:rPr>
        <w:t xml:space="preserve"> This increased scrutiny on the capital requirements for banks provided an impetus for institutions to improve risk management practices, one of which being the credit risk framework. </w:t>
      </w:r>
      <w:r w:rsidR="00944EFB">
        <w:rPr>
          <w:rFonts w:ascii="Calibri" w:hAnsi="Calibri" w:cs="Calibri"/>
        </w:rPr>
        <w:t xml:space="preserve"> </w:t>
      </w:r>
    </w:p>
    <w:p w14:paraId="248953B0" w14:textId="6F000A53" w:rsidR="00F945CF" w:rsidRDefault="00235877" w:rsidP="00F945CF">
      <w:pPr>
        <w:pStyle w:val="ListParagraph"/>
        <w:numPr>
          <w:ilvl w:val="1"/>
          <w:numId w:val="1"/>
        </w:numPr>
        <w:rPr>
          <w:rFonts w:ascii="Calibri" w:hAnsi="Calibri" w:cs="Calibri"/>
        </w:rPr>
      </w:pPr>
      <w:r>
        <w:rPr>
          <w:rFonts w:ascii="Calibri" w:hAnsi="Calibri" w:cs="Calibri"/>
        </w:rPr>
        <w:t xml:space="preserve">Risk Weighted Assets and </w:t>
      </w:r>
      <w:r w:rsidR="00F945CF">
        <w:rPr>
          <w:rFonts w:ascii="Calibri" w:hAnsi="Calibri" w:cs="Calibri"/>
        </w:rPr>
        <w:t>Credit Risk Modelling</w:t>
      </w:r>
    </w:p>
    <w:p w14:paraId="62FACA6F" w14:textId="7C387CFD" w:rsidR="00F945CF" w:rsidRPr="00F945CF" w:rsidRDefault="008B1B63" w:rsidP="00F945CF">
      <w:pPr>
        <w:rPr>
          <w:rFonts w:ascii="Calibri" w:hAnsi="Calibri" w:cs="Calibri"/>
        </w:rPr>
      </w:pPr>
      <w:r>
        <w:rPr>
          <w:rFonts w:ascii="Calibri" w:hAnsi="Calibri" w:cs="Calibri"/>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Pr>
          <w:rFonts w:ascii="Calibri" w:hAnsi="Calibri" w:cs="Calibri"/>
        </w:rPr>
        <w:t>failure,</w:t>
      </w:r>
      <w:r>
        <w:rPr>
          <w:rFonts w:ascii="Calibri" w:hAnsi="Calibri" w:cs="Calibri"/>
        </w:rPr>
        <w:t xml:space="preserve"> and this was accentuated by failures of banks such as Northern Rock and </w:t>
      </w:r>
      <w:r w:rsidR="00235877">
        <w:rPr>
          <w:rFonts w:ascii="Calibri" w:hAnsi="Calibri" w:cs="Calibri"/>
        </w:rPr>
        <w:t>Anglo-Irish</w:t>
      </w:r>
      <w:r>
        <w:rPr>
          <w:rFonts w:ascii="Calibri" w:hAnsi="Calibri" w:cs="Calibri"/>
        </w:rPr>
        <w:t xml:space="preserve"> bank </w:t>
      </w:r>
      <w:r w:rsidR="00235877">
        <w:rPr>
          <w:rFonts w:ascii="Calibri" w:hAnsi="Calibri" w:cs="Calibri"/>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Pr>
          <w:rFonts w:ascii="Calibri" w:hAnsi="Calibri" w:cs="Calibri"/>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Pr>
          <w:rFonts w:ascii="Calibri" w:hAnsi="Calibri" w:cs="Calibri"/>
        </w:rPr>
        <w:t xml:space="preserve">than a percentage of its risk weighted assets (RWAs). Risk weighted assets (RWAs) are a measure of a bank’s assets adjusted </w:t>
      </w:r>
      <w:r w:rsidR="00995813">
        <w:rPr>
          <w:rFonts w:ascii="Calibri" w:hAnsi="Calibri" w:cs="Calibri"/>
        </w:rPr>
        <w:lastRenderedPageBreak/>
        <w:t xml:space="preserve">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Pr>
          <w:rFonts w:ascii="Calibri" w:hAnsi="Calibri" w:cs="Calibri"/>
        </w:rPr>
        <w:t>either using the standardised approach or 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sectPr w:rsidR="00F945CF" w:rsidRPr="00F9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1516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124116"/>
    <w:rsid w:val="00235877"/>
    <w:rsid w:val="0036657B"/>
    <w:rsid w:val="003A2608"/>
    <w:rsid w:val="003E0280"/>
    <w:rsid w:val="003E29A6"/>
    <w:rsid w:val="004C4C53"/>
    <w:rsid w:val="00642846"/>
    <w:rsid w:val="006F029B"/>
    <w:rsid w:val="00872EC3"/>
    <w:rsid w:val="008B1B63"/>
    <w:rsid w:val="00944EFB"/>
    <w:rsid w:val="00995813"/>
    <w:rsid w:val="00F945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1</cp:revision>
  <dcterms:created xsi:type="dcterms:W3CDTF">2024-02-07T20:03:00Z</dcterms:created>
  <dcterms:modified xsi:type="dcterms:W3CDTF">2024-02-07T21:48:00Z</dcterms:modified>
</cp:coreProperties>
</file>