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w:t>
      </w:r>
      <w:proofErr w:type="gramStart"/>
      <w:r w:rsidR="00A645CE" w:rsidRPr="00A645CE">
        <w:t>Union</w:t>
      </w:r>
      <w:r w:rsidR="00216DD3">
        <w:t xml:space="preserve"> )</w:t>
      </w:r>
      <w:proofErr w:type="gramEnd"/>
      <w:r w:rsidR="00216DD3">
        <w:t xml:space="preserve">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w:t>
      </w:r>
      <w:proofErr w:type="gramStart"/>
      <w:r w:rsidR="004A66EB">
        <w:t>Index</w:t>
      </w:r>
      <w:proofErr w:type="gramEnd"/>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sidRPr="005025F2">
        <w:rPr>
          <w:b/>
          <w:bCs/>
        </w:rPr>
        <w:t>your  chosen</w:t>
      </w:r>
      <w:proofErr w:type="gramEnd"/>
      <w:r w:rsidRPr="005025F2">
        <w:rPr>
          <w:b/>
          <w:bCs/>
        </w:rPr>
        <w:t xml:space="preserve">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fldSimple w:instr=" SEQ Figure \* ARABIC ">
        <w:r w:rsidR="00FB40A0">
          <w:rPr>
            <w:noProof/>
          </w:rPr>
          <w:t>1</w:t>
        </w:r>
      </w:fldSimple>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w:t>
      </w:r>
      <w:proofErr w:type="gramStart"/>
      <w:r w:rsidR="00AE7082">
        <w:t>report</w:t>
      </w:r>
      <w:proofErr w:type="gramEnd"/>
      <w:r w:rsidR="00AE7082">
        <w:t xml:space="preserve">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gramStart"/>
      <w:r w:rsidR="00DE02E9">
        <w:t>’,</w:t>
      </w:r>
      <w:proofErr w:type="spellStart"/>
      <w:r w:rsidR="00DE02E9">
        <w:t>s</w:t>
      </w:r>
      <w:proofErr w:type="gramEnd"/>
      <w:r w:rsidR="00DE02E9">
        <w:t>_adj</w:t>
      </w:r>
      <w:proofErr w:type="spellEnd"/>
      <w:r w:rsidR="00DE02E9">
        <w:t>’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21" w:name="_Toc135085801"/>
      <w:r w:rsidRPr="00F5281A">
        <w:t xml:space="preserve">structure and enrich your </w:t>
      </w:r>
      <w:proofErr w:type="gramStart"/>
      <w:r w:rsidRPr="00F5281A">
        <w:t>data</w:t>
      </w:r>
      <w:bookmarkEnd w:id="21"/>
      <w:proofErr w:type="gramEnd"/>
    </w:p>
    <w:p w14:paraId="04BD81B5" w14:textId="141591B4" w:rsidR="003C3139" w:rsidRDefault="003C3139" w:rsidP="003C3139">
      <w:pPr>
        <w:rPr>
          <w:b/>
          <w:bCs/>
        </w:rPr>
      </w:pPr>
      <w:r w:rsidRPr="00655AA4">
        <w:rPr>
          <w:b/>
          <w:bCs/>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w:t>
      </w:r>
      <w:proofErr w:type="gramStart"/>
      <w:r w:rsidRPr="00655AA4">
        <w:rPr>
          <w:b/>
          <w:bCs/>
        </w:rPr>
        <w:t>methodology.[</w:t>
      </w:r>
      <w:proofErr w:type="gramEnd"/>
      <w:r w:rsidRPr="00655AA4">
        <w:rPr>
          <w:b/>
          <w:bCs/>
        </w:rPr>
        <w:t>0-30]</w:t>
      </w:r>
    </w:p>
    <w:p w14:paraId="255313D7" w14:textId="2C27D957" w:rsidR="00655AA4" w:rsidRDefault="008C02D2" w:rsidP="003C3139">
      <w:r>
        <w:t>Looking at the data there is a column ‘</w:t>
      </w:r>
      <w:proofErr w:type="spellStart"/>
      <w:r>
        <w:t>indic</w:t>
      </w:r>
      <w:proofErr w:type="spellEnd"/>
      <w:r>
        <w:t>’</w:t>
      </w:r>
      <w:r w:rsidR="00325F9C">
        <w:t xml:space="preserve"> colu</w:t>
      </w:r>
      <w:r w:rsidR="00483DF1">
        <w:t>mn</w:t>
      </w:r>
      <w:r w:rsidR="00225B77">
        <w:t xml:space="preserve">, which denotes the </w:t>
      </w:r>
      <w:proofErr w:type="gramStart"/>
      <w:r w:rsidR="00225B77">
        <w:t>indicator</w:t>
      </w:r>
      <w:proofErr w:type="gramEnd"/>
      <w:r w:rsidR="00225B77">
        <w:t xml:space="preserve">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777B835C" w:rsidR="00E1752E" w:rsidRDefault="004155AB" w:rsidP="004155AB">
      <w:pPr>
        <w:pStyle w:val="Caption"/>
      </w:pPr>
      <w:bookmarkStart w:id="22" w:name="_Ref135489806"/>
      <w:r>
        <w:t xml:space="preserve">Table </w:t>
      </w:r>
      <w:fldSimple w:instr=" SEQ Table \* ARABIC ">
        <w:r w:rsidR="005F4998">
          <w:rPr>
            <w:noProof/>
          </w:rPr>
          <w:t>1</w:t>
        </w:r>
      </w:fldSimple>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w:t>
      </w:r>
      <w:proofErr w:type="gramStart"/>
      <w:r>
        <w:t xml:space="preserve">visualises </w:t>
      </w:r>
      <w:r w:rsidR="00095640">
        <w:t xml:space="preserve"> the</w:t>
      </w:r>
      <w:proofErr w:type="gramEnd"/>
      <w:r w:rsidR="00095640">
        <w:t xml:space="preserve"> indicators across the full range of the time period. Observing the </w:t>
      </w:r>
      <w:proofErr w:type="gramStart"/>
      <w:r w:rsidR="00095640">
        <w:t>sequence</w:t>
      </w:r>
      <w:proofErr w:type="gramEnd"/>
      <w:r w:rsidR="00095640">
        <w:t xml:space="preserv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2997CFFB" w:rsidR="004611D7" w:rsidRDefault="002C519F" w:rsidP="002C519F">
      <w:pPr>
        <w:pStyle w:val="Caption"/>
      </w:pPr>
      <w:bookmarkStart w:id="23" w:name="_Ref135491652"/>
      <w:r>
        <w:t xml:space="preserve">Table </w:t>
      </w:r>
      <w:fldSimple w:instr=" SEQ Table \* ARABIC ">
        <w:r w:rsidR="005F4998">
          <w:rPr>
            <w:noProof/>
          </w:rPr>
          <w:t>2</w:t>
        </w:r>
      </w:fldSimple>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w:t>
      </w:r>
      <w:proofErr w:type="gramStart"/>
      <w:r>
        <w:t xml:space="preserve">of </w:t>
      </w:r>
      <w:r w:rsidR="008D39FD">
        <w:t xml:space="preserve"> </w:t>
      </w:r>
      <w:r w:rsidR="003F458E">
        <w:t>section</w:t>
      </w:r>
      <w:proofErr w:type="gramEnd"/>
      <w:r w:rsidR="003F458E">
        <w:t xml:space="preserve">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4"/>
      <w:r w:rsidR="0034357F">
        <w:t>library</w:t>
      </w:r>
      <w:commentRangeEnd w:id="24"/>
      <w:r w:rsidR="0034357F">
        <w:rPr>
          <w:rStyle w:val="CommentReference"/>
        </w:rPr>
        <w:commentReference w:id="24"/>
      </w:r>
      <w:r w:rsidR="0034357F">
        <w:t>, this library</w:t>
      </w:r>
      <w:r w:rsidR="00C46404">
        <w:t xml:space="preserve"> </w:t>
      </w:r>
      <w:proofErr w:type="spellStart"/>
      <w:r w:rsidR="00C46404">
        <w:t>assignes</w:t>
      </w:r>
      <w:proofErr w:type="spellEnd"/>
      <w:r w:rsidR="00C46404">
        <w:t xml:space="preserve"> a readable country name for each </w:t>
      </w:r>
      <w:proofErr w:type="gramStart"/>
      <w:r w:rsidR="00C46404">
        <w:t>2 letter</w:t>
      </w:r>
      <w:proofErr w:type="gramEnd"/>
      <w:r w:rsidR="00C46404">
        <w:t xml:space="preserve">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lastRenderedPageBreak/>
        <w:t>interactive dashboard</w:t>
      </w:r>
      <w:bookmarkEnd w:id="26"/>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w:t>
      </w:r>
      <w:proofErr w:type="gramStart"/>
      <w:r w:rsidRPr="00FD4FBC">
        <w:rPr>
          <w:b/>
          <w:bCs/>
        </w:rPr>
        <w:t>).[</w:t>
      </w:r>
      <w:proofErr w:type="gramEnd"/>
      <w:r w:rsidRPr="00FD4FBC">
        <w:rPr>
          <w:b/>
          <w:bCs/>
        </w:rPr>
        <w:t>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 xml:space="preserve">summarise the </w:t>
      </w:r>
      <w:proofErr w:type="gramStart"/>
      <w:r w:rsidRPr="002E01DA">
        <w:t>dataset</w:t>
      </w:r>
      <w:bookmarkEnd w:id="28"/>
      <w:proofErr w:type="gramEnd"/>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w:t>
      </w:r>
      <w:proofErr w:type="gramStart"/>
      <w:r w:rsidRPr="00D91FE4">
        <w:rPr>
          <w:b/>
          <w:bCs/>
        </w:rPr>
        <w:t>20 ]</w:t>
      </w:r>
      <w:proofErr w:type="gramEnd"/>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3E1F29A0" w:rsidR="009267CB" w:rsidRDefault="000578B4" w:rsidP="009267CB">
      <w:r>
        <w:t xml:space="preserve">The data was then </w:t>
      </w:r>
      <w:proofErr w:type="spellStart"/>
      <w:r>
        <w:t xml:space="preserve">pre </w:t>
      </w:r>
      <w:r w:rsidR="00AD10D6">
        <w:t>processed</w:t>
      </w:r>
      <w:proofErr w:type="spellEnd"/>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w:t>
      </w:r>
      <w:proofErr w:type="spellStart"/>
      <w:r w:rsidR="009F4201">
        <w:t>country_name</w:t>
      </w:r>
      <w:proofErr w:type="spellEnd"/>
      <w:r w:rsidR="009F4201">
        <w:t>’</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lastRenderedPageBreak/>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fldSimple w:instr=" SEQ Figure \* ARABIC ">
        <w:r w:rsidR="00FB40A0">
          <w:rPr>
            <w:noProof/>
          </w:rPr>
          <w:t>2</w:t>
        </w:r>
      </w:fldSimple>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proofErr w:type="spellStart"/>
      <w:r w:rsidR="009D0851">
        <w:t>frome</w:t>
      </w:r>
      <w:proofErr w:type="spellEnd"/>
      <w:r w:rsidR="009D0851">
        <w:t xml:space="preserv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proofErr w:type="gramStart"/>
      <w:r w:rsidR="00547D27" w:rsidRPr="00B41290">
        <w:t>wider spread and potential outlier</w:t>
      </w:r>
      <w:r w:rsidR="00C25B95">
        <w:t>s</w:t>
      </w:r>
      <w:proofErr w:type="gramEnd"/>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0FF2B1C8" w:rsidR="00013481" w:rsidRDefault="005F4998" w:rsidP="005F4998">
      <w:pPr>
        <w:pStyle w:val="Caption"/>
      </w:pPr>
      <w:bookmarkStart w:id="32" w:name="_Ref135501370"/>
      <w:r>
        <w:t xml:space="preserve">Table </w:t>
      </w:r>
      <w:fldSimple w:instr=" SEQ Table \* ARABIC ">
        <w:r>
          <w:rPr>
            <w:noProof/>
          </w:rPr>
          <w:t>3</w:t>
        </w:r>
      </w:fldSimple>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lastRenderedPageBreak/>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r>
        <w:t xml:space="preserve">Figure </w:t>
      </w:r>
      <w:fldSimple w:instr=" SEQ Figure \* ARABIC ">
        <w:r w:rsidR="00FB40A0">
          <w:rPr>
            <w:noProof/>
          </w:rPr>
          <w:t>3</w:t>
        </w:r>
      </w:fldSimple>
      <w:bookmarkEnd w:id="33"/>
      <w:r>
        <w:rPr>
          <w:noProof/>
        </w:rPr>
        <w:t xml:space="preserve"> Histograms displaying distribution of indicator values</w:t>
      </w:r>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4" w:name="_Ref135502964"/>
      <w:r>
        <w:t xml:space="preserve">Figure </w:t>
      </w:r>
      <w:fldSimple w:instr=" SEQ Figure \* ARABIC ">
        <w:r w:rsidR="00FB40A0">
          <w:rPr>
            <w:noProof/>
          </w:rPr>
          <w:t>4</w:t>
        </w:r>
      </w:fldSimple>
      <w:bookmarkEnd w:id="34"/>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xml:space="preserve">, we can see that the number of outliers </w:t>
      </w:r>
      <w:proofErr w:type="gramStart"/>
      <w:r w:rsidR="00FB40A0">
        <w:t>are</w:t>
      </w:r>
      <w:proofErr w:type="gramEnd"/>
      <w:r w:rsidR="00FB40A0">
        <w:t xml:space="preserve"> a small percentage of the overall values</w:t>
      </w:r>
      <w:r w:rsidR="006211DB">
        <w:t xml:space="preserve">. </w:t>
      </w:r>
      <w:r w:rsidR="006211DB">
        <w:lastRenderedPageBreak/>
        <w:t xml:space="preserve">Taking into consideration the economic factors which can </w:t>
      </w:r>
      <w:proofErr w:type="gramStart"/>
      <w:r w:rsidR="006211DB">
        <w:t>effect</w:t>
      </w:r>
      <w:proofErr w:type="gramEnd"/>
      <w:r w:rsidR="006211DB">
        <w:t xml:space="preserve"> the construction industry over the time period in question </w:t>
      </w:r>
      <w:r w:rsidR="001471DF">
        <w:t xml:space="preserve">2010 to 2022, we know there existed great swings in activity in the sector. </w:t>
      </w:r>
      <w:r w:rsidR="00656AA1">
        <w:t xml:space="preserve">For this </w:t>
      </w:r>
      <w:proofErr w:type="gramStart"/>
      <w:r w:rsidR="00656AA1">
        <w:t>reason</w:t>
      </w:r>
      <w:proofErr w:type="gramEnd"/>
      <w:r w:rsidR="00656AA1">
        <w:t xml:space="preserve">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Pr="0003127D" w:rsidRDefault="00FB40A0" w:rsidP="00FB40A0">
      <w:pPr>
        <w:pStyle w:val="Caption"/>
      </w:pPr>
      <w:bookmarkStart w:id="35" w:name="_Ref135504688"/>
      <w:r>
        <w:t xml:space="preserve">Figure </w:t>
      </w:r>
      <w:fldSimple w:instr=" SEQ Figure \* ARABIC ">
        <w:r>
          <w:rPr>
            <w:noProof/>
          </w:rPr>
          <w:t>5</w:t>
        </w:r>
      </w:fldSimple>
      <w:bookmarkEnd w:id="35"/>
      <w:r>
        <w:rPr>
          <w:noProof/>
        </w:rPr>
        <w:t xml:space="preserve"> Number of outliers for indicator </w:t>
      </w:r>
      <w:commentRangeStart w:id="36"/>
      <w:r>
        <w:rPr>
          <w:noProof/>
        </w:rPr>
        <w:t>values</w:t>
      </w:r>
      <w:commentRangeEnd w:id="36"/>
      <w:r w:rsidR="00825025">
        <w:rPr>
          <w:rStyle w:val="CommentReference"/>
          <w:i w:val="0"/>
          <w:iCs w:val="0"/>
        </w:rPr>
        <w:commentReference w:id="36"/>
      </w:r>
    </w:p>
    <w:p w14:paraId="140E46D0" w14:textId="78F24705" w:rsidR="00906175" w:rsidRDefault="00C7009B">
      <w:pPr>
        <w:pStyle w:val="Heading2"/>
      </w:pPr>
      <w:r w:rsidRPr="00C7009B">
        <w:t>inferential statistics</w:t>
      </w:r>
      <w:bookmarkEnd w:id="30"/>
    </w:p>
    <w:p w14:paraId="70BF98DB" w14:textId="1C958A51" w:rsidR="00C7009B" w:rsidRPr="006B51D4"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w:t>
      </w:r>
      <w:proofErr w:type="gramStart"/>
      <w:r w:rsidRPr="006B51D4">
        <w:rPr>
          <w:b/>
          <w:bCs/>
        </w:rPr>
        <w:t>20 ]</w:t>
      </w:r>
      <w:proofErr w:type="gramEnd"/>
    </w:p>
    <w:p w14:paraId="02BF5236" w14:textId="61D50034" w:rsidR="00906175" w:rsidRDefault="009411EA">
      <w:pPr>
        <w:pStyle w:val="Heading2"/>
      </w:pPr>
      <w:bookmarkStart w:id="37" w:name="_Toc135085806"/>
      <w:r w:rsidRPr="009411EA">
        <w:t>parametric and non-parametric inferential statistical techniques</w:t>
      </w:r>
      <w:bookmarkEnd w:id="37"/>
    </w:p>
    <w:p w14:paraId="460661CD" w14:textId="5737A4BF" w:rsidR="009411EA" w:rsidRPr="009411EA" w:rsidRDefault="009411EA" w:rsidP="009411EA">
      <w:r w:rsidRPr="009411EA">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00C1A163" w14:textId="1DE1B3CC" w:rsidR="00906175" w:rsidRDefault="003C1BCF">
      <w:pPr>
        <w:pStyle w:val="Heading2"/>
      </w:pPr>
      <w:bookmarkStart w:id="38" w:name="_Toc135085807"/>
      <w:r w:rsidRPr="003C1BCF">
        <w:t>challenges</w:t>
      </w:r>
      <w:bookmarkEnd w:id="38"/>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39" w:name="_Toc135085808"/>
      <w:r>
        <w:t>Machine learning for data analytics</w:t>
      </w:r>
      <w:bookmarkEnd w:id="29"/>
      <w:bookmarkEnd w:id="39"/>
    </w:p>
    <w:p w14:paraId="16B77303" w14:textId="6EA97852" w:rsidR="00143A97" w:rsidRDefault="007252EC" w:rsidP="00143A97">
      <w:pPr>
        <w:pStyle w:val="Heading2"/>
      </w:pPr>
      <w:bookmarkStart w:id="40" w:name="_Toc135085809"/>
      <w:bookmarkStart w:id="41" w:name="_Toc132146031"/>
      <w:r w:rsidRPr="007252EC">
        <w:t xml:space="preserve">Describe the rationale and justification for the choice of machine learning </w:t>
      </w:r>
      <w:proofErr w:type="gramStart"/>
      <w:r w:rsidRPr="007252EC">
        <w:t>models</w:t>
      </w:r>
      <w:bookmarkEnd w:id="40"/>
      <w:proofErr w:type="gramEnd"/>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w:t>
      </w:r>
      <w:r>
        <w:lastRenderedPageBreak/>
        <w:t xml:space="preserve">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2" w:name="_Toc135085810"/>
      <w:r w:rsidRPr="00956231">
        <w:t xml:space="preserve">Perform a sentimental analysis for an appropriate construction </w:t>
      </w:r>
      <w:proofErr w:type="gramStart"/>
      <w:r w:rsidRPr="00956231">
        <w:t>topic</w:t>
      </w:r>
      <w:bookmarkEnd w:id="42"/>
      <w:proofErr w:type="gramEnd"/>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3" w:name="_Toc135085811"/>
      <w:r w:rsidRPr="00BD3ADE">
        <w:t>learning models</w:t>
      </w:r>
      <w:bookmarkEnd w:id="43"/>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4" w:name="_Toc135085812"/>
      <w:r w:rsidRPr="00897C75">
        <w:t>similarities and contrast of the Machine Learning modelling</w:t>
      </w:r>
      <w:bookmarkEnd w:id="44"/>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45" w:name="_Toc135085813"/>
      <w:r w:rsidRPr="00806DAF">
        <w:t>Programming</w:t>
      </w:r>
      <w:bookmarkEnd w:id="41"/>
      <w:bookmarkEnd w:id="45"/>
    </w:p>
    <w:p w14:paraId="20C3DA25" w14:textId="7F0FF688" w:rsidR="00615893" w:rsidRDefault="006D1F0E">
      <w:pPr>
        <w:pStyle w:val="Heading2"/>
      </w:pPr>
      <w:bookmarkStart w:id="46" w:name="_Toc135085814"/>
      <w:bookmarkStart w:id="47" w:name="_Toc132146033"/>
      <w:r w:rsidRPr="006D1F0E">
        <w:t>Programming</w:t>
      </w:r>
      <w:bookmarkEnd w:id="46"/>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48" w:name="_Toc135085815"/>
      <w:r w:rsidRPr="00433F98">
        <w:lastRenderedPageBreak/>
        <w:t>Data structures</w:t>
      </w:r>
      <w:bookmarkEnd w:id="48"/>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49" w:name="_Toc135085816"/>
      <w:r w:rsidRPr="000A41AF">
        <w:t>Testing &amp; Optimisation</w:t>
      </w:r>
      <w:bookmarkEnd w:id="49"/>
    </w:p>
    <w:p w14:paraId="72DBF249" w14:textId="1C0D450E" w:rsidR="000A41AF" w:rsidRPr="000A41AF" w:rsidRDefault="000A41AF" w:rsidP="000A41AF">
      <w:bookmarkStart w:id="50" w:name="_Hlk135085601"/>
      <w:r w:rsidRPr="000A41AF">
        <w:t>Testing &amp; Optimisation</w:t>
      </w:r>
      <w:bookmarkEnd w:id="50"/>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0A41AF">
        <w:t>eg</w:t>
      </w:r>
      <w:proofErr w:type="spellEnd"/>
      <w:proofErr w:type="gramEnd"/>
      <w:r w:rsidRPr="000A41AF">
        <w:t xml:space="preserve"> computing, time etc). Note any trade-offs that you've made in these areas. [0-20]</w:t>
      </w:r>
    </w:p>
    <w:p w14:paraId="6B1695F8" w14:textId="40483785" w:rsidR="00897C75" w:rsidRDefault="00615893" w:rsidP="00897C75">
      <w:pPr>
        <w:pStyle w:val="Heading2"/>
      </w:pPr>
      <w:bookmarkStart w:id="51" w:name="_Toc135085817"/>
      <w:r w:rsidRPr="00615893">
        <w:t>Data manipulation</w:t>
      </w:r>
      <w:bookmarkEnd w:id="51"/>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2" w:name="_Toc135085818"/>
      <w:r>
        <w:t>Conclusion</w:t>
      </w:r>
      <w:bookmarkEnd w:id="52"/>
    </w:p>
    <w:p w14:paraId="50B948C8" w14:textId="382DCEAB" w:rsidR="00D25B38" w:rsidRPr="00735A16" w:rsidRDefault="00D25B38" w:rsidP="00735A16"/>
    <w:p w14:paraId="505E4DDD" w14:textId="261B7607" w:rsidR="00D25B38" w:rsidRDefault="00D25B38">
      <w:pPr>
        <w:pStyle w:val="Heading1"/>
      </w:pPr>
      <w:bookmarkStart w:id="53" w:name="_Toc135085819"/>
      <w:r>
        <w:t>Next Steps</w:t>
      </w:r>
      <w:bookmarkEnd w:id="53"/>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4"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47"/>
          <w:bookmarkEnd w:id="54"/>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6"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6326"/>
    <w:rsid w:val="00047AAD"/>
    <w:rsid w:val="000514DE"/>
    <w:rsid w:val="0005268C"/>
    <w:rsid w:val="00054724"/>
    <w:rsid w:val="00056C80"/>
    <w:rsid w:val="00056DC5"/>
    <w:rsid w:val="000578B4"/>
    <w:rsid w:val="000625E1"/>
    <w:rsid w:val="00063C4A"/>
    <w:rsid w:val="00065F70"/>
    <w:rsid w:val="0006609D"/>
    <w:rsid w:val="0006623C"/>
    <w:rsid w:val="000709EB"/>
    <w:rsid w:val="00071C04"/>
    <w:rsid w:val="0007746C"/>
    <w:rsid w:val="00077B8C"/>
    <w:rsid w:val="000816BE"/>
    <w:rsid w:val="00085729"/>
    <w:rsid w:val="000923C8"/>
    <w:rsid w:val="000949E7"/>
    <w:rsid w:val="00095640"/>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96864"/>
    <w:rsid w:val="001A0880"/>
    <w:rsid w:val="001A3A72"/>
    <w:rsid w:val="001A45FB"/>
    <w:rsid w:val="001A476E"/>
    <w:rsid w:val="001A5EEA"/>
    <w:rsid w:val="001A7950"/>
    <w:rsid w:val="001A7B2B"/>
    <w:rsid w:val="001B67F4"/>
    <w:rsid w:val="001B6C94"/>
    <w:rsid w:val="001C0AAD"/>
    <w:rsid w:val="001C3409"/>
    <w:rsid w:val="001D4526"/>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52E6"/>
    <w:rsid w:val="00216714"/>
    <w:rsid w:val="00216DD3"/>
    <w:rsid w:val="00217174"/>
    <w:rsid w:val="00220139"/>
    <w:rsid w:val="002201A8"/>
    <w:rsid w:val="002202AB"/>
    <w:rsid w:val="00224F3D"/>
    <w:rsid w:val="00225B77"/>
    <w:rsid w:val="00225E11"/>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1006B"/>
    <w:rsid w:val="003108D3"/>
    <w:rsid w:val="003113B6"/>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D63"/>
    <w:rsid w:val="003C6FB9"/>
    <w:rsid w:val="003C76F4"/>
    <w:rsid w:val="003D2256"/>
    <w:rsid w:val="003D79B7"/>
    <w:rsid w:val="003E0705"/>
    <w:rsid w:val="003E0E0D"/>
    <w:rsid w:val="003E1288"/>
    <w:rsid w:val="003E4697"/>
    <w:rsid w:val="003E7EF0"/>
    <w:rsid w:val="003F0C1F"/>
    <w:rsid w:val="003F34B5"/>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3968"/>
    <w:rsid w:val="004155AB"/>
    <w:rsid w:val="00416834"/>
    <w:rsid w:val="00417357"/>
    <w:rsid w:val="0042006C"/>
    <w:rsid w:val="00432E45"/>
    <w:rsid w:val="00433F98"/>
    <w:rsid w:val="00440430"/>
    <w:rsid w:val="00441959"/>
    <w:rsid w:val="00443838"/>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20361"/>
    <w:rsid w:val="00520BDE"/>
    <w:rsid w:val="0052235A"/>
    <w:rsid w:val="00522AC2"/>
    <w:rsid w:val="00527990"/>
    <w:rsid w:val="00527FC8"/>
    <w:rsid w:val="00527FDE"/>
    <w:rsid w:val="00530975"/>
    <w:rsid w:val="00531BF7"/>
    <w:rsid w:val="0053384C"/>
    <w:rsid w:val="00533B0E"/>
    <w:rsid w:val="005349F1"/>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8E"/>
    <w:rsid w:val="00595373"/>
    <w:rsid w:val="00595638"/>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326A"/>
    <w:rsid w:val="005D4478"/>
    <w:rsid w:val="005D6A6F"/>
    <w:rsid w:val="005E2467"/>
    <w:rsid w:val="005E4A15"/>
    <w:rsid w:val="005E52EC"/>
    <w:rsid w:val="005E5E6E"/>
    <w:rsid w:val="005E62E3"/>
    <w:rsid w:val="005F08F3"/>
    <w:rsid w:val="005F09E4"/>
    <w:rsid w:val="005F1A9C"/>
    <w:rsid w:val="005F47C8"/>
    <w:rsid w:val="005F4998"/>
    <w:rsid w:val="005F4A7A"/>
    <w:rsid w:val="0060148E"/>
    <w:rsid w:val="00602A67"/>
    <w:rsid w:val="00603669"/>
    <w:rsid w:val="00606553"/>
    <w:rsid w:val="00606BDB"/>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72B9"/>
    <w:rsid w:val="00870E70"/>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0A24"/>
    <w:rsid w:val="009A3554"/>
    <w:rsid w:val="009A55D2"/>
    <w:rsid w:val="009A7F66"/>
    <w:rsid w:val="009B11C0"/>
    <w:rsid w:val="009B34F0"/>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058D"/>
    <w:rsid w:val="00A41383"/>
    <w:rsid w:val="00A4149F"/>
    <w:rsid w:val="00A41C34"/>
    <w:rsid w:val="00A46ABD"/>
    <w:rsid w:val="00A47A6D"/>
    <w:rsid w:val="00A52D55"/>
    <w:rsid w:val="00A56D18"/>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3DD"/>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25580"/>
    <w:rsid w:val="00B35CD0"/>
    <w:rsid w:val="00B36DD4"/>
    <w:rsid w:val="00B376F3"/>
    <w:rsid w:val="00B407A7"/>
    <w:rsid w:val="00B41290"/>
    <w:rsid w:val="00B4174E"/>
    <w:rsid w:val="00B43B5F"/>
    <w:rsid w:val="00B445E9"/>
    <w:rsid w:val="00B50D2C"/>
    <w:rsid w:val="00B50F14"/>
    <w:rsid w:val="00B52014"/>
    <w:rsid w:val="00B5448E"/>
    <w:rsid w:val="00B549A7"/>
    <w:rsid w:val="00B57339"/>
    <w:rsid w:val="00B60B31"/>
    <w:rsid w:val="00B61ABF"/>
    <w:rsid w:val="00B6278C"/>
    <w:rsid w:val="00B63974"/>
    <w:rsid w:val="00B641DA"/>
    <w:rsid w:val="00B7105A"/>
    <w:rsid w:val="00B71BC4"/>
    <w:rsid w:val="00B72910"/>
    <w:rsid w:val="00B74321"/>
    <w:rsid w:val="00B75186"/>
    <w:rsid w:val="00B77BDA"/>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7365"/>
    <w:rsid w:val="00BF0278"/>
    <w:rsid w:val="00BF1FA3"/>
    <w:rsid w:val="00C0093D"/>
    <w:rsid w:val="00C02566"/>
    <w:rsid w:val="00C0311B"/>
    <w:rsid w:val="00C03821"/>
    <w:rsid w:val="00C03B01"/>
    <w:rsid w:val="00C053C3"/>
    <w:rsid w:val="00C0561C"/>
    <w:rsid w:val="00C06E08"/>
    <w:rsid w:val="00C16A63"/>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A3A3E"/>
    <w:rsid w:val="00CA4128"/>
    <w:rsid w:val="00CB5AA9"/>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1FE4"/>
    <w:rsid w:val="00D938D9"/>
    <w:rsid w:val="00D96B37"/>
    <w:rsid w:val="00D9712B"/>
    <w:rsid w:val="00D972BD"/>
    <w:rsid w:val="00DA2DC0"/>
    <w:rsid w:val="00DA51AC"/>
    <w:rsid w:val="00DB1AB9"/>
    <w:rsid w:val="00DB2BC9"/>
    <w:rsid w:val="00DB43BA"/>
    <w:rsid w:val="00DB5AD5"/>
    <w:rsid w:val="00DB5F0C"/>
    <w:rsid w:val="00DC0DBF"/>
    <w:rsid w:val="00DC11B9"/>
    <w:rsid w:val="00DC16B1"/>
    <w:rsid w:val="00DC5D83"/>
    <w:rsid w:val="00DD0D23"/>
    <w:rsid w:val="00DD240D"/>
    <w:rsid w:val="00DD31EF"/>
    <w:rsid w:val="00DD5C17"/>
    <w:rsid w:val="00DE02E9"/>
    <w:rsid w:val="00DE0B1F"/>
    <w:rsid w:val="00DE1BC5"/>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B0661"/>
    <w:rsid w:val="00EB0C5C"/>
    <w:rsid w:val="00EB2374"/>
    <w:rsid w:val="00EB2461"/>
    <w:rsid w:val="00EB2AC4"/>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41F0"/>
    <w:rsid w:val="00F442E8"/>
    <w:rsid w:val="00F44F9E"/>
    <w:rsid w:val="00F46BF2"/>
    <w:rsid w:val="00F478B3"/>
    <w:rsid w:val="00F47D14"/>
    <w:rsid w:val="00F5281A"/>
    <w:rsid w:val="00F53E36"/>
    <w:rsid w:val="00F60C49"/>
    <w:rsid w:val="00F611C6"/>
    <w:rsid w:val="00F62006"/>
    <w:rsid w:val="00F62AA6"/>
    <w:rsid w:val="00F6794D"/>
    <w:rsid w:val="00F67C88"/>
    <w:rsid w:val="00F70E6A"/>
    <w:rsid w:val="00F72CC8"/>
    <w:rsid w:val="00F75CDE"/>
    <w:rsid w:val="00F76E3B"/>
    <w:rsid w:val="00F77D57"/>
    <w:rsid w:val="00F845A3"/>
    <w:rsid w:val="00F849C5"/>
    <w:rsid w:val="00F928CA"/>
    <w:rsid w:val="00F96D85"/>
    <w:rsid w:val="00F9742B"/>
    <w:rsid w:val="00FA2648"/>
    <w:rsid w:val="00FA391A"/>
    <w:rsid w:val="00FA4DA5"/>
    <w:rsid w:val="00FA5546"/>
    <w:rsid w:val="00FA5BBA"/>
    <w:rsid w:val="00FA5F66"/>
    <w:rsid w:val="00FB0DC7"/>
    <w:rsid w:val="00FB11A6"/>
    <w:rsid w:val="00FB3B25"/>
    <w:rsid w:val="00FB40A0"/>
    <w:rsid w:val="00FB79CA"/>
    <w:rsid w:val="00FC2841"/>
    <w:rsid w:val="00FC5509"/>
    <w:rsid w:val="00FC623D"/>
    <w:rsid w:val="00FC7325"/>
    <w:rsid w:val="00FD3AFC"/>
    <w:rsid w:val="00FD4FBC"/>
    <w:rsid w:val="00FE0052"/>
    <w:rsid w:val="00FE103F"/>
    <w:rsid w:val="00FE23DE"/>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7773</TotalTime>
  <Pages>14</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1201</cp:revision>
  <dcterms:created xsi:type="dcterms:W3CDTF">2023-03-24T23:12:00Z</dcterms:created>
  <dcterms:modified xsi:type="dcterms:W3CDTF">2023-05-20T18:54:00Z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