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000000"/>
          <w:sz w:val="46"/>
        </w:rPr>
        <w:t>AV Scenario Simulator</w:t>
      </w:r>
    </w:p>
    <w:p>
      <w:pPr>
        <w:spacing w:after="240"/>
      </w:pPr>
      <w:r>
        <w:rPr>
          <w:rFonts w:ascii="Calibri" w:hAnsi="Calibri"/>
          <w:b w:val="0"/>
          <w:i w:val="0"/>
          <w:color w:val="666666"/>
          <w:sz w:val="26"/>
        </w:rPr>
        <w:t>Concise design review and improvement priorities</w:t>
      </w:r>
    </w:p>
    <w:p>
      <w:pPr>
        <w:spacing w:after="240"/>
      </w:pPr>
      <w:r>
        <w:rPr>
          <w:rFonts w:ascii="Calibri" w:hAnsi="Calibri"/>
          <w:b/>
          <w:i w:val="0"/>
          <w:color w:val="666666"/>
          <w:sz w:val="20"/>
        </w:rPr>
        <w:t xml:space="preserve">Scope: </w:t>
      </w:r>
      <w:r>
        <w:rPr>
          <w:rFonts w:ascii="Calibri" w:hAnsi="Calibri"/>
          <w:b w:val="0"/>
          <w:i w:val="0"/>
          <w:color w:val="666666"/>
          <w:sz w:val="20"/>
        </w:rPr>
        <w:t>Current configuration and results_current 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Bottom line.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simulator is reproducible and carefully implemented, but its headline results are driven mainly by assumptions about independence, unknown-rate targets, taxonomy, and timing. Improve model validity before treating the outputs as real-world AV risk estimates.</w:t>
            </w:r>
          </w:p>
        </w:tc>
      </w:tr>
    </w:tbl>
    <w:p>
      <w:pPr>
        <w:pStyle w:val="Heading1"/>
      </w:pPr>
      <w:r>
        <w:t>Highest-impact improvements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Model dependencies. </w:t>
      </w:r>
      <w:r>
        <w:rPr>
          <w:rFonts w:ascii="Calibri" w:hAnsi="Calibri"/>
          <w:b w:val="0"/>
          <w:i w:val="0"/>
          <w:color w:val="000000"/>
          <w:sz w:val="22"/>
        </w:rPr>
        <w:t>Replace independent layer sampling with conditional behavior—for example, ego maneuver conditioned on street and triggering state.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Use one unknown-rate framework. </w:t>
      </w:r>
      <w:r>
        <w:rPr>
          <w:rFonts w:ascii="Calibri" w:hAnsi="Calibri"/>
          <w:b w:val="0"/>
          <w:i w:val="0"/>
          <w:color w:val="000000"/>
          <w:sz w:val="22"/>
        </w:rPr>
        <w:t>The current model stacks several approximately 0.4% mechanisms, making the 2.04% overall unknown-time result largely predetermined. Set one system-level target or estimate each route from data.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Separate rarity from unknownness and risk. </w:t>
      </w:r>
      <w:r>
        <w:rPr>
          <w:rFonts w:ascii="Calibri" w:hAnsi="Calibri"/>
          <w:b w:val="0"/>
          <w:i w:val="0"/>
          <w:color w:val="000000"/>
          <w:sz w:val="22"/>
        </w:rPr>
        <w:t>A low-probability tuple is not automatically novel, poorly understood, or hazardous. Report rarity separately and use coverage, uncertainty, and severity for operational classification.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Improve dynamics. </w:t>
      </w:r>
      <w:r>
        <w:rPr>
          <w:rFonts w:ascii="Calibri" w:hAnsi="Calibri"/>
          <w:b w:val="0"/>
          <w:i w:val="0"/>
          <w:color w:val="000000"/>
          <w:sz w:val="22"/>
        </w:rPr>
        <w:t>Use element-specific durations, realistic street-to-street transitions, and state-dependent speed instead of one duration per layer and a constant 50 mph.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Quantify uncertainty. </w:t>
      </w:r>
      <w:r>
        <w:rPr>
          <w:rFonts w:ascii="Calibri" w:hAnsi="Calibri"/>
          <w:b w:val="0"/>
          <w:i w:val="0"/>
          <w:color w:val="000000"/>
          <w:sz w:val="22"/>
        </w:rPr>
        <w:t>Run ensembles across random seeds, parameter ranges, taxonomies, and dependency structures; report intervals and sensitivity rankings rather than one deterministic run.</w:t>
      </w:r>
    </w:p>
    <w:p>
      <w:pPr>
        <w:pStyle w:val="Heading1"/>
      </w:pPr>
      <w:r>
        <w:t>Immediate correctness and reporting fixes</w:t>
      </w:r>
    </w:p>
    <w:p>
      <w:pPr>
        <w:numPr>
          <w:ilvl w:val="0"/>
          <w:numId w:val="20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Correct the analytical model: </w:t>
      </w:r>
      <w:r>
        <w:rPr>
          <w:rFonts w:ascii="Calibri" w:hAnsi="Calibri"/>
          <w:b w:val="0"/>
          <w:i w:val="0"/>
          <w:color w:val="000000"/>
          <w:sz w:val="22"/>
        </w:rPr>
        <w:t>include full-scenario mass in union time and use the grouped hidden-trigger episode formula.</w:t>
      </w:r>
    </w:p>
    <w:p>
      <w:pPr>
        <w:numPr>
          <w:ilvl w:val="0"/>
          <w:numId w:val="20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Remove the near-Poisson claim: </w:t>
      </w:r>
      <w:r>
        <w:rPr>
          <w:rFonts w:ascii="Calibri" w:hAnsi="Calibri"/>
          <w:b w:val="0"/>
          <w:i w:val="0"/>
          <w:color w:val="000000"/>
          <w:sz w:val="22"/>
        </w:rPr>
        <w:t>the current dispersion index is 5.316, indicating substantial overdispersion.</w:t>
      </w:r>
    </w:p>
    <w:p>
      <w:pPr>
        <w:numPr>
          <w:ilvl w:val="0"/>
          <w:numId w:val="20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Stop exactly at the mileage target: </w:t>
      </w:r>
      <w:r>
        <w:rPr>
          <w:rFonts w:ascii="Calibri" w:hAnsi="Calibri"/>
          <w:b w:val="0"/>
          <w:i w:val="0"/>
          <w:color w:val="000000"/>
          <w:sz w:val="22"/>
        </w:rPr>
        <w:t>truncate the final event instead of recording a small overshoot.</w:t>
      </w:r>
    </w:p>
    <w:p>
      <w:pPr>
        <w:numPr>
          <w:ilvl w:val="0"/>
          <w:numId w:val="20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Add run provenance: </w:t>
      </w:r>
      <w:r>
        <w:rPr>
          <w:rFonts w:ascii="Calibri" w:hAnsi="Calibri"/>
          <w:b w:val="0"/>
          <w:i w:val="0"/>
          <w:color w:val="000000"/>
          <w:sz w:val="22"/>
        </w:rPr>
        <w:t>store generation time, model version, Git commit, and configuration hash with every result set.</w:t>
      </w:r>
    </w:p>
    <w:p>
      <w:pPr>
        <w:pStyle w:val="Heading1"/>
      </w:pPr>
      <w:r>
        <w:t>Design choices worth retaining</w:t>
      </w:r>
    </w:p>
    <w:p>
      <w:pPr>
        <w:spacing w:after="160"/>
      </w:pPr>
      <w:r>
        <w:rPr>
          <w:rFonts w:ascii="Calibri" w:hAnsi="Calibri"/>
          <w:b w:val="0"/>
          <w:i w:val="0"/>
          <w:color w:val="000000"/>
          <w:sz w:val="22"/>
        </w:rPr>
        <w:t>Keep the event-driven engine, isolated random streams, configuration validation, explicit episode semantics, overlap-aware union time, detailed episode output, and checkpoint/resume reproducibility.</w:t>
      </w:r>
    </w:p>
    <w:p>
      <w:pPr>
        <w:pStyle w:val="Heading1"/>
      </w:pPr>
      <w:r>
        <w:t>Recommended order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Correct verification and wording. </w:t>
      </w:r>
      <w:r>
        <w:rPr>
          <w:rFonts w:ascii="Calibri" w:hAnsi="Calibri"/>
          <w:b w:val="0"/>
          <w:i w:val="0"/>
          <w:color w:val="000000"/>
          <w:sz w:val="22"/>
        </w:rPr>
        <w:t>Fix analytical formulas, Poisson language, and result provenance.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Add ensemble analysis. </w:t>
      </w:r>
      <w:r>
        <w:rPr>
          <w:rFonts w:ascii="Calibri" w:hAnsi="Calibri"/>
          <w:b w:val="0"/>
          <w:i w:val="0"/>
          <w:color w:val="000000"/>
          <w:sz w:val="22"/>
        </w:rPr>
        <w:t>Measure how much conclusions change across seeds and assumptions.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Clarify the unknown definition. </w:t>
      </w:r>
      <w:r>
        <w:rPr>
          <w:rFonts w:ascii="Calibri" w:hAnsi="Calibri"/>
          <w:b w:val="0"/>
          <w:i w:val="0"/>
          <w:color w:val="000000"/>
          <w:sz w:val="22"/>
        </w:rPr>
        <w:t>Separate rarity, novelty, uncertainty, and hazard.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Improve temporal realism. </w:t>
      </w:r>
      <w:r>
        <w:rPr>
          <w:rFonts w:ascii="Calibri" w:hAnsi="Calibri"/>
          <w:b w:val="0"/>
          <w:i w:val="0"/>
          <w:color w:val="000000"/>
          <w:sz w:val="22"/>
        </w:rPr>
        <w:t>Add state-specific duration, speed, and street-transition models.</w:t>
      </w:r>
    </w:p>
    <w:p>
      <w:pPr>
        <w:numPr>
          <w:ilvl w:val="0"/>
          <w:numId w:val="21"/>
        </w:num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Introduce dependencies and calibrate with data. </w:t>
      </w:r>
      <w:r>
        <w:rPr>
          <w:rFonts w:ascii="Calibri" w:hAnsi="Calibri"/>
          <w:b w:val="0"/>
          <w:i w:val="0"/>
          <w:color w:val="000000"/>
          <w:sz w:val="22"/>
        </w:rPr>
        <w:t>Use conditional scenario dynamics and validate on held-out observations.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8"/>
      </w:rPr>
      <w:t>MODEL DESIGN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20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 Scenario Simulator - Concise Design Review</dc:title>
  <dc:subject>Prioritized design decisions and improvements</dc:subject>
  <dc:creator/>
  <cp:keywords>AV, simulation, design review, stochastic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