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rial" w:hAnsi="Arial"/>
          <w:b/>
          <w:sz w:val="23"/>
        </w:rPr>
        <w:t>AL CONSEJO GENERAL DEL PODER JUDICIAL</w:t>
      </w:r>
    </w:p>
    <w:p>
      <w:pPr>
        <w:spacing w:after="60"/>
        <w:jc w:val="center"/>
      </w:pPr>
      <w:r>
        <w:rPr>
          <w:rFonts w:ascii="Arial" w:hAnsi="Arial"/>
          <w:b/>
          <w:sz w:val="22"/>
        </w:rPr>
        <w:t>COMISIÓN PERMANENTE - SECCIÓN DE RECURSOS</w:t>
      </w:r>
    </w:p>
    <w:p>
      <w:pPr>
        <w:spacing w:after="60"/>
        <w:jc w:val="center"/>
      </w:pPr>
      <w:r>
        <w:rPr>
          <w:rFonts w:ascii="Arial" w:hAnsi="Arial"/>
          <w:b/>
          <w:sz w:val="21"/>
        </w:rPr>
        <w:t>RECURSO DE ALZADA 286/2026 | DILIGENCIA INFORMATIVA 169/2026</w:t>
      </w:r>
    </w:p>
    <w:p>
      <w:pPr>
        <w:spacing w:before="160" w:after="160"/>
        <w:jc w:val="center"/>
      </w:pPr>
      <w:r>
        <w:rPr>
          <w:rFonts w:ascii="Arial" w:hAnsi="Arial"/>
          <w:b/>
          <w:sz w:val="24"/>
        </w:rPr>
        <w:t>APORTACIÓN DE HECHO SOBREVINIENTE, SOLICITUD URGENTE DE PRESERVACIÓN Y TRAZABILIDAD, Y PETICIÓN SUBSIDIARIA DE DESGLOSE / ACTUACIÓN INSPECTORA RESPECTO DE DP 1901/2026</w:t>
      </w:r>
    </w:p>
    <w:p>
      <w:pPr>
        <w:spacing w:after="240"/>
        <w:jc w:val="center"/>
      </w:pPr>
      <w:r>
        <w:rPr>
          <w:rFonts w:ascii="Arial" w:hAnsi="Arial"/>
          <w:b/>
          <w:sz w:val="20"/>
        </w:rPr>
        <w:t>Plaza n.º 6 de la Sección de Instrucción del Tribunal de Instancia de Las Palmas de Gran Canaria - Magistrado-Juez D. Luis Francisco Galván Mesa</w:t>
      </w:r>
    </w:p>
    <w:p>
      <w:pPr>
        <w:jc w:val="center"/>
      </w:pPr>
      <w:r>
        <w:rPr>
          <w:rFonts w:ascii="Aptos" w:hAnsi="Aptos"/>
          <w:b/>
          <w:sz w:val="21"/>
        </w:rPr>
        <w:t>BORRADOR PROPUESTO - NO PRESENTADO / NO REMITIDO. Publicación informativa no equivale a presentación ante el CGPJ ni a recurso judicial contra el Auto.</w:t>
      </w:r>
    </w:p>
    <w:p>
      <w:r>
        <w:rPr>
          <w:rFonts w:ascii="Arial" w:hAnsi="Arial"/>
          <w:b w:val="0"/>
          <w:i w:val="0"/>
          <w:sz w:val="21"/>
        </w:rPr>
        <w:t>D. GIL MARER, cuyos datos identificativos constan ya ante ese Consejo, comparece en su propio nombre y derecho en el Recurso de Alzada 286/2026 y, como mejor proceda en Derecho,</w:t>
      </w:r>
    </w:p>
    <w:p>
      <w:pPr>
        <w:spacing w:before="160" w:after="160"/>
        <w:jc w:val="center"/>
      </w:pPr>
      <w:r>
        <w:rPr>
          <w:rFonts w:ascii="Arial" w:hAnsi="Arial"/>
          <w:b/>
          <w:i w:val="0"/>
          <w:sz w:val="21"/>
        </w:rPr>
        <w:t>EXPONE</w:t>
      </w:r>
    </w:p>
    <w:p>
      <w:pPr>
        <w:pStyle w:val="LegalHeading"/>
        <w:keepNext/>
        <w:jc w:val="left"/>
      </w:pPr>
      <w:r>
        <w:rPr>
          <w:rFonts w:ascii="Arial" w:hAnsi="Arial"/>
          <w:b w:val="0"/>
          <w:i w:val="0"/>
          <w:sz w:val="21"/>
        </w:rPr>
        <w:t>I. OBJETO PRECISO Y HECHO SOBREVINIENTE</w:t>
      </w:r>
    </w:p>
    <w:p>
      <w:pPr>
        <w:spacing w:after="80"/>
        <w:ind w:firstLine="0" w:left="0"/>
        <w:jc w:val="both"/>
      </w:pPr>
      <w:r>
        <w:rPr>
          <w:rFonts w:ascii="Arial" w:hAnsi="Arial"/>
          <w:b/>
          <w:sz w:val="21"/>
        </w:rPr>
        <w:t xml:space="preserve">1. </w:t>
      </w:r>
      <w:r>
        <w:rPr>
          <w:rFonts w:ascii="Arial" w:hAnsi="Arial"/>
          <w:sz w:val="21"/>
        </w:rPr>
        <w:t>El 14 de septiembre de 2026 el Magistrado-Juez D. Luis Francisco Galván Mesa dictó Auto en las Diligencias Previas 1901/2026, NIG 3501643220260016977, IUP LI2026017152, acordando SOBRESEIMIENTO LIBRE Y ARCHIVO. La resolución llegó al conocimiento del compareciente el 18 de septiembre de 2026.</w:t>
      </w:r>
    </w:p>
    <w:p>
      <w:pPr>
        <w:spacing w:after="80"/>
        <w:ind w:firstLine="0" w:left="0"/>
        <w:jc w:val="both"/>
      </w:pPr>
      <w:r>
        <w:rPr>
          <w:rFonts w:ascii="Arial" w:hAnsi="Arial"/>
          <w:b/>
          <w:sz w:val="21"/>
        </w:rPr>
        <w:t xml:space="preserve">2. </w:t>
      </w:r>
      <w:r>
        <w:rPr>
          <w:rFonts w:ascii="Arial" w:hAnsi="Arial"/>
          <w:sz w:val="21"/>
        </w:rPr>
        <w:t>El Auto afirma que DP 1901/2026 se incoó por denuncia de D. Gil Marer por presunta prevaricación judicial y registra que el Ministerio Fiscal emitió informe el 29 de julio de 2026 interesando el archivo.</w:t>
      </w:r>
    </w:p>
    <w:p>
      <w:pPr>
        <w:spacing w:after="80"/>
        <w:ind w:firstLine="0" w:left="0"/>
        <w:jc w:val="both"/>
      </w:pPr>
      <w:r>
        <w:rPr>
          <w:rFonts w:ascii="Arial" w:hAnsi="Arial"/>
          <w:b/>
          <w:sz w:val="21"/>
        </w:rPr>
        <w:t xml:space="preserve">3. </w:t>
      </w:r>
      <w:r>
        <w:rPr>
          <w:rFonts w:ascii="Arial" w:hAnsi="Arial"/>
          <w:sz w:val="21"/>
        </w:rPr>
        <w:t>Se trata de un hecho sobrevenido directamente relacionado con una cuestión de trazabilidad ya formalmente planteada ante ese Consejo: el destino, integridad y tratamiento de la denuncia judicial presentada el 18 de junio de 2026 y registrada materialmente como referencia diaria n.º 24.</w:t>
      </w:r>
    </w:p>
    <w:p>
      <w:pPr>
        <w:spacing w:after="80"/>
        <w:ind w:firstLine="0" w:left="0"/>
        <w:jc w:val="both"/>
      </w:pPr>
      <w:r>
        <w:rPr>
          <w:rFonts w:ascii="Arial" w:hAnsi="Arial"/>
          <w:b/>
          <w:sz w:val="21"/>
        </w:rPr>
        <w:t xml:space="preserve">4. </w:t>
      </w:r>
      <w:r>
        <w:rPr>
          <w:rFonts w:ascii="Arial" w:hAnsi="Arial"/>
          <w:sz w:val="21"/>
        </w:rPr>
        <w:t>Esta aportación NO pide al CGPJ que revoque el Auto, resuelva un recurso penal, sustituya al órgano jurisdiccional competente ni declare la existencia de prevaricación. Se solicita la verificación institucional de reparto, identidad procesal, incorporación documental, transmisión, funcionamiento de la Oficina Judicial y tratamiento competencial; y, si procede, el desglose a actuaciones inspectoras o disciplinarias separadas.</w:t>
      </w:r>
    </w:p>
    <w:p>
      <w:pPr>
        <w:pStyle w:val="LegalHeading"/>
        <w:keepNext/>
        <w:jc w:val="left"/>
      </w:pPr>
      <w:r>
        <w:rPr>
          <w:rFonts w:ascii="Arial" w:hAnsi="Arial"/>
          <w:b w:val="0"/>
          <w:i w:val="0"/>
          <w:sz w:val="21"/>
        </w:rPr>
        <w:t>II. LA PRESENTACIÓN DE 18 DE JUNIO ERA UNA DENUNCIA / NOTITIA CRIMINIS DIRIGIDA AL TSJC, NO UNA QUERELLA FORMAL</w:t>
      </w:r>
    </w:p>
    <w:p>
      <w:pPr>
        <w:spacing w:after="80"/>
        <w:ind w:firstLine="0" w:left="0"/>
        <w:jc w:val="both"/>
      </w:pPr>
      <w:r>
        <w:rPr>
          <w:rFonts w:ascii="Arial" w:hAnsi="Arial"/>
          <w:b/>
          <w:sz w:val="21"/>
        </w:rPr>
        <w:t xml:space="preserve">5. </w:t>
      </w:r>
      <w:r>
        <w:rPr>
          <w:rFonts w:ascii="Arial" w:hAnsi="Arial"/>
          <w:sz w:val="21"/>
        </w:rPr>
        <w:t>El 18 de junio de 2026 el compareciente presentó personalmente ante el Decanato de los Juzgados de Las Palmas de Gran Canaria un paquete documental relativo a posibles hechos atribuibles al Magistrado-Juez D. Alberto López Villarrubia. El escrito estaba expresamente encabezado a la Sala de lo Civil y Penal del Tribunal Superior de Justicia de Canarias.</w:t>
      </w:r>
    </w:p>
    <w:p>
      <w:pPr>
        <w:spacing w:after="80"/>
        <w:ind w:firstLine="0" w:left="0"/>
        <w:jc w:val="both"/>
      </w:pPr>
      <w:r>
        <w:rPr>
          <w:rFonts w:ascii="Arial" w:hAnsi="Arial"/>
          <w:b/>
          <w:sz w:val="21"/>
        </w:rPr>
        <w:t xml:space="preserve">6. </w:t>
      </w:r>
      <w:r>
        <w:rPr>
          <w:rFonts w:ascii="Arial" w:hAnsi="Arial"/>
          <w:sz w:val="21"/>
        </w:rPr>
        <w:t>El propio escrito definía su naturaleza como denuncia escrita / notitia criminis y excluía expresamente su consideración como querella formal o personación como acusación. Ello es coherente con el artículo 264 LECrim, que permite denunciar sin que el denunciante esté obligado a probar los hechos ni a formalizar querella.</w:t>
      </w:r>
    </w:p>
    <w:p>
      <w:pPr>
        <w:spacing w:after="80"/>
        <w:ind w:firstLine="0" w:left="0"/>
        <w:jc w:val="both"/>
      </w:pPr>
      <w:r>
        <w:rPr>
          <w:rFonts w:ascii="Arial" w:hAnsi="Arial"/>
          <w:b/>
          <w:sz w:val="21"/>
        </w:rPr>
        <w:t xml:space="preserve">7. </w:t>
      </w:r>
      <w:r>
        <w:rPr>
          <w:rFonts w:ascii="Arial" w:hAnsi="Arial"/>
          <w:sz w:val="21"/>
        </w:rPr>
        <w:t>La denuncia pedía preservar el material, oír al Ministerio Fiscal y realizar una comprobación documental inicial y limitada antes de adoptar una decisión definitiva. Asimismo, pedía que, si el cauce formal exigía querella, se indicase al denunciante preservando entretanto la documentación.</w:t>
      </w:r>
    </w:p>
    <w:p>
      <w:pPr>
        <w:spacing w:after="80"/>
        <w:ind w:firstLine="0" w:left="0"/>
        <w:jc w:val="both"/>
      </w:pPr>
      <w:r>
        <w:rPr>
          <w:rFonts w:ascii="Arial" w:hAnsi="Arial"/>
          <w:b/>
          <w:sz w:val="21"/>
        </w:rPr>
        <w:t xml:space="preserve">8. </w:t>
      </w:r>
      <w:r>
        <w:rPr>
          <w:rFonts w:ascii="Arial" w:hAnsi="Arial"/>
          <w:sz w:val="21"/>
        </w:rPr>
        <w:t>La copia sellada recibió referencia diaria n.º 24. En ella aparece además una anotación manuscrita de remisión al Juzgado de Instrucción que por turno correspondiera. Se solicita identificar quién efectuó esa anotación, cuándo, conforme a qué criterio y qué asiento de reparto generó. No se atribuye intención impropia a persona alguna por esa sola anotación.</w:t>
      </w:r>
    </w:p>
    <w:p>
      <w:pPr>
        <w:pStyle w:val="LegalHeading"/>
        <w:keepNext/>
        <w:jc w:val="left"/>
      </w:pPr>
      <w:r>
        <w:rPr>
          <w:rFonts w:ascii="Arial" w:hAnsi="Arial"/>
          <w:b w:val="0"/>
          <w:i w:val="0"/>
          <w:sz w:val="21"/>
        </w:rPr>
        <w:t>III. EXISTÍAN TRES PRESENTACIONES AUTÓNOMAS QUE DEBEN MANTENERSE DIFERENCIADAS</w:t>
      </w:r>
    </w:p>
    <w:p>
      <w:pPr>
        <w:spacing w:after="80"/>
        <w:ind w:firstLine="0" w:left="0"/>
        <w:jc w:val="both"/>
      </w:pPr>
      <w:r>
        <w:rPr>
          <w:rFonts w:ascii="Aptos" w:hAnsi="Aptos"/>
          <w:sz w:val="21"/>
        </w:rPr>
        <w:t>9. La documentación contemporánea y la declaración personal del compareciente mantienen tres presentaciones autónomas que no deben confundirse: referencia diaria n.º 22, presentada el 18 de junio de 2026 contra el Administrador Concursal; referencia diaria n.º 24, presentada también el 18 de junio como denuncia/notitia criminis relativa al Magistrado y dirigida al TSJC; y referencia diaria n.º 21, presentada el 25 de junio como denuncia autónoma contra actores privados. El compareciente afirma como hecho que la referencia 22 fue tramitada antes y acabó identificada como DP 1956/2026, Plaza n.º 1. Esa secuencia comparativa es relevante, pero no se presenta como certificación de que DP 1956 fuera necesariamente el destino jurídicamente correcto ni de la fecha exacta de su alta electrónica.</w:t>
      </w:r>
    </w:p>
    <w:p>
      <w:pPr>
        <w:spacing w:after="80"/>
        <w:ind w:firstLine="0" w:left="0"/>
        <w:jc w:val="both"/>
      </w:pPr>
      <w:r>
        <w:rPr>
          <w:rFonts w:ascii="Aptos" w:hAnsi="Aptos"/>
          <w:sz w:val="21"/>
        </w:rPr>
        <w:t>10. El 25 de junio de 2026 el compareciente acudió al Decanato para efectuar dos actuaciones separadas: (i) presentar la denuncia autónoma contra actores privados, que recibió la referencia diaria n.º 21; y (ii) aportar una ampliación a la denuncia/notitia criminis de la semana anterior, referencia n.º 24. La ampliación de trece páginas era expresamente dependiente de la referencia 24 y debía unirse a la presentación de 18 de junio, no a la denuncia autónoma n.º 21.</w:t>
      </w:r>
    </w:p>
    <w:p>
      <w:pPr>
        <w:spacing w:after="80"/>
        <w:ind w:firstLine="0" w:left="0"/>
        <w:jc w:val="both"/>
      </w:pPr>
      <w:r>
        <w:rPr>
          <w:rFonts w:ascii="Aptos" w:hAnsi="Aptos"/>
          <w:sz w:val="21"/>
        </w:rPr>
        <w:t>11. El compareciente declara como hecho, por percepción directa y comprobación personal realizada el 25 de junio en Decanato, que el expediente físico de la referencia 24 seguía allí intacto, sin escanear y sin asignar. Por tanto, no se propone como explicación compatible con su testimonio una supuesta digitalización o asignación electrónica previa. El relato contemporáneo añade que el personal unió físicamente la ampliación a los papeles anteriores y describe que un '25' manuscrito fue sustituido por '18' y que se añadió '24'. La fecha real de presentación de la ampliación sigue siendo el 25 de junio. Esta descripción se aporta para reconstruir trazabilidad material y no como alegación autónoma de falsificación, retroacción ilícita o alteración dolosa. Una comunicación contemporánea del 25 de junio apoya la existencia de las dos actuaciones separadas, la remisión de la vía del Administrador Concursal y la permanencia/no remisión de la referencia 24; al mismo tiempo señalaba que la numeración/registro de la vía del Administrador Concursal seguía pendiente, por lo que no certifica que DP 1956 estuviera formalmente abierto ese mismo día.</w:t>
      </w:r>
    </w:p>
    <w:p>
      <w:r>
        <w:rPr>
          <w:rFonts w:ascii="Aptos" w:hAnsi="Aptos"/>
          <w:sz w:val="21"/>
        </w:rPr>
        <w:t>Fuente contemporánea adicional: una comunicación al CGPJ remitida el 26 de junio describe la dirección inicial al TSJC, la exigencia de añadir a mano el destinatario 'Al Juzgado de Instrucción que por turno corresponda' el 18 de junio y la secuencia de manejo de la ampliación del 25 de junio. El texto localizado no utiliza literalmente la palabra 'sin escanear'; esa proposición concreta procede de la afirmación presencial actual del compareciente. La copia nativa del adjunto de aquella comunicación no ha podido verificarse todavía, por lo que se mantiene abierta su autenticación técnica completa.</w:t>
      </w:r>
    </w:p>
    <w:p>
      <w:pPr>
        <w:pStyle w:val="LegalHeading"/>
        <w:keepNext/>
        <w:jc w:val="left"/>
      </w:pPr>
      <w:r>
        <w:rPr>
          <w:rFonts w:ascii="Arial" w:hAnsi="Arial"/>
          <w:b w:val="0"/>
          <w:i w:val="0"/>
          <w:sz w:val="21"/>
        </w:rPr>
        <w:t>IV. EN JULIO, DP 1901 APARECIÓ OPERATIVAMENTE ASOCIADO A MATERIAL DE ACTORES PRIVADOS</w:t>
      </w:r>
    </w:p>
    <w:p>
      <w:pPr>
        <w:spacing w:after="80"/>
        <w:ind w:firstLine="0" w:left="0"/>
        <w:jc w:val="both"/>
      </w:pPr>
      <w:r>
        <w:rPr>
          <w:rFonts w:ascii="Arial" w:hAnsi="Arial"/>
          <w:b/>
          <w:sz w:val="21"/>
        </w:rPr>
        <w:t xml:space="preserve">12. </w:t>
      </w:r>
      <w:r>
        <w:rPr>
          <w:rFonts w:ascii="Arial" w:hAnsi="Arial"/>
          <w:sz w:val="21"/>
        </w:rPr>
        <w:t>El 9 de julio de 2026 una consulta ATLANTE mostró DP 1901/2026, Plaza n.º 6, con D. Gil Marer como denunciante, y DP 1956/2026, Plaza n.º 1, igualmente con D. Gil Marer como denunciante. La pantalla ATLANTE no identifica por sí sola denunciados u objeto material.</w:t>
      </w:r>
    </w:p>
    <w:p>
      <w:pPr>
        <w:spacing w:after="80"/>
        <w:ind w:firstLine="0" w:left="0"/>
        <w:jc w:val="both"/>
      </w:pPr>
      <w:r>
        <w:rPr>
          <w:rFonts w:ascii="Arial" w:hAnsi="Arial"/>
          <w:b/>
          <w:sz w:val="21"/>
        </w:rPr>
        <w:t xml:space="preserve">13. </w:t>
      </w:r>
      <w:r>
        <w:rPr>
          <w:rFonts w:ascii="Arial" w:hAnsi="Arial"/>
          <w:sz w:val="21"/>
        </w:rPr>
        <w:t>Existe, sin embargo, una fuente física separada: el 9 de julio se presentó y selló ante Decanato una ampliación/aportación documental relativa a actores privados identificando expresamente DP 1901/2026 y Plaza n.º 6.</w:t>
      </w:r>
    </w:p>
    <w:p>
      <w:pPr>
        <w:spacing w:after="80"/>
        <w:ind w:firstLine="0" w:left="0"/>
        <w:jc w:val="both"/>
      </w:pPr>
      <w:r>
        <w:rPr>
          <w:rFonts w:ascii="Aptos" w:hAnsi="Aptos"/>
          <w:sz w:val="21"/>
        </w:rPr>
        <w:t>14. La correspondencia contemporánea con procuradora y letrados refleja que, en ese momento, el entendimiento operativo era DP 1901 = denuncia contra CAM/actores privados/Comunidad y DP 1956 = Administrador Concursal. El compareciente mantiene hoy de forma categórica que DP 1901 se originó en la denuncia autónoma contra actores privados y que el material de la referencia 24 fue asociado posteriormente. Esa afirmación debe preservarse como su posición factual expresa, separada de la certificación independiente del historial electrónico de creación, reparto y asociación, que sigue pendiente.</w:t>
      </w:r>
    </w:p>
    <w:p>
      <w:pPr>
        <w:pStyle w:val="LegalHeading"/>
        <w:keepNext/>
        <w:jc w:val="left"/>
      </w:pPr>
      <w:r>
        <w:rPr>
          <w:rFonts w:ascii="Arial" w:hAnsi="Arial"/>
          <w:b w:val="0"/>
          <w:i w:val="0"/>
          <w:sz w:val="21"/>
        </w:rPr>
        <w:t>V. EL PIVOTE OBJETIVO DEL 12 DE JULIO Y LA AUSENCIA DE UN PUENTE DOCUMENTAL</w:t>
      </w:r>
    </w:p>
    <w:p>
      <w:pPr>
        <w:spacing w:after="80"/>
        <w:ind w:firstLine="0" w:left="0"/>
        <w:jc w:val="both"/>
      </w:pPr>
      <w:r>
        <w:rPr>
          <w:rFonts w:ascii="Arial" w:hAnsi="Arial"/>
          <w:b/>
          <w:sz w:val="21"/>
        </w:rPr>
        <w:t xml:space="preserve">15. </w:t>
      </w:r>
      <w:r>
        <w:rPr>
          <w:rFonts w:ascii="Arial" w:hAnsi="Arial"/>
          <w:sz w:val="21"/>
        </w:rPr>
        <w:t>El 12 de julio de 2026 D. Luis Francisco Galván Mesa dictó providencia en DP 1901/2026 dando traslado al Ministerio Fiscal durante cinco días para informar sobre admisión en relación con DIP 2/2026, expediente de Fiscalía conectado al módulo de posible prevaricación judicial.</w:t>
      </w:r>
    </w:p>
    <w:p>
      <w:pPr>
        <w:spacing w:after="80"/>
        <w:ind w:firstLine="0" w:left="0"/>
        <w:jc w:val="both"/>
      </w:pPr>
      <w:r>
        <w:rPr>
          <w:rFonts w:ascii="Aptos" w:hAnsi="Aptos"/>
          <w:sz w:val="21"/>
        </w:rPr>
        <w:t>16. No consta en el corpus controlado el documento inicial que generó el NIG de DP 1901; la hoja o certificado de reparto de las referencias 21, 22 y 24; ni resolución, diligencia o asiento de acumulación, unión, reasignación, remisión, segregación o transformación de objeto que explique documentalmente cuándo y por qué la referencia 24 terminó asociada a DP 1901 en lugar de continuar hacia el TSJC. Tampoco consta un puente certificado que permita comparar esa ruta con el tratamiento separado de la referencia 22/DP 1956.</w:t>
      </w:r>
    </w:p>
    <w:p>
      <w:pPr>
        <w:spacing w:after="80"/>
        <w:ind w:firstLine="0" w:left="0"/>
        <w:jc w:val="both"/>
      </w:pPr>
      <w:r>
        <w:rPr>
          <w:rFonts w:ascii="Aptos" w:hAnsi="Aptos"/>
          <w:sz w:val="21"/>
        </w:rPr>
        <w:t>17. La LOPJ atribuye a la Sala Civil y Penal del Tribunal Superior, como Sala Penal, las causas contra jueces y magistrados por delitos cometidos en el ejercicio de su cargo dentro de la Comunidad Autónoma, salvo los supuestos reservados al Tribunal Supremo. La cuestión aquí no es pedir al CGPJ que decida competencia penal, sino que se produzcan los actos y asientos que expliquen la ruta realmente seguida: quién, cuándo y sobre qué base registrada asoció o encaminó la referencia 24 hacia DP 1901, y cómo se relaciona ese tratamiento con la vía separada de la referencia 22/DP 1956.</w:t>
      </w:r>
    </w:p>
    <w:p>
      <w:pPr>
        <w:pStyle w:val="LegalHeading"/>
        <w:keepNext/>
        <w:jc w:val="left"/>
      </w:pPr>
      <w:r>
        <w:rPr>
          <w:rFonts w:ascii="Arial" w:hAnsi="Arial"/>
          <w:b w:val="0"/>
          <w:i w:val="0"/>
          <w:sz w:val="21"/>
        </w:rPr>
        <w:t>VI. INFORME DEL MINISTERIO FISCAL DE 29 DE JULIO: EXISTENCIA ACREDITADA, CORPUS DESCONOCIDO</w:t>
      </w:r>
    </w:p>
    <w:p>
      <w:pPr>
        <w:spacing w:after="80"/>
        <w:ind w:firstLine="0" w:left="0"/>
        <w:jc w:val="both"/>
      </w:pPr>
      <w:r>
        <w:rPr>
          <w:rFonts w:ascii="Arial" w:hAnsi="Arial"/>
          <w:b/>
          <w:sz w:val="21"/>
        </w:rPr>
        <w:t xml:space="preserve">18. </w:t>
      </w:r>
      <w:r>
        <w:rPr>
          <w:rFonts w:ascii="Arial" w:hAnsi="Arial"/>
          <w:sz w:val="21"/>
        </w:rPr>
        <w:t>El Auto de 14 de septiembre acredita procesalmente que el Ministerio Fiscal emitió informe de 29 de julio de 2026 interesando el archivo.</w:t>
      </w:r>
    </w:p>
    <w:p>
      <w:pPr>
        <w:spacing w:after="80"/>
        <w:ind w:firstLine="0" w:left="0"/>
        <w:jc w:val="both"/>
      </w:pPr>
      <w:r>
        <w:rPr>
          <w:rFonts w:ascii="Arial" w:hAnsi="Arial"/>
          <w:b/>
          <w:sz w:val="21"/>
        </w:rPr>
        <w:t xml:space="preserve">19. </w:t>
      </w:r>
      <w:r>
        <w:rPr>
          <w:rFonts w:ascii="Arial" w:hAnsi="Arial"/>
          <w:sz w:val="21"/>
        </w:rPr>
        <w:t>No se dispone todavía de copia controlada del informe firmado ni consta en el material disponible su autor, asignación, razonamiento, visado, corpus exacto recibido ni índice de los documentos remitidos por el Juzgado.</w:t>
      </w:r>
    </w:p>
    <w:p>
      <w:pPr>
        <w:spacing w:after="80"/>
        <w:ind w:firstLine="0" w:left="0"/>
        <w:jc w:val="both"/>
      </w:pPr>
      <w:r>
        <w:rPr>
          <w:rFonts w:ascii="Arial" w:hAnsi="Arial"/>
          <w:b/>
          <w:sz w:val="21"/>
        </w:rPr>
        <w:t xml:space="preserve">20. </w:t>
      </w:r>
      <w:r>
        <w:rPr>
          <w:rFonts w:ascii="Arial" w:hAnsi="Arial"/>
          <w:sz w:val="21"/>
        </w:rPr>
        <w:t>La solicitud no cuestiona el derecho del Ministerio Fiscal a interesar el archivo. Se pide saber sobre qué expediente material y sobre qué documentos informó.</w:t>
      </w:r>
    </w:p>
    <w:p>
      <w:pPr>
        <w:pStyle w:val="LegalHeading"/>
        <w:keepNext/>
        <w:jc w:val="left"/>
      </w:pPr>
      <w:r>
        <w:rPr>
          <w:rFonts w:ascii="Arial" w:hAnsi="Arial"/>
          <w:b w:val="0"/>
          <w:i w:val="0"/>
          <w:sz w:val="21"/>
        </w:rPr>
        <w:t>VII. EL AUTO DE 14 DE SEPTIEMBRE CARACTERIZA DP 1901 COMO CAUSA DE PREVARICACIÓN</w:t>
      </w:r>
    </w:p>
    <w:p>
      <w:pPr>
        <w:spacing w:after="80"/>
        <w:ind w:firstLine="0" w:left="0"/>
        <w:jc w:val="both"/>
      </w:pPr>
      <w:r>
        <w:rPr>
          <w:rFonts w:ascii="Aptos" w:hAnsi="Aptos"/>
          <w:sz w:val="21"/>
        </w:rPr>
        <w:t>21. El Auto afirma expresamente que DP 1901 fue incoado por denuncia de D. Gil Marer por presunta prevaricación. Esa caracterización debe reconciliarse con la declaración categórica del compareciente de que DP 1901 nació de la denuncia autónoma contra actores privados; con la autonomía de la referencia 24; con la existencia y tratamiento separado de la referencia 22; con el material privado sellado bajo DP 1901 el 9 de julio; y con cualquier acto posterior de unión, asociación, reasignación o cambio de objeto.</w:t>
      </w:r>
    </w:p>
    <w:p>
      <w:pPr>
        <w:spacing w:after="80"/>
        <w:ind w:firstLine="0" w:left="0"/>
        <w:jc w:val="both"/>
      </w:pPr>
      <w:r>
        <w:rPr>
          <w:rFonts w:ascii="Aptos" w:hAnsi="Aptos"/>
          <w:sz w:val="21"/>
        </w:rPr>
        <w:t>22. Desde la posición factual del compareciente, la secuencia es definida: DP 1901 se originó en la denuncia contra actores privados y la referencia 24 fue asociada después. Lo que permanece abierto, porque exige certificación institucional, es el historial del sistema que permita verificar o contradecir esa secuencia y, sobre todo, identificar autor, fecha, fundamento y asiento de la asociación/routing. La ausencia actual de ese puente no autoriza a convertir la posición del compareciente en hecho institucional certificado, pero tampoco a neutralizarla mediante una hipótesis de escaneo o asignación previa que contradice expresamente su testimonio de 25 de junio.</w:t>
      </w:r>
    </w:p>
    <w:p>
      <w:pPr>
        <w:pStyle w:val="LegalHeading"/>
        <w:keepNext/>
        <w:jc w:val="left"/>
      </w:pPr>
      <w:r>
        <w:rPr>
          <w:rFonts w:ascii="Arial" w:hAnsi="Arial"/>
          <w:b w:val="0"/>
          <w:i w:val="0"/>
          <w:sz w:val="21"/>
        </w:rPr>
        <w:t>VIII. POSIBLE INDETERMINACIÓN DEL OBJETO Y DEL CORPUS DECIDIDO</w:t>
      </w:r>
    </w:p>
    <w:p>
      <w:pPr>
        <w:spacing w:after="80"/>
        <w:ind w:firstLine="0" w:left="0"/>
        <w:jc w:val="both"/>
      </w:pPr>
      <w:r>
        <w:rPr>
          <w:rFonts w:ascii="Arial" w:hAnsi="Arial"/>
          <w:b/>
          <w:sz w:val="21"/>
        </w:rPr>
        <w:t xml:space="preserve">23. </w:t>
      </w:r>
      <w:r>
        <w:rPr>
          <w:rFonts w:ascii="Arial" w:hAnsi="Arial"/>
          <w:sz w:val="21"/>
        </w:rPr>
        <w:t>La denuncia judicial de junio utilizaba los Autos de 12 de septiembre y 11 de noviembre de 2025 como antecedente de continuidad, pero su núcleo documental era más amplio y anterior, principalmente 2018-2022: salida financiada; crédito y umbral económico; operación OB REM y no convalidación; licitación/adjudicación; e identidad del acreedor, oferente y adjudicatario.</w:t>
      </w:r>
    </w:p>
    <w:p>
      <w:pPr>
        <w:spacing w:after="80"/>
        <w:ind w:firstLine="0" w:left="0"/>
        <w:jc w:val="both"/>
      </w:pPr>
      <w:r>
        <w:rPr>
          <w:rFonts w:ascii="Arial" w:hAnsi="Arial"/>
          <w:b/>
          <w:sz w:val="21"/>
        </w:rPr>
        <w:t xml:space="preserve">24. </w:t>
      </w:r>
      <w:r>
        <w:rPr>
          <w:rFonts w:ascii="Arial" w:hAnsi="Arial"/>
          <w:sz w:val="21"/>
        </w:rPr>
        <w:t>El Auto de 14 de septiembre menciona que se aportó un núcleo cronológico y documental anterior a 2025, pero su razonamiento se concentra esencialmente en las resoluciones de 2025 y en la discrepancia del denunciante con ellas.</w:t>
      </w:r>
    </w:p>
    <w:p>
      <w:pPr>
        <w:spacing w:after="80"/>
        <w:ind w:firstLine="0" w:left="0"/>
        <w:jc w:val="both"/>
      </w:pPr>
      <w:r>
        <w:rPr>
          <w:rFonts w:ascii="Arial" w:hAnsi="Arial"/>
          <w:b/>
          <w:sz w:val="21"/>
        </w:rPr>
        <w:t xml:space="preserve">25. </w:t>
      </w:r>
      <w:r>
        <w:rPr>
          <w:rFonts w:ascii="Arial" w:hAnsi="Arial"/>
          <w:sz w:val="21"/>
        </w:rPr>
        <w:t>Se solicita verificar cuál era el objeto formal registrado en DP 1901, qué documentos estaban efectivamente incorporados y cuáles fueron puestos a disposición del Juzgado y del Ministerio Fiscal antes de la decisión.</w:t>
      </w:r>
    </w:p>
    <w:p>
      <w:pPr>
        <w:pStyle w:val="LegalHeading"/>
        <w:keepNext/>
        <w:jc w:val="left"/>
      </w:pPr>
      <w:r>
        <w:rPr>
          <w:rFonts w:ascii="Arial" w:hAnsi="Arial"/>
          <w:b w:val="0"/>
          <w:i w:val="0"/>
          <w:sz w:val="21"/>
        </w:rPr>
        <w:t>IX. AUSENCIA DE UNA FASE DOCUMENTAL IDENTIFICABLE EN LA RESOLUCIÓN</w:t>
      </w:r>
    </w:p>
    <w:p>
      <w:pPr>
        <w:spacing w:after="80"/>
        <w:ind w:firstLine="0" w:left="0"/>
        <w:jc w:val="both"/>
      </w:pPr>
      <w:r>
        <w:rPr>
          <w:rFonts w:ascii="Arial" w:hAnsi="Arial"/>
          <w:b/>
          <w:sz w:val="21"/>
        </w:rPr>
        <w:t xml:space="preserve">26. </w:t>
      </w:r>
      <w:r>
        <w:rPr>
          <w:rFonts w:ascii="Arial" w:hAnsi="Arial"/>
          <w:sz w:val="21"/>
        </w:rPr>
        <w:t>La denuncia de junio solicitó una primera fase finita y documental: testimonios certificados, registros de entrada/notificación, documentos de financiación, certificaciones de deuda, expediente de la operación OB REM, licitación/adjudicación y otras fuentes institucionalmente custodiadas.</w:t>
      </w:r>
    </w:p>
    <w:p>
      <w:pPr>
        <w:spacing w:after="80"/>
        <w:ind w:firstLine="0" w:left="0"/>
        <w:jc w:val="both"/>
      </w:pPr>
      <w:r>
        <w:rPr>
          <w:rFonts w:ascii="Arial" w:hAnsi="Arial"/>
          <w:b/>
          <w:sz w:val="21"/>
        </w:rPr>
        <w:t xml:space="preserve">27. </w:t>
      </w:r>
      <w:r>
        <w:rPr>
          <w:rFonts w:ascii="Arial" w:hAnsi="Arial"/>
          <w:sz w:val="21"/>
        </w:rPr>
        <w:t>El Auto concluye que las imputaciones carecen de un mínimo principio de prueba o soporte objetivo, pero no individualiza qué diligencias documentales se practicaron, qué fuentes se recabaron, qué partes del paquete fueron examinadas o qué material fue considerado insuficiente.</w:t>
      </w:r>
    </w:p>
    <w:p>
      <w:pPr>
        <w:spacing w:after="80"/>
        <w:ind w:firstLine="0" w:left="0"/>
        <w:jc w:val="both"/>
      </w:pPr>
      <w:r>
        <w:rPr>
          <w:rFonts w:ascii="Arial" w:hAnsi="Arial"/>
          <w:b/>
          <w:sz w:val="21"/>
        </w:rPr>
        <w:t xml:space="preserve">28. </w:t>
      </w:r>
      <w:r>
        <w:rPr>
          <w:rFonts w:ascii="Arial" w:hAnsi="Arial"/>
          <w:sz w:val="21"/>
        </w:rPr>
        <w:t>No se afirma que el órgano estuviera obligado a practicar todas las diligencias propuestas. Se pide únicamente identificar el corpus incorporado y examinado antes de una resolución que utiliza expresamente la falta de soporte probatorio como fundamento.</w:t>
      </w:r>
    </w:p>
    <w:p>
      <w:pPr>
        <w:pStyle w:val="LegalHeading"/>
        <w:keepNext/>
        <w:jc w:val="left"/>
      </w:pPr>
      <w:r>
        <w:rPr>
          <w:rFonts w:ascii="Arial" w:hAnsi="Arial"/>
          <w:b w:val="0"/>
          <w:i w:val="0"/>
          <w:sz w:val="21"/>
        </w:rPr>
        <w:t>X. SOBRESEIMIENTO LIBRE, ALCANCE Y NECESIDAD DE IDENTIDAD PROCESAL CERTIFICADA</w:t>
      </w:r>
    </w:p>
    <w:p>
      <w:pPr>
        <w:spacing w:after="80"/>
        <w:ind w:firstLine="0" w:left="0"/>
        <w:jc w:val="both"/>
      </w:pPr>
      <w:r>
        <w:rPr>
          <w:rFonts w:ascii="Arial" w:hAnsi="Arial"/>
          <w:b/>
          <w:sz w:val="21"/>
        </w:rPr>
        <w:t xml:space="preserve">29. </w:t>
      </w:r>
      <w:r>
        <w:rPr>
          <w:rFonts w:ascii="Arial" w:hAnsi="Arial"/>
          <w:sz w:val="21"/>
        </w:rPr>
        <w:t>El Auto acuerda SOBRESEIMIENTO LIBRE con cita del artículo 637.2 LECrim y afirma que los hechos no presentan caracteres de infracción criminal, al tiempo que utiliza lenguaje de falta de base o principio de prueba.</w:t>
      </w:r>
    </w:p>
    <w:p>
      <w:pPr>
        <w:spacing w:after="80"/>
        <w:ind w:firstLine="0" w:left="0"/>
        <w:jc w:val="both"/>
      </w:pPr>
      <w:r>
        <w:rPr>
          <w:rFonts w:ascii="Arial" w:hAnsi="Arial"/>
          <w:b/>
          <w:sz w:val="21"/>
        </w:rPr>
        <w:t xml:space="preserve">30. </w:t>
      </w:r>
      <w:r>
        <w:rPr>
          <w:rFonts w:ascii="Arial" w:hAnsi="Arial"/>
          <w:sz w:val="21"/>
        </w:rPr>
        <w:t>La correcta aplicación de los artículos 637 y 641 LECrim pertenece en primer término a la vía jurisdiccional y a los recursos correspondientes. No se pide al CGPJ resolverla.</w:t>
      </w:r>
    </w:p>
    <w:p>
      <w:pPr>
        <w:spacing w:after="80"/>
        <w:ind w:firstLine="0" w:left="0"/>
        <w:jc w:val="both"/>
      </w:pPr>
      <w:r>
        <w:rPr>
          <w:rFonts w:ascii="Arial" w:hAnsi="Arial"/>
          <w:b/>
          <w:sz w:val="21"/>
        </w:rPr>
        <w:t xml:space="preserve">31. </w:t>
      </w:r>
      <w:r>
        <w:rPr>
          <w:rFonts w:ascii="Arial" w:hAnsi="Arial"/>
          <w:sz w:val="21"/>
        </w:rPr>
        <w:t>Precisamente por la potencial consecuencia definitiva del sobreseimiento libre, resulta institucionalmente necesario determinar con exactitud qué denuncia lo originó, qué hechos integraban su objeto y si alguna denuncia autónoma de actores privados quedó dentro o fuera del pronunciamiento.</w:t>
      </w:r>
    </w:p>
    <w:p>
      <w:pPr>
        <w:pStyle w:val="LegalHeading"/>
        <w:keepNext/>
        <w:jc w:val="left"/>
      </w:pPr>
      <w:r>
        <w:rPr>
          <w:rFonts w:ascii="Arial" w:hAnsi="Arial"/>
          <w:b w:val="0"/>
          <w:i w:val="0"/>
          <w:sz w:val="21"/>
        </w:rPr>
        <w:t>XI. AFIRMACIÓN SOBRE RECURSOS CONTRA LAS RESOLUCIONES CONCURSALES</w:t>
      </w:r>
    </w:p>
    <w:p>
      <w:pPr>
        <w:spacing w:after="80"/>
        <w:ind w:firstLine="0" w:left="0"/>
        <w:jc w:val="both"/>
      </w:pPr>
      <w:r>
        <w:rPr>
          <w:rFonts w:ascii="Arial" w:hAnsi="Arial"/>
          <w:b/>
          <w:sz w:val="21"/>
        </w:rPr>
        <w:t xml:space="preserve">32. </w:t>
      </w:r>
      <w:r>
        <w:rPr>
          <w:rFonts w:ascii="Arial" w:hAnsi="Arial"/>
          <w:sz w:val="21"/>
        </w:rPr>
        <w:t>El Auto indica que las resoluciones cuestionadas pudieron ser apeladas por el denunciante y que no consta que lo hiciera. El registro documental, sin embargo, identifica recursos de apelación promovidos por las personas jurídicas directamente intervinientes: RPL 3319/2025 (Aweswell Limited) y RPL 3304/2025 (Luchy Playa Blanca, S.L.U.).</w:t>
      </w:r>
    </w:p>
    <w:p>
      <w:pPr>
        <w:spacing w:after="80"/>
        <w:ind w:firstLine="0" w:left="0"/>
        <w:jc w:val="both"/>
      </w:pPr>
      <w:r>
        <w:rPr>
          <w:rFonts w:ascii="Arial" w:hAnsi="Arial"/>
          <w:b/>
          <w:sz w:val="21"/>
        </w:rPr>
        <w:t xml:space="preserve">33. </w:t>
      </w:r>
      <w:r>
        <w:rPr>
          <w:rFonts w:ascii="Arial" w:hAnsi="Arial"/>
          <w:sz w:val="21"/>
        </w:rPr>
        <w:t>Si la afirmación se refiere exclusivamente a D. Gil Marer personalmente, deberá valorarse en sede jurisdiccional la relevancia de esa distinción. Para el CGPJ, la cuestión funcional es más limitada: qué expediente y documentación de recursos constaban realmente ante el órgano decisor.</w:t>
      </w:r>
    </w:p>
    <w:p>
      <w:pPr>
        <w:pStyle w:val="LegalHeading"/>
        <w:keepNext/>
        <w:jc w:val="left"/>
      </w:pPr>
      <w:r>
        <w:rPr>
          <w:rFonts w:ascii="Arial" w:hAnsi="Arial"/>
          <w:b w:val="0"/>
          <w:i w:val="0"/>
          <w:sz w:val="21"/>
        </w:rPr>
        <w:t>XII. DESTINO DE LA DENUNCIA AUTÓNOMA CONTRA ACTORES PRIVADOS</w:t>
      </w:r>
    </w:p>
    <w:p>
      <w:pPr>
        <w:spacing w:after="80"/>
        <w:ind w:firstLine="0" w:left="0"/>
        <w:jc w:val="both"/>
      </w:pPr>
      <w:r>
        <w:rPr>
          <w:rFonts w:ascii="Arial" w:hAnsi="Arial"/>
          <w:b/>
          <w:sz w:val="21"/>
        </w:rPr>
        <w:t xml:space="preserve">34. </w:t>
      </w:r>
      <w:r>
        <w:rPr>
          <w:rFonts w:ascii="Arial" w:hAnsi="Arial"/>
          <w:sz w:val="21"/>
        </w:rPr>
        <w:t>Material correspondiente a la denuncia de actores privados fue presentado físicamente bajo DP 1901/2026, Plaza n.º 6, el 9 de julio. Por ello debe identificarse qué tratamiento recibió.</w:t>
      </w:r>
    </w:p>
    <w:p>
      <w:pPr>
        <w:spacing w:after="80"/>
        <w:ind w:firstLine="0" w:left="0"/>
        <w:jc w:val="both"/>
      </w:pPr>
      <w:r>
        <w:rPr>
          <w:rFonts w:ascii="Arial" w:hAnsi="Arial"/>
          <w:b/>
          <w:sz w:val="21"/>
        </w:rPr>
        <w:t xml:space="preserve">35. </w:t>
      </w:r>
      <w:r>
        <w:rPr>
          <w:rFonts w:ascii="Arial" w:hAnsi="Arial"/>
          <w:sz w:val="21"/>
        </w:rPr>
        <w:t>Si DP 1901 era exclusivamente la causa de prevaricación, debe explicarse la recepción del material privado bajo ese número y su posterior destino. Si DP 1901 nació de la denuncia privada, debe identificarse el acto por el que pasó a tramitarse como causa de prevaricación. Si existió unión, reasignación o segregación válida, basta producir el acto correspondiente.</w:t>
      </w:r>
    </w:p>
    <w:p>
      <w:pPr>
        <w:pStyle w:val="LegalHeading"/>
        <w:keepNext/>
        <w:jc w:val="left"/>
      </w:pPr>
      <w:r>
        <w:rPr>
          <w:rFonts w:ascii="Arial" w:hAnsi="Arial"/>
          <w:b w:val="0"/>
          <w:i w:val="0"/>
          <w:sz w:val="21"/>
        </w:rPr>
        <w:t>XIII. LA TRAZABILIDAD YA ESTABA FORMALMENTE ANTE EL CGPJ</w:t>
      </w:r>
    </w:p>
    <w:p>
      <w:pPr>
        <w:spacing w:after="80"/>
        <w:ind w:firstLine="0" w:left="0"/>
        <w:jc w:val="both"/>
      </w:pPr>
      <w:r>
        <w:rPr>
          <w:rFonts w:ascii="Arial" w:hAnsi="Arial"/>
          <w:b/>
          <w:sz w:val="21"/>
        </w:rPr>
        <w:t xml:space="preserve">36. </w:t>
      </w:r>
      <w:r>
        <w:rPr>
          <w:rFonts w:ascii="Arial" w:hAnsi="Arial"/>
          <w:sz w:val="21"/>
        </w:rPr>
        <w:t>El problema no nace retrospectivamente del Auto de septiembre. El 25 de junio de 2026 se puso en conocimiento del CGPJ la incidencia de localización y transmisión de la referencia 24.</w:t>
      </w:r>
    </w:p>
    <w:p>
      <w:pPr>
        <w:spacing w:after="80"/>
        <w:ind w:firstLine="0" w:left="0"/>
        <w:jc w:val="both"/>
      </w:pPr>
      <w:r>
        <w:rPr>
          <w:rFonts w:ascii="Arial" w:hAnsi="Arial"/>
          <w:b/>
          <w:sz w:val="21"/>
        </w:rPr>
        <w:t xml:space="preserve">37. </w:t>
      </w:r>
      <w:r>
        <w:rPr>
          <w:rFonts w:ascii="Arial" w:hAnsi="Arial"/>
          <w:sz w:val="21"/>
        </w:rPr>
        <w:t>El propio Acuerdo del Promotor de 10 de julio de 2026 reprodujo expresamente la solicitud de identificar y reconciliar dos cadenas institucionales convergentes sobre el TSJC, verificar la localización, integridad y transmisión de la referencia 24 y preservar sus fechas y metadatos.</w:t>
      </w:r>
    </w:p>
    <w:p>
      <w:pPr>
        <w:spacing w:after="80"/>
        <w:ind w:firstLine="0" w:left="0"/>
        <w:jc w:val="both"/>
      </w:pPr>
      <w:r>
        <w:rPr>
          <w:rFonts w:ascii="Arial" w:hAnsi="Arial"/>
          <w:b/>
          <w:sz w:val="21"/>
        </w:rPr>
        <w:t xml:space="preserve">38. </w:t>
      </w:r>
      <w:r>
        <w:rPr>
          <w:rFonts w:ascii="Arial" w:hAnsi="Arial"/>
          <w:sz w:val="21"/>
        </w:rPr>
        <w:t>El 15 de julio se presentó una solicitud adicional de trazabilidad. La Sección de Recursos confirmó la tramitación de Alzada 286/2026 y la unión de esa aportación. El 21 de agosto de 2026 Recursos confirmó además que el paquete de cinco archivos presentado el 28/29 de julio había sido recibido y unido a la Alzada, incorporó dos archivos adicionales y una fuente audiovisual, y calificó el recurso como “en trámite”.</w:t>
      </w:r>
    </w:p>
    <w:p>
      <w:pPr>
        <w:spacing w:after="80"/>
        <w:ind w:firstLine="0" w:left="0"/>
        <w:jc w:val="both"/>
      </w:pPr>
      <w:r>
        <w:rPr>
          <w:rFonts w:ascii="Arial" w:hAnsi="Arial"/>
          <w:b/>
          <w:sz w:val="21"/>
        </w:rPr>
        <w:t xml:space="preserve">39. </w:t>
      </w:r>
      <w:r>
        <w:rPr>
          <w:rFonts w:ascii="Arial" w:hAnsi="Arial"/>
          <w:sz w:val="21"/>
        </w:rPr>
        <w:t>No se ha localizado comunicación posterior a 18 de septiembre que muestre que el Auto de 14 de septiembre haya sido ya aportado al CGPJ. Por tanto, esta resolución constituye material sobrevenido real para la Alzada 286/2026.</w:t>
      </w:r>
    </w:p>
    <w:p>
      <w:pPr>
        <w:pStyle w:val="LegalHeading"/>
        <w:keepNext/>
        <w:jc w:val="left"/>
      </w:pPr>
      <w:r>
        <w:rPr>
          <w:rFonts w:ascii="Arial" w:hAnsi="Arial"/>
          <w:b w:val="0"/>
          <w:i w:val="0"/>
          <w:sz w:val="21"/>
        </w:rPr>
        <w:t>XIV. DIVERGENCIA CGPJ-TSJC Y PRESERVACIÓN</w:t>
      </w:r>
    </w:p>
    <w:p>
      <w:pPr>
        <w:spacing w:after="80"/>
        <w:ind w:firstLine="0" w:left="0"/>
        <w:jc w:val="both"/>
      </w:pPr>
      <w:r>
        <w:rPr>
          <w:rFonts w:ascii="Arial" w:hAnsi="Arial"/>
          <w:b/>
          <w:sz w:val="21"/>
        </w:rPr>
        <w:t xml:space="preserve">40. </w:t>
      </w:r>
      <w:r>
        <w:rPr>
          <w:rFonts w:ascii="Arial" w:hAnsi="Arial"/>
          <w:sz w:val="21"/>
        </w:rPr>
        <w:t>El Acuerdo de la Secretaría de Gobierno del TSJC de 20 de agosto de 2026, Exp. Gub. 38/2026, dejó constancia de que a esa fecha no constaba recibida allí la comunicación del Acuerdo de archivo del Promotor de la Acción Disciplinaria. Ese dato no demuestra pérdida, ocultación ni irregularidad, pero acredita una cuestión objetiva de reconciliación entre salida e ingreso institucional.</w:t>
      </w:r>
    </w:p>
    <w:p>
      <w:pPr>
        <w:spacing w:after="80"/>
        <w:ind w:firstLine="0" w:left="0"/>
        <w:jc w:val="both"/>
      </w:pPr>
      <w:r>
        <w:rPr>
          <w:rFonts w:ascii="Arial" w:hAnsi="Arial"/>
          <w:b/>
          <w:sz w:val="21"/>
        </w:rPr>
        <w:t xml:space="preserve">41. </w:t>
      </w:r>
      <w:r>
        <w:rPr>
          <w:rFonts w:ascii="Arial" w:hAnsi="Arial"/>
          <w:sz w:val="21"/>
        </w:rPr>
        <w:t>El mismo Acuerdo señaló que el sistema ATLANTE preserva la información electrónica incorporada y mantiene trazabilidad. Esa representación institucional refuerza la viabilidad de obtener ahora una certificación objetiva de los eventos de reparto, incorporación y transmisión relativos a DP 1901.</w:t>
      </w:r>
    </w:p>
    <w:p>
      <w:pPr>
        <w:pStyle w:val="LegalHeading"/>
        <w:keepNext/>
        <w:jc w:val="left"/>
      </w:pPr>
      <w:r>
        <w:rPr>
          <w:rFonts w:ascii="Arial" w:hAnsi="Arial"/>
          <w:b w:val="0"/>
          <w:i w:val="0"/>
          <w:sz w:val="21"/>
        </w:rPr>
        <w:t>XV. SEPARACIÓN DE RESPONSABILIDADES Y LÍMITE DE LA IMPUTACIÓN</w:t>
      </w:r>
    </w:p>
    <w:p>
      <w:pPr>
        <w:spacing w:after="80"/>
        <w:ind w:firstLine="0" w:left="0"/>
        <w:jc w:val="both"/>
      </w:pPr>
      <w:r>
        <w:rPr>
          <w:rFonts w:ascii="Arial" w:hAnsi="Arial"/>
          <w:b/>
          <w:sz w:val="21"/>
        </w:rPr>
        <w:t xml:space="preserve">42. </w:t>
      </w:r>
      <w:r>
        <w:rPr>
          <w:rFonts w:ascii="Arial" w:hAnsi="Arial"/>
          <w:sz w:val="21"/>
        </w:rPr>
        <w:t>No se atribuye al Magistrado-Juez D. Luis Francisco Galván Mesa ningún acto de Decanato, reparto, indexación o transmisión que no esté individualmente documentado. Las fuentes actualmente controladas le atribuyen, con certeza, la providencia de 12 de julio y el Auto de 14 de septiembre.</w:t>
      </w:r>
    </w:p>
    <w:p>
      <w:pPr>
        <w:spacing w:after="80"/>
        <w:ind w:firstLine="0" w:left="0"/>
        <w:jc w:val="both"/>
      </w:pPr>
      <w:r>
        <w:rPr>
          <w:rFonts w:ascii="Arial" w:hAnsi="Arial"/>
          <w:b/>
          <w:sz w:val="21"/>
        </w:rPr>
        <w:t xml:space="preserve">43. </w:t>
      </w:r>
      <w:r>
        <w:rPr>
          <w:rFonts w:ascii="Arial" w:hAnsi="Arial"/>
          <w:sz w:val="21"/>
        </w:rPr>
        <w:t>Precisamente la finalidad de la verificación institucional es evitar transferir automáticamente actos de reparto, Oficina Judicial o terceros al Magistrado, y diferenciar mérito jurisdiccional, deber profesional, funcionamiento del servicio y eventuales incidencias administrativas.</w:t>
      </w:r>
    </w:p>
    <w:p>
      <w:pPr>
        <w:pStyle w:val="LegalHeading"/>
        <w:keepNext/>
        <w:jc w:val="left"/>
      </w:pPr>
      <w:r>
        <w:rPr>
          <w:rFonts w:ascii="Arial" w:hAnsi="Arial"/>
          <w:b w:val="0"/>
          <w:i w:val="0"/>
          <w:sz w:val="21"/>
        </w:rPr>
        <w:t>XVI. ESTA APORTACIÓN NO ES UNA SEGUNDA INSTANCIA ENCUBIERTA</w:t>
      </w:r>
    </w:p>
    <w:p>
      <w:pPr>
        <w:spacing w:after="80"/>
        <w:ind w:firstLine="0" w:left="0"/>
        <w:jc w:val="both"/>
      </w:pPr>
      <w:r>
        <w:rPr>
          <w:rFonts w:ascii="Arial" w:hAnsi="Arial"/>
          <w:b/>
          <w:sz w:val="21"/>
        </w:rPr>
        <w:t xml:space="preserve">44. </w:t>
      </w:r>
      <w:r>
        <w:rPr>
          <w:rFonts w:ascii="Arial" w:hAnsi="Arial"/>
          <w:sz w:val="21"/>
        </w:rPr>
        <w:t>No se pide al CGPJ declarar que el Auto es jurídicamente erróneo, revocarlo, determinar la suficiencia penal de los indicios, decidir el Concurso 36/2012 ni resolver un recurso contra el sobreseimiento.</w:t>
      </w:r>
    </w:p>
    <w:p>
      <w:pPr>
        <w:spacing w:after="80"/>
        <w:ind w:firstLine="0" w:left="0"/>
        <w:jc w:val="both"/>
      </w:pPr>
      <w:r>
        <w:rPr>
          <w:rFonts w:ascii="Arial" w:hAnsi="Arial"/>
          <w:b/>
          <w:sz w:val="21"/>
        </w:rPr>
        <w:t xml:space="preserve">45. </w:t>
      </w:r>
      <w:r>
        <w:rPr>
          <w:rFonts w:ascii="Arial" w:hAnsi="Arial"/>
          <w:sz w:val="21"/>
        </w:rPr>
        <w:t>Se solicita verificar hechos objetivamente certificables: reparto, procedencia, identidad de expediente, incorporación documental, transmisión, índices, metadatos, tratamiento competencial y separación de procedimientos. Tales cuestiones pueden ser clasificadas por el Consejo entre mérito jurisdiccional, disciplina, funcionamiento/Inspección y Oficina Judicial, sin invadir la potestad jurisdiccional.</w:t>
      </w:r>
    </w:p>
    <w:p>
      <w:pPr>
        <w:pStyle w:val="LegalHeading"/>
        <w:keepNext/>
        <w:jc w:val="left"/>
      </w:pPr>
      <w:r>
        <w:rPr>
          <w:rFonts w:ascii="Arial" w:hAnsi="Arial"/>
          <w:b w:val="0"/>
          <w:i w:val="0"/>
          <w:sz w:val="21"/>
        </w:rPr>
        <w:t>XVII. SOLICITUDES</w:t>
      </w:r>
    </w:p>
    <w:p>
      <w:pPr>
        <w:spacing w:after="80"/>
        <w:jc w:val="both"/>
      </w:pPr>
      <w:r>
        <w:rPr>
          <w:rFonts w:ascii="Arial" w:hAnsi="Arial"/>
          <w:b/>
          <w:sz w:val="21"/>
        </w:rPr>
        <w:t xml:space="preserve">PRIMERO. </w:t>
      </w:r>
      <w:r>
        <w:rPr>
          <w:rFonts w:ascii="Arial" w:hAnsi="Arial"/>
          <w:sz w:val="21"/>
        </w:rPr>
        <w:t>Que se incorpore inmediatamente esta aportación y el Auto de 14 de septiembre de 2026 al Recurso de Alzada 286/2026 antes de que se dicte resolución.</w:t>
      </w:r>
    </w:p>
    <w:p>
      <w:pPr>
        <w:spacing w:after="80"/>
        <w:jc w:val="both"/>
      </w:pPr>
      <w:r>
        <w:rPr>
          <w:rFonts w:ascii="Arial" w:hAnsi="Arial"/>
          <w:b/>
          <w:sz w:val="21"/>
        </w:rPr>
        <w:t xml:space="preserve">SEGUNDO. </w:t>
      </w:r>
      <w:r>
        <w:rPr>
          <w:rFonts w:ascii="Arial" w:hAnsi="Arial"/>
          <w:sz w:val="21"/>
        </w:rPr>
        <w:t>Que, si las cuestiones relativas a Plaza n.º 6, DP 1901/2026 y D. Luis Francisco Galván Mesa no pueden ser examinadas dentro de Alzada 286/2026 por afectar a órgano, Magistrado o hechos distintos de DI 169/2026, se acuerde su DESGLOSE, preservando la fecha y documentación de esta presentación, y se remita o incoe la actuación informativa, inspectora o disciplinaria que corresponda.</w:t>
      </w:r>
    </w:p>
    <w:p>
      <w:pPr>
        <w:spacing w:after="80"/>
        <w:jc w:val="both"/>
      </w:pPr>
      <w:r>
        <w:rPr>
          <w:rFonts w:ascii="Arial" w:hAnsi="Arial"/>
          <w:b/>
          <w:sz w:val="21"/>
        </w:rPr>
        <w:t xml:space="preserve">TERCERO. </w:t>
      </w:r>
      <w:r>
        <w:rPr>
          <w:rFonts w:ascii="Arial" w:hAnsi="Arial"/>
          <w:sz w:val="21"/>
        </w:rPr>
        <w:t>Que se dé traslado funcional al Servicio de Inspección de las cuestiones estrictamente relativas a organización y funcionamiento del órgano, reparto, trazabilidad, incorporación documental y Oficina Judicial, sin confundirlas con la revisión del mérito jurisdiccional.</w:t>
      </w:r>
    </w:p>
    <w:p>
      <w:pPr>
        <w:spacing w:after="80"/>
        <w:jc w:val="both"/>
      </w:pPr>
      <w:r>
        <w:rPr>
          <w:rFonts w:ascii="Aptos" w:hAnsi="Aptos"/>
          <w:sz w:val="21"/>
        </w:rPr>
        <w:t>CUARTO. Que se recabe del Decanato y de los sistemas oficiales certificación de los asientos completos de las referencias diarias 24 (18/06/2026), 22 (18/06/2026) y 21 (25/06/2026), incluyendo destino inicial, fecha/hora de registro y reparto, escaneo/digitalización, asignación, remisión y toda asociación ulterior; y que se identifique el documento que originó DP 1901/2026, NIG 3501643220260016977 e IUP LI2026017152, así como el registro que dio lugar a DP 1956/2026.</w:t>
      </w:r>
    </w:p>
    <w:p>
      <w:pPr>
        <w:spacing w:after="80"/>
        <w:jc w:val="both"/>
      </w:pPr>
      <w:r>
        <w:rPr>
          <w:rFonts w:ascii="Arial" w:hAnsi="Arial"/>
          <w:b/>
          <w:sz w:val="21"/>
        </w:rPr>
        <w:t xml:space="preserve">QUINTO. </w:t>
      </w:r>
      <w:r>
        <w:rPr>
          <w:rFonts w:ascii="Arial" w:hAnsi="Arial"/>
          <w:sz w:val="21"/>
        </w:rPr>
        <w:t>Que se obtenga el índice electrónico certificado completo de DP 1901/2026, identificando cada documento incorporado, fecha, procedencia y, dentro de los límites legales, su trazabilidad técnica.</w:t>
      </w:r>
    </w:p>
    <w:p>
      <w:pPr>
        <w:spacing w:after="80"/>
        <w:jc w:val="both"/>
      </w:pPr>
      <w:r>
        <w:rPr>
          <w:rFonts w:ascii="Aptos" w:hAnsi="Aptos"/>
          <w:sz w:val="21"/>
        </w:rPr>
        <w:t>SEXTO. Que se identifique toda providencia, diligencia, decreto, Auto, asiento o acto de acumulación, unión, asociación, reasignación, remisión o segregación entre las referencias 21 y 24 o entre sus materiales y DP 1901/2026; y, a efectos comparativos de trazabilidad, el acto o asiento que vinculó la referencia 22 con DP 1956/2026, sin presumir que este último fuera necesariamente el destino jurídicamente correcto.</w:t>
      </w:r>
    </w:p>
    <w:p>
      <w:pPr>
        <w:spacing w:after="80"/>
        <w:jc w:val="both"/>
      </w:pPr>
      <w:r>
        <w:rPr>
          <w:rFonts w:ascii="Arial" w:hAnsi="Arial"/>
          <w:b/>
          <w:sz w:val="21"/>
        </w:rPr>
        <w:t xml:space="preserve">SÉPTIMO. </w:t>
      </w:r>
      <w:r>
        <w:rPr>
          <w:rFonts w:ascii="Arial" w:hAnsi="Arial"/>
          <w:sz w:val="21"/>
        </w:rPr>
        <w:t>Que se certifique la incorporación efectiva y tratamiento de la aportación de actores privados sellada el 9 de julio de 2026 bajo DP 1901/2026.</w:t>
      </w:r>
    </w:p>
    <w:p>
      <w:pPr>
        <w:spacing w:after="80"/>
        <w:jc w:val="both"/>
      </w:pPr>
      <w:r>
        <w:rPr>
          <w:rFonts w:ascii="Arial" w:hAnsi="Arial"/>
          <w:b/>
          <w:sz w:val="21"/>
        </w:rPr>
        <w:t xml:space="preserve">OCTAVO. </w:t>
      </w:r>
      <w:r>
        <w:rPr>
          <w:rFonts w:ascii="Arial" w:hAnsi="Arial"/>
          <w:sz w:val="21"/>
        </w:rPr>
        <w:t>Que se identifique el índice exacto del corpus remitido al Ministerio Fiscal tras la providencia de 12 de julio y, cuando proceda, se incorpore o solicite copia del informe fiscal de 29 de julio de 2026 con identificación de autor, asignación y objeto.</w:t>
      </w:r>
    </w:p>
    <w:p>
      <w:pPr>
        <w:spacing w:after="80"/>
        <w:jc w:val="both"/>
      </w:pPr>
      <w:r>
        <w:rPr>
          <w:rFonts w:ascii="Arial" w:hAnsi="Arial"/>
          <w:b/>
          <w:sz w:val="21"/>
        </w:rPr>
        <w:t xml:space="preserve">NOVENO. </w:t>
      </w:r>
      <w:r>
        <w:rPr>
          <w:rFonts w:ascii="Arial" w:hAnsi="Arial"/>
          <w:sz w:val="21"/>
        </w:rPr>
        <w:t>Que se recabe la copia electrónica judicial nativa del Auto de 14 de septiembre y la constancia oficial de su notificación, puesta a disposición o acceso, diferenciando fecha de resolución y fecha jurídicamente eficaz de notificación.</w:t>
      </w:r>
    </w:p>
    <w:p>
      <w:pPr>
        <w:spacing w:after="80"/>
        <w:jc w:val="both"/>
      </w:pPr>
      <w:r>
        <w:rPr>
          <w:rFonts w:ascii="Arial" w:hAnsi="Arial"/>
          <w:b/>
          <w:sz w:val="21"/>
        </w:rPr>
        <w:t xml:space="preserve">DÉCIMO. </w:t>
      </w:r>
      <w:r>
        <w:rPr>
          <w:rFonts w:ascii="Arial" w:hAnsi="Arial"/>
          <w:sz w:val="21"/>
        </w:rPr>
        <w:t>Que se solicite informe al órgano judicial limitado a las cuestiones institucionales aquí planteadas: documento iniciador de DP 1901, objeto formal, tratamiento de la competencia respecto del TSJC, incorporación del material privado y alcance respecto de la denuncia autónoma contra actores privados.</w:t>
      </w:r>
    </w:p>
    <w:p>
      <w:pPr>
        <w:spacing w:after="80"/>
        <w:jc w:val="both"/>
      </w:pPr>
      <w:r>
        <w:rPr>
          <w:rFonts w:ascii="Arial" w:hAnsi="Arial"/>
          <w:b/>
          <w:sz w:val="21"/>
        </w:rPr>
        <w:t xml:space="preserve">UNDÉCIMO. </w:t>
      </w:r>
      <w:r>
        <w:rPr>
          <w:rFonts w:ascii="Arial" w:hAnsi="Arial"/>
          <w:sz w:val="21"/>
        </w:rPr>
        <w:t>Que se preserven los registros electrónicos de reparto, gestión procesal, incorporación documental, traslado, notificación y transmisión necesarios para reconstruir los extremos anteriores.</w:t>
      </w:r>
    </w:p>
    <w:p>
      <w:pPr>
        <w:spacing w:after="80"/>
        <w:jc w:val="both"/>
      </w:pPr>
      <w:r>
        <w:rPr>
          <w:rFonts w:ascii="Arial" w:hAnsi="Arial"/>
          <w:b/>
          <w:sz w:val="21"/>
        </w:rPr>
        <w:t xml:space="preserve">DUODÉCIMO. </w:t>
      </w:r>
      <w:r>
        <w:rPr>
          <w:rFonts w:ascii="Arial" w:hAnsi="Arial"/>
          <w:sz w:val="21"/>
        </w:rPr>
        <w:t>Que toda futura decisión diferencie expresamente entre cuestión jurisdiccional y recursos judiciales; eventual cuestión disciplinaria; funcionamiento e inspección; Oficina Judicial/LAJ; reparto/Decanato; y materias ajenas a la competencia del CGPJ.</w:t>
      </w:r>
    </w:p>
    <w:p>
      <w:pPr>
        <w:spacing w:after="80"/>
        <w:jc w:val="both"/>
      </w:pPr>
      <w:r>
        <w:rPr>
          <w:rFonts w:ascii="Arial" w:hAnsi="Arial"/>
          <w:b/>
          <w:sz w:val="21"/>
        </w:rPr>
        <w:t xml:space="preserve">DECIMOTERCERO. </w:t>
      </w:r>
      <w:r>
        <w:rPr>
          <w:rFonts w:ascii="Arial" w:hAnsi="Arial"/>
          <w:sz w:val="21"/>
        </w:rPr>
        <w:t>Que, si del examen institucional resultasen hechos susceptibles de relevancia disciplinaria, se actúe conforme a la LOPJ, incluida la facultad de la Comisión Permanente prevista en el artículo 608.3; y, únicamente si aparecieran hechos que el Consejo considere potencialmente delictivos cometidos por Juez o Magistrado en ejercicio del cargo, se proceda conforme al artículo 409 LOPJ, sin que esta solicitud anticipe tal conclusión.</w:t>
      </w:r>
    </w:p>
    <w:p>
      <w:pPr>
        <w:spacing w:after="80"/>
        <w:jc w:val="both"/>
      </w:pPr>
      <w:r>
        <w:rPr>
          <w:rFonts w:ascii="Arial" w:hAnsi="Arial"/>
          <w:b/>
          <w:sz w:val="21"/>
        </w:rPr>
        <w:t xml:space="preserve">DECIMOCUARTO. </w:t>
      </w:r>
      <w:r>
        <w:rPr>
          <w:rFonts w:ascii="Arial" w:hAnsi="Arial"/>
          <w:sz w:val="21"/>
        </w:rPr>
        <w:t>Que cualquier decisión de unión, desglose, traslado, archivo, remisión o apertura derivada de esta comunicación sea notificada al compareciente con indicación de referencia y órgano responsable.</w:t>
      </w:r>
    </w:p>
    <w:p>
      <w:pPr>
        <w:pStyle w:val="LegalHeading"/>
        <w:keepNext/>
        <w:jc w:val="left"/>
      </w:pPr>
      <w:r>
        <w:rPr>
          <w:rFonts w:ascii="Arial" w:hAnsi="Arial"/>
          <w:b w:val="0"/>
          <w:i w:val="0"/>
          <w:sz w:val="21"/>
        </w:rPr>
        <w:t>XVIII. RESERVA EXPRESA DE LAS VÍAS JUDICIALES</w:t>
      </w:r>
    </w:p>
    <w:p>
      <w:pPr>
        <w:spacing w:after="80"/>
        <w:ind w:firstLine="0" w:left="0"/>
        <w:jc w:val="both"/>
      </w:pPr>
      <w:r>
        <w:rPr>
          <w:rFonts w:ascii="Aptos" w:hAnsi="Aptos"/>
          <w:sz w:val="21"/>
        </w:rPr>
        <w:t>46. Esta comunicación al CGPJ es independiente de los recursos judiciales que procedan contra el Auto de 14 de septiembre de 2026. No se atribuye a esta presentación efecto suspensivo ni interruptivo sobre los plazos judiciales. Se reservan expresamente todos los recursos, acciones y derechos frente al Auto y respecto de cualquier eventual efecto de firmeza o cosa juzgada. Igualmente es independiente de la respuesta prevista en E.G. 745/2026 ante Fiscalía. La publicación de este borrador en Por Derecho no constituye presentación, interposición, notificación ni autorización para remitirlo a autoridad alguna.</w:t>
      </w:r>
    </w:p>
    <w:p>
      <w:pPr>
        <w:pStyle w:val="LegalHeading"/>
        <w:keepNext/>
        <w:jc w:val="left"/>
      </w:pPr>
      <w:r>
        <w:rPr>
          <w:rFonts w:ascii="Arial" w:hAnsi="Arial"/>
          <w:b w:val="0"/>
          <w:i w:val="0"/>
          <w:sz w:val="21"/>
        </w:rPr>
        <w:t>XIX. DOCUMENTOS QUE SE ACOMPAÑAN</w:t>
      </w:r>
    </w:p>
    <w:p>
      <w:r>
        <w:rPr>
          <w:rFonts w:ascii="Arial" w:hAnsi="Arial"/>
          <w:b w:val="0"/>
          <w:i w:val="0"/>
          <w:sz w:val="21"/>
        </w:rPr>
        <w:t>Para evitar duplicación innecesaria del expediente de Alzada 286/2026, se acompañan únicamente los documentos nuevos o estrictamente necesarios para visualizar la colisión de identidad. Las presentaciones previas ya confirmadas por la Sección de Recursos se identifican en el cuerpo de este escrito y no se reenvían íntegramente.</w:t>
      </w:r>
    </w:p>
    <w:p>
      <w:pPr>
        <w:spacing w:after="80"/>
        <w:ind w:left="113" w:firstLine="0"/>
        <w:jc w:val="both"/>
      </w:pPr>
      <w:r>
        <w:rPr>
          <w:rFonts w:ascii="Arial" w:hAnsi="Arial"/>
          <w:b/>
          <w:sz w:val="21"/>
        </w:rPr>
        <w:t xml:space="preserve">DOCUMENTO 1. </w:t>
      </w:r>
      <w:r>
        <w:rPr>
          <w:rFonts w:ascii="Arial" w:hAnsi="Arial"/>
          <w:sz w:val="21"/>
        </w:rPr>
        <w:t>Auto de 14 de septiembre de 2026 de DP 1901/2026. Preferentemente copia judicial nativa; subsidiariamente, las tres imágenes/fotografías recibidas hasta obtener el original electrónico.</w:t>
      </w:r>
    </w:p>
    <w:p>
      <w:pPr>
        <w:spacing w:after="80"/>
        <w:ind w:left="113" w:firstLine="0"/>
        <w:jc w:val="both"/>
      </w:pPr>
      <w:r>
        <w:rPr>
          <w:rFonts w:ascii="Arial" w:hAnsi="Arial"/>
          <w:b/>
          <w:sz w:val="21"/>
        </w:rPr>
        <w:t xml:space="preserve">DOCUMENTO 2. </w:t>
      </w:r>
      <w:r>
        <w:rPr>
          <w:rFonts w:ascii="Arial" w:hAnsi="Arial"/>
          <w:sz w:val="21"/>
        </w:rPr>
        <w:t>Anexo visual de trazabilidad DP 1901/2026: portada sellada de la referencia 24 de 18/06/2026; portada sellada de su aportación dependiente de 25/06/2026; portada sellada de la denuncia autónoma referencia 21 de 25/06/2026; consulta ATLANTE de 09/07/2026; y portada sellada de la aportación de actores privados presentada bajo DP 1901/2026 el 09/07/2026.</w:t>
      </w:r>
    </w:p>
    <w:p>
      <w:pPr>
        <w:spacing w:after="80"/>
        <w:ind w:left="113" w:firstLine="0"/>
        <w:jc w:val="both"/>
      </w:pPr>
      <w:r>
        <w:rPr>
          <w:rFonts w:ascii="Arial" w:hAnsi="Arial"/>
          <w:b/>
          <w:sz w:val="21"/>
        </w:rPr>
        <w:t xml:space="preserve">DOCUMENTO 3. </w:t>
      </w:r>
      <w:r>
        <w:rPr>
          <w:rFonts w:ascii="Arial" w:hAnsi="Arial"/>
          <w:sz w:val="21"/>
        </w:rPr>
        <w:t>Providencia de 12 de julio de 2026 dictada en DP 1901/2026, por la que se dio traslado al Ministerio Fiscal en relación con DIP 2/2026.</w:t>
      </w:r>
    </w:p>
    <w:p>
      <w:pPr>
        <w:spacing w:after="80"/>
        <w:ind w:left="113" w:firstLine="0"/>
        <w:jc w:val="both"/>
      </w:pPr>
      <w:r>
        <w:rPr>
          <w:rFonts w:ascii="Arial" w:hAnsi="Arial"/>
          <w:b/>
          <w:sz w:val="21"/>
        </w:rPr>
        <w:t xml:space="preserve">DOCUMENTO 4. </w:t>
      </w:r>
      <w:r>
        <w:rPr>
          <w:rFonts w:ascii="Arial" w:hAnsi="Arial"/>
          <w:sz w:val="21"/>
        </w:rPr>
        <w:t>Acuerdo resolutorio de la Secretaría de Gobierno del TSJ de Canarias, Exp. Gub. 38/2026, de 20 de agosto de 2026, únicamente en cuanto documenta la cuestión de trazabilidad CGPJ-TSJC y la representación institucional sobre trazabilidad de ATLANTE.</w:t>
      </w:r>
    </w:p>
    <w:p>
      <w:pPr/>
      <w:r>
        <w:rPr>
          <w:rFonts w:ascii="Aptos" w:hAnsi="Aptos"/>
          <w:sz w:val="21"/>
        </w:rPr>
        <w:t>ANEXO GRÁFICO / CONTROL DE USO. Para una eventual presentación formal se propone utilizar únicamente un esquema neutral de trazabilidad que distinga las tres referencias, los estados certificados y las preguntas abiertas. Las seis láminas explicativas históricas preservadas en el sitio web no se incorporan aquí como anexos probatorios aprobados porque contienen simplificaciones o rótulos que requieren corrección contextual. Su conservación pública tiene finalidad de transparencia editorial y no sustituye documentos originales, asientos oficiales ni un anexo forense definitivo.</w:t>
      </w:r>
    </w:p>
    <w:p>
      <w:r>
        <w:rPr>
          <w:rFonts w:ascii="Arial" w:hAnsi="Arial"/>
          <w:b w:val="0"/>
          <w:i w:val="0"/>
          <w:sz w:val="21"/>
        </w:rPr>
        <w:t>OTROSÍ DIGO que esta aportación se formula bajo un principio estricto de atribución individual: ninguna anomalía de reparto, funcionamiento o incorporación documental se atribuye a persona concreta sin fuente que lo permita; ninguna resolución adversa se convierte por sí misma en infracción disciplinaria o delito; y toda explicación administrativa o jurídica regular que permita reconciliar las fuentes deberá incorporarse con el mismo peso que las alegaciones del compareciente.</w:t>
      </w:r>
    </w:p>
    <w:p>
      <w:r>
        <w:rPr>
          <w:rFonts w:ascii="Arial" w:hAnsi="Arial"/>
          <w:b/>
          <w:i w:val="0"/>
          <w:sz w:val="21"/>
        </w:rPr>
        <w:t>SUPLICO AL CONSEJO que tenga por efectuada la anterior manifestación y adopte las medidas de preservación, clasificación funcional, verificación y tramitación que resulten procedentes.</w:t>
      </w:r>
    </w:p>
    <w:p>
      <w:pPr>
        <w:spacing w:before="360" w:after="240"/>
        <w:jc w:val="left"/>
      </w:pPr>
      <w:r>
        <w:rPr>
          <w:rFonts w:ascii="Arial" w:hAnsi="Arial"/>
          <w:sz w:val="21"/>
        </w:rPr>
        <w:t>En San Cristóbal de La Laguna, a 19 de septiembre de 2026.</w:t>
      </w:r>
    </w:p>
    <w:p>
      <w:pPr>
        <w:spacing w:before="360"/>
        <w:jc w:val="left"/>
      </w:pPr>
      <w:r>
        <w:rPr>
          <w:rFonts w:ascii="Arial" w:hAnsi="Arial"/>
          <w:b/>
          <w:sz w:val="21"/>
        </w:rPr>
        <w:t>Pdo.</w:t>
      </w:r>
    </w:p>
    <w:p>
      <w:pPr>
        <w:spacing w:after="0"/>
        <w:jc w:val="left"/>
      </w:pPr>
      <w:r>
        <w:rPr>
          <w:rFonts w:ascii="Arial" w:hAnsi="Arial"/>
          <w:b/>
          <w:sz w:val="22"/>
        </w:rPr>
        <w:t>Gil Marer</w:t>
      </w:r>
    </w:p>
    <w:sectPr w:rsidR="00FC693F" w:rsidRPr="0006063C" w:rsidSect="00034616">
      <w:headerReference w:type="default" r:id="rId9"/>
      <w:footerReference w:type="default" r:id="rId10"/>
      <w:pgSz w:w="12240" w:h="15840"/>
      <w:pgMar w:top="1134" w:right="1247" w:bottom="1077" w:left="136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BORRADOR PROPUESTO - NO PRESENTADO | 19 SEP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6"/>
      </w:rPr>
      <w:t>CGPJ - Alzada 286/2026 / DI 169/2026 - Hecho sobrevenido DP 1901/2026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jc w:val="both"/>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Heading">
    <w:name w:val="LegalHeading"/>
    <w:pPr>
      <w:spacing w:before="180" w:after="80" w:line="252" w:lineRule="auto"/>
      <w:jc w:val="both"/>
    </w:pPr>
    <w:rPr>
      <w:rFonts w:ascii="Arial" w:hAnsi="Arial" w:eastAsia="Arial"/>
      <w:b/>
      <w:sz w:val="21"/>
    </w:rPr>
  </w:style>
  <w:style w:type="paragraph" w:customStyle="1" w:styleId="LegalSubheading">
    <w:name w:val="LegalSubheading"/>
    <w:pPr>
      <w:spacing w:before="120" w:after="60" w:line="252" w:lineRule="auto"/>
      <w:jc w:val="both"/>
    </w:pPr>
    <w:rPr>
      <w:rFonts w:ascii="Arial" w:hAnsi="Arial" w:eastAsia="Arial"/>
      <w:b/>
      <w:sz w:val="21"/>
    </w:rPr>
  </w:style>
  <w:style w:type="paragraph" w:customStyle="1" w:styleId="SmallNote">
    <w:name w:val="SmallNote"/>
    <w:pPr>
      <w:spacing w:before="60" w:after="60" w:line="240" w:lineRule="auto"/>
      <w:jc w:val="both"/>
    </w:pPr>
    <w:rPr>
      <w:rFonts w:ascii="Arial" w:hAnsi="Arial" w:eastAsia="Arial"/>
      <w:b w:val="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CGPJ - Alzada 286/2026 - Hecho sobrevenido DP 1901/2026</dc:title>
  <dc:subject>Aportación sobrevenida, trazabilidad, preservación y solicitud de desglose/inspección</dc:subject>
  <dc:creator/>
  <cp:keywords>CGPJ; Alzada 286/2026; DI 169/2026; DP 1901/2026; trazabilidad; preservación</cp:keywords>
  <dc:description/>
  <cp:lastModifiedBy/>
  <cp:revision>1</cp:revision>
  <dcterms:created xsi:type="dcterms:W3CDTF">2013-12-23T23:15:00Z</dcterms:created>
  <dcterms:modified xsi:type="dcterms:W3CDTF">2013-12-23T23:15:00Z</dcterms:modified>
  <cp:category/>
</cp:coreProperties>
</file>