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Blue Harbor Internal Research Note</w:t>
        <w:br/>
        <w:t>Apex Retail Group (APXR) - Q2 2026</w:t>
      </w:r>
    </w:p>
    <w:p>
      <w:r>
        <w:t>Synthetic training document - not investment advice.</w:t>
      </w:r>
    </w:p>
    <w:p>
      <w:pPr>
        <w:pStyle w:val="Heading1"/>
      </w:pPr>
      <w:r>
        <w:t>Investment View</w:t>
      </w:r>
    </w:p>
    <w:p>
      <w:r>
        <w:t>Execution remains consistent and management has enough offsetting levers to maintain the annual range. The Q2 result requires close attention to the relationship between management's official outlook and the market's interpretation of that outlook.</w:t>
      </w:r>
    </w:p>
    <w:p>
      <w:pPr>
        <w:pStyle w:val="Heading1"/>
      </w:pPr>
      <w:r>
        <w:t>Guidance Comparison</w:t>
      </w:r>
    </w:p>
    <w:tbl>
      <w:tblPr>
        <w:tblStyle w:val="TableGrid"/>
        <w:tblW w:type="auto" w:w="0"/>
        <w:tblLook w:firstColumn="1" w:firstRow="1" w:lastColumn="0" w:lastRow="0" w:noHBand="0" w:noVBand="1" w:val="04A0"/>
      </w:tblPr>
      <w:tblGrid>
        <w:gridCol w:w="4320"/>
        <w:gridCol w:w="4320"/>
      </w:tblGrid>
      <w:tr>
        <w:tc>
          <w:tcPr>
            <w:tcW w:type="dxa" w:w="4320"/>
          </w:tcPr>
          <w:p>
            <w:r>
              <w:t>Prior guidance</w:t>
            </w:r>
          </w:p>
        </w:tc>
        <w:tc>
          <w:tcPr>
            <w:tcW w:type="dxa" w:w="4320"/>
          </w:tcPr>
          <w:p>
            <w:r>
              <w:t>2026 revenue growth of 4%-6% and adjusted EPS of $7.10-$7.40</w:t>
            </w:r>
          </w:p>
        </w:tc>
      </w:tr>
      <w:tr>
        <w:tc>
          <w:tcPr>
            <w:tcW w:type="dxa" w:w="4320"/>
          </w:tcPr>
          <w:p>
            <w:r>
              <w:t>Current guidance</w:t>
            </w:r>
          </w:p>
        </w:tc>
        <w:tc>
          <w:tcPr>
            <w:tcW w:type="dxa" w:w="4320"/>
          </w:tcPr>
          <w:p>
            <w:r>
              <w:t>2026 revenue growth of 4%-6% and adjusted EPS of $7.10-$7.40</w:t>
            </w:r>
          </w:p>
        </w:tc>
      </w:tr>
      <w:tr>
        <w:tc>
          <w:tcPr>
            <w:tcW w:type="dxa" w:w="4320"/>
          </w:tcPr>
          <w:p>
            <w:r>
              <w:t>Classification</w:t>
            </w:r>
          </w:p>
        </w:tc>
        <w:tc>
          <w:tcPr>
            <w:tcW w:type="dxa" w:w="4320"/>
          </w:tcPr>
          <w:p>
            <w:r>
              <w:t>MAINTAINED</w:t>
            </w:r>
          </w:p>
        </w:tc>
      </w:tr>
    </w:tbl>
    <w:p>
      <w:pPr>
        <w:pStyle w:val="Heading1"/>
      </w:pPr>
      <w:r>
        <w:t>Evidence</w:t>
      </w:r>
    </w:p>
    <w:p>
      <w:r>
        <w:t>Management's stated rationale centers on healthy traffic, membership income, and productivity offsets despite freight pressure.</w:t>
      </w:r>
    </w:p>
    <w:p>
      <w:r>
        <w:t>Primary-source priority: use the earnings report, earnings-call transcript, and quarterly filing before relying on commentary.</w:t>
      </w:r>
    </w:p>
    <w:p>
      <w:pPr>
        <w:pStyle w:val="Heading1"/>
      </w:pPr>
      <w:r>
        <w:t>Analyst Interpretation</w:t>
      </w:r>
    </w:p>
    <w:p>
      <w:r>
        <w:t>Freight pressure is real, but the annual guidance range is unchanged. Do not misclassify a cautious comment as a guidance cut.</w:t>
      </w:r>
    </w:p>
    <w:p>
      <w:pPr>
        <w:pStyle w:val="Heading1"/>
      </w:pPr>
      <w:r>
        <w:t>Watch Items</w:t>
      </w:r>
    </w:p>
    <w:p>
      <w:pPr>
        <w:pStyle w:val="ListBullet"/>
      </w:pPr>
      <w:r>
        <w:t>Next-quarter operating milestones</w:t>
      </w:r>
    </w:p>
    <w:p>
      <w:pPr>
        <w:pStyle w:val="ListBullet"/>
      </w:pPr>
      <w:r>
        <w:t>Change in management language</w:t>
      </w:r>
    </w:p>
    <w:p>
      <w:pPr>
        <w:pStyle w:val="ListBullet"/>
      </w:pPr>
      <w:r>
        <w:t>Updated consensus estimates</w:t>
      </w:r>
    </w:p>
    <w:p>
      <w:pPr>
        <w:pStyle w:val="ListBullet"/>
      </w:pPr>
      <w:r>
        <w:t>Position-size implications</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