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Evergreen Energy Systems (EVRG)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Backlog remains intact, but the timing shift into 2027 reduces current-year earnings visibility. The Q2 result requires close attention to the relationship between management's official outlook and the market's interpretation of that outlook.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adjusted EBITDA of $1.80-$1.90 billion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adjusted EBITDA of $1.60-$1.70 billion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project commissioning delays, higher financing costs, and temporary inverter-component logistics expenses.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lower current-year EBITDA range is economically meaningful even if the projects remain contracted. Timing into 2027 still reduces 2026 earnings.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