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Blue Harbor Internal Research Note</w:t>
        <w:br/>
        <w:t>Evergreen Energy Systems (EVRG) - Q2 2026</w:t>
      </w:r>
    </w:p>
    <w:p>
      <w:r>
        <w:t>Synthetic training document - not investment advice.</w:t>
      </w:r>
    </w:p>
    <w:p>
      <w:pPr>
        <w:pStyle w:val="Heading1"/>
      </w:pPr>
      <w:r>
        <w:t>Investment View</w:t>
      </w:r>
    </w:p>
    <w:p>
      <w:r>
        <w:t>Our second-pass review focuses on what changed after the call. The official guidance status is lowered. We separate management evidence from analyst interpretation and external commentary.</w:t>
      </w:r>
    </w:p>
    <w:p>
      <w:pPr>
        <w:pStyle w:val="Heading1"/>
      </w:pPr>
      <w:r>
        <w:t>Guidance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 guidance</w:t>
            </w:r>
          </w:p>
        </w:tc>
        <w:tc>
          <w:tcPr>
            <w:tcW w:type="dxa" w:w="4320"/>
          </w:tcPr>
          <w:p>
            <w:r>
              <w:t>2026 adjusted EBITDA of $1.80-$1.90 billion</w:t>
            </w:r>
          </w:p>
        </w:tc>
      </w:tr>
      <w:tr>
        <w:tc>
          <w:tcPr>
            <w:tcW w:type="dxa" w:w="4320"/>
          </w:tcPr>
          <w:p>
            <w:r>
              <w:t>Current guidance</w:t>
            </w:r>
          </w:p>
        </w:tc>
        <w:tc>
          <w:tcPr>
            <w:tcW w:type="dxa" w:w="4320"/>
          </w:tcPr>
          <w:p>
            <w:r>
              <w:t>2026 adjusted EBITDA of $1.60-$1.70 billion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LOWERED</w:t>
            </w:r>
          </w:p>
        </w:tc>
      </w:tr>
    </w:tbl>
    <w:p>
      <w:pPr>
        <w:pStyle w:val="Heading1"/>
      </w:pPr>
      <w:r>
        <w:t>Evidence</w:t>
      </w:r>
    </w:p>
    <w:p>
      <w:r>
        <w:t>Management's stated rationale centers on project commissioning delays, higher financing costs, and temporary inverter-component logistics expenses.</w:t>
      </w:r>
    </w:p>
    <w:p>
      <w:r>
        <w:t>Primary-source priority: use the earnings report, earnings-call transcript, and quarterly filing before relying on commentary.</w:t>
      </w:r>
    </w:p>
    <w:p>
      <w:pPr>
        <w:pStyle w:val="Heading1"/>
      </w:pPr>
      <w:r>
        <w:t>Analyst Interpretation</w:t>
      </w:r>
    </w:p>
    <w:p>
      <w:r>
        <w:t>The lower current-year EBITDA range is economically meaningful even if the projects remain contracted. Timing into 2027 still reduces 2026 earnings.</w:t>
      </w:r>
    </w:p>
    <w:p>
      <w:pPr>
        <w:pStyle w:val="Heading1"/>
      </w:pPr>
      <w:r>
        <w:t>Watch Items</w:t>
      </w:r>
    </w:p>
    <w:p>
      <w:pPr>
        <w:pStyle w:val="ListBullet"/>
      </w:pPr>
      <w:r>
        <w:t>Next-quarter operating milestones</w:t>
      </w:r>
    </w:p>
    <w:p>
      <w:pPr>
        <w:pStyle w:val="ListBullet"/>
      </w:pPr>
      <w:r>
        <w:t>Change in management language</w:t>
      </w:r>
    </w:p>
    <w:p>
      <w:pPr>
        <w:pStyle w:val="ListBullet"/>
      </w:pPr>
      <w:r>
        <w:t>Updated consensus estimates</w:t>
      </w:r>
    </w:p>
    <w:p>
      <w:pPr>
        <w:pStyle w:val="ListBullet"/>
      </w:pPr>
      <w:r>
        <w:t>Position-size implications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