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Blue Harbor Internal Research Note</w:t>
        <w:br/>
        <w:t>NovaChip Technologies (NOVA) - Q2 2026</w:t>
      </w:r>
    </w:p>
    <w:p>
      <w:r>
        <w:t>Synthetic training document - not investment advice.</w:t>
      </w:r>
    </w:p>
    <w:p>
      <w:pPr>
        <w:pStyle w:val="Heading1"/>
      </w:pPr>
      <w:r>
        <w:t>Investment View</w:t>
      </w:r>
    </w:p>
    <w:p>
      <w:r>
        <w:t>Demand remains structurally healthy, but shipment timing and mix create near-term earnings risk. The Q2 result requires close attention to the relationship between management's official outlook and the market's interpretation of that outlook.</w:t>
      </w:r>
    </w:p>
    <w:p>
      <w:pPr>
        <w:pStyle w:val="Heading1"/>
      </w:pPr>
      <w:r>
        <w:t>Guidance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Prior guidance</w:t>
            </w:r>
          </w:p>
        </w:tc>
        <w:tc>
          <w:tcPr>
            <w:tcW w:type="dxa" w:w="4320"/>
          </w:tcPr>
          <w:p>
            <w:r>
              <w:t>2026 revenue of $5.4-$5.6 billion and adjusted gross margin of approximately 58%</w:t>
            </w:r>
          </w:p>
        </w:tc>
      </w:tr>
      <w:tr>
        <w:tc>
          <w:tcPr>
            <w:tcW w:type="dxa" w:w="4320"/>
          </w:tcPr>
          <w:p>
            <w:r>
              <w:t>Current guidance</w:t>
            </w:r>
          </w:p>
        </w:tc>
        <w:tc>
          <w:tcPr>
            <w:tcW w:type="dxa" w:w="4320"/>
          </w:tcPr>
          <w:p>
            <w:r>
              <w:t>2026 revenue of $5.0-$5.2 billion and adjusted gross margin of 55%-56%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LOWERED</w:t>
            </w:r>
          </w:p>
        </w:tc>
      </w:tr>
    </w:tbl>
    <w:p>
      <w:pPr>
        <w:pStyle w:val="Heading1"/>
      </w:pPr>
      <w:r>
        <w:t>Evidence</w:t>
      </w:r>
    </w:p>
    <w:p>
      <w:r>
        <w:t>Management's stated rationale centers on export-license timing, a delayed hyperscale qualification cycle, and a less favorable second-half product mix.</w:t>
      </w:r>
    </w:p>
    <w:p>
      <w:r>
        <w:t>Primary-source priority: use the earnings report, earnings-call transcript, and quarterly filing before relying on commentary.</w:t>
      </w:r>
    </w:p>
    <w:p>
      <w:pPr>
        <w:pStyle w:val="Heading1"/>
      </w:pPr>
      <w:r>
        <w:t>Analyst Interpretation</w:t>
      </w:r>
    </w:p>
    <w:p>
      <w:r>
        <w:t>The market may read the lower guide as demand weakness, but management explicitly frames the issue mainly as timing and product mix. Treat those as separate claims.</w:t>
      </w:r>
    </w:p>
    <w:p>
      <w:pPr>
        <w:pStyle w:val="Heading1"/>
      </w:pPr>
      <w:r>
        <w:t>Watch Items</w:t>
      </w:r>
    </w:p>
    <w:p>
      <w:pPr>
        <w:pStyle w:val="ListBullet"/>
      </w:pPr>
      <w:r>
        <w:t>Next-quarter operating milestones</w:t>
      </w:r>
    </w:p>
    <w:p>
      <w:pPr>
        <w:pStyle w:val="ListBullet"/>
      </w:pPr>
      <w:r>
        <w:t>Change in management language</w:t>
      </w:r>
    </w:p>
    <w:p>
      <w:pPr>
        <w:pStyle w:val="ListBullet"/>
      </w:pPr>
      <w:r>
        <w:t>Updated consensus estimates</w:t>
      </w:r>
    </w:p>
    <w:p>
      <w:pPr>
        <w:pStyle w:val="ListBullet"/>
      </w:pPr>
      <w:r>
        <w:t>Position-size implications</w:t>
      </w:r>
    </w:p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