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Blue Harbor Internal Research Note</w:t>
        <w:br/>
        <w:t>Vertex Industrial Technologies (VTXI) - Q2 2026</w:t>
      </w:r>
    </w:p>
    <w:p>
      <w:r>
        <w:t>Synthetic training document - not investment advice.</w:t>
      </w:r>
    </w:p>
    <w:p>
      <w:pPr>
        <w:pStyle w:val="Heading1"/>
      </w:pPr>
      <w:r>
        <w:t>Investment View</w:t>
      </w:r>
    </w:p>
    <w:p>
      <w:r>
        <w:t>Portfolio mix is shifting toward automation, preserving consolidated guidance despite mixed end markets.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of $7.1-$7.3 billion and adjusted EPS of $9.00-$9.40</w:t>
            </w:r>
          </w:p>
        </w:tc>
      </w:tr>
      <w:tr>
        <w:tc>
          <w:tcPr>
            <w:tcW w:type="dxa" w:w="4320"/>
          </w:tcPr>
          <w:p>
            <w:r>
              <w:t>Current guidance</w:t>
            </w:r>
          </w:p>
        </w:tc>
        <w:tc>
          <w:tcPr>
            <w:tcW w:type="dxa" w:w="4320"/>
          </w:tcPr>
          <w:p>
            <w:r>
              <w:t>2026 revenue of $7.1-$7.3 billion and adjusted EPS of $9.00-$9.40</w:t>
            </w:r>
          </w:p>
        </w:tc>
      </w:tr>
      <w:tr>
        <w:tc>
          <w:tcPr>
            <w:tcW w:type="dxa" w:w="4320"/>
          </w:tcPr>
          <w:p>
            <w:r>
              <w:t>Classification</w:t>
            </w:r>
          </w:p>
        </w:tc>
        <w:tc>
          <w:tcPr>
            <w:tcW w:type="dxa" w:w="4320"/>
          </w:tcPr>
          <w:p>
            <w:r>
              <w:t>MAINTAINED</w:t>
            </w:r>
          </w:p>
        </w:tc>
      </w:tr>
    </w:tbl>
    <w:p>
      <w:pPr>
        <w:pStyle w:val="Heading1"/>
      </w:pPr>
      <w:r>
        <w:t>Evidence</w:t>
      </w:r>
    </w:p>
    <w:p>
      <w:r>
        <w:t>Management's stated rationale centers on strong automation demand offsetting softer conventional industrial end markets.</w:t>
      </w:r>
    </w:p>
    <w:p>
      <w:r>
        <w:t>Primary-source priority: use the earnings report, earnings-call transcript, and quarterly filing before relying on commentary.</w:t>
      </w:r>
    </w:p>
    <w:p>
      <w:pPr>
        <w:pStyle w:val="Heading1"/>
      </w:pPr>
      <w:r>
        <w:t>Analyst Interpretation</w:t>
      </w:r>
    </w:p>
    <w:p>
      <w:r>
        <w:t>Mixed industrial end markets do not automatically mean guidance was lowered; management explicitly reaffirmed the consolidated range.</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