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NovaChip Technologies (NOVA)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Demand remains structurally healthy, but shipment timing and mix create near-term earnings risk. The Q2 result requires close attention to the relationship between management's official outlook and the market's interpretation of that outlook.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of $5.4-$5.6 billion and adjusted gross margin of approximately 58%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of $5.0-$5.2 billion and adjusted gross margin of 55%-56%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export-license timing, a delayed hyperscale qualification cycle, and a less favorable second-half product mix.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market may read the lower guide as demand weakness, but management explicitly frames the issue mainly as timing and product mix. Treat those as separate claims.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