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Vertex Industrial Technologies (VTXI)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 automation demand offsetting softer conventional industrial end markets.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Mixed industrial end markets do not automatically mean guidance was lowered; management explicitly reaffirmed the consolidated range.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