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Synthetic Energy Company 02 (IA-SYN-02)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Backlog remains intact, but the timing shift into 2027 reduces current-year earnings visibility. The Q2 result requires close attention to the relationship between management's official outlook and the market's interpretation of that outlook.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adjusted EBITDA of $1.80-$1.90 billion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adjusted EBITDA of $1.60-$1.70 billion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project commissioning delays, higher financing costs, and temporary inverter-component logistics expenses.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lower current-year EBITDA range is economically meaningful even if the projects remain contracted. Timing into 2027 still reduces 2026 earnings.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