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Investment AI Internal Research Note</w:t>
        <w:br/>
        <w:t>Synthetic Health Company 04 (IA-SYN-04) - Q2 2026</w:t>
      </w:r>
    </w:p>
    <w:p>
      <w:r>
        <w:t>Synthetic training document - not investment advice.</w:t>
      </w:r>
    </w:p>
    <w:p>
      <w:pPr>
        <w:pStyle w:val="Heading1"/>
      </w:pPr>
      <w:r>
        <w:t>Investment View</w:t>
      </w:r>
    </w:p>
    <w:p>
      <w:r>
        <w:t>Broad-based operating strength supports upward revisions to revenue and earnings expectations. The Q2 result requires close attention to the relationship between management's official outlook and the market's interpretation of that outlook.</w:t>
      </w:r>
    </w:p>
    <w:p>
      <w:pPr>
        <w:pStyle w:val="Heading1"/>
      </w:pPr>
      <w:r>
        <w:t>Guidance Comparison</w:t>
      </w:r>
    </w:p>
    <w:tbl>
      <w:tblPr>
        <w:tblStyle w:val="TableGrid"/>
        <w:tblW w:type="auto" w:w="0"/>
        <w:tblLook w:firstColumn="1" w:firstRow="1" w:lastColumn="0" w:lastRow="0" w:noHBand="0" w:noVBand="1" w:val="04A0"/>
      </w:tblPr>
      <w:tblGrid>
        <w:gridCol w:w="4320"/>
        <w:gridCol w:w="4320"/>
      </w:tblGrid>
      <w:tr>
        <w:tc>
          <w:tcPr>
            <w:tcW w:type="dxa" w:w="4320"/>
          </w:tcPr>
          <w:p>
            <w:r>
              <w:t>Prior guidance</w:t>
            </w:r>
          </w:p>
        </w:tc>
        <w:tc>
          <w:tcPr>
            <w:tcW w:type="dxa" w:w="4320"/>
          </w:tcPr>
          <w:p>
            <w:r>
              <w:t>2026 revenue growth of 6%-8% and adjusted EPS of $5.90-$6.20</w:t>
            </w:r>
          </w:p>
        </w:tc>
      </w:tr>
      <w:tr>
        <w:tc>
          <w:tcPr>
            <w:tcW w:type="dxa" w:w="4320"/>
          </w:tcPr>
          <w:p>
            <w:r>
              <w:t>Current guidance</w:t>
            </w:r>
          </w:p>
        </w:tc>
        <w:tc>
          <w:tcPr>
            <w:tcW w:type="dxa" w:w="4320"/>
          </w:tcPr>
          <w:p>
            <w:r>
              <w:t>2026 revenue growth of 8%-10% and adjusted EPS of $6.20-$6.45</w:t>
            </w:r>
          </w:p>
        </w:tc>
      </w:tr>
      <w:tr>
        <w:tc>
          <w:tcPr>
            <w:tcW w:type="dxa" w:w="4320"/>
          </w:tcPr>
          <w:p>
            <w:r>
              <w:t>Classification</w:t>
            </w:r>
          </w:p>
        </w:tc>
        <w:tc>
          <w:tcPr>
            <w:tcW w:type="dxa" w:w="4320"/>
          </w:tcPr>
          <w:p>
            <w:r>
              <w:t>RAISED</w:t>
            </w:r>
          </w:p>
        </w:tc>
      </w:tr>
    </w:tbl>
    <w:p>
      <w:pPr>
        <w:pStyle w:val="Heading1"/>
      </w:pPr>
      <w:r>
        <w:t>Evidence</w:t>
      </w:r>
    </w:p>
    <w:p>
      <w:r>
        <w:t>Management's stated rationale centers on stronger utilization, labor productivity, and better-than-planned value-based care enrollment.</w:t>
      </w:r>
    </w:p>
    <w:p>
      <w:r>
        <w:t>Primary-source priority: use the earnings report, earnings-call transcript, and quarterly filing before relying on commentary.</w:t>
      </w:r>
    </w:p>
    <w:p>
      <w:pPr>
        <w:pStyle w:val="Heading1"/>
      </w:pPr>
      <w:r>
        <w:t>Analyst Interpretation</w:t>
      </w:r>
    </w:p>
    <w:p>
      <w:r>
        <w:t>The stronger utilization and productivity backdrop is reflected in both revenue-growth and adjusted-EPS revisions.</w:t>
      </w:r>
    </w:p>
    <w:p>
      <w:pPr>
        <w:pStyle w:val="Heading1"/>
      </w:pPr>
      <w:r>
        <w:t>Watch Items</w:t>
      </w:r>
    </w:p>
    <w:p>
      <w:pPr>
        <w:pStyle w:val="ListBullet"/>
      </w:pPr>
      <w:r>
        <w:t>Next-quarter operating milestones</w:t>
      </w:r>
    </w:p>
    <w:p>
      <w:pPr>
        <w:pStyle w:val="ListBullet"/>
      </w:pPr>
      <w:r>
        <w:t>Change in management language</w:t>
      </w:r>
    </w:p>
    <w:p>
      <w:pPr>
        <w:pStyle w:val="ListBullet"/>
      </w:pPr>
      <w:r>
        <w:t>Updated consensus estimates</w:t>
      </w:r>
    </w:p>
    <w:p>
      <w:pPr>
        <w:pStyle w:val="ListBullet"/>
      </w:pPr>
      <w:r>
        <w:t>Position-size implications</w:t>
      </w:r>
    </w:p>
    <w:sectPr w:rsidR="00FC693F" w:rsidRPr="0006063C" w:rsidSect="00034616">
      <w:headerReference w:type="default" r:id="rId9"/>
      <w:footerReference w:type="default" r:id="rId10"/>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