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officeDocument" Target="/word/document.xml" Id="R24d0195f793342c0" /></Relationships>
</file>

<file path=word/document.xml><?xml version="1.0" encoding="utf-8"?>
<w:document xmlns:w="http://schemas.openxmlformats.org/wordprocessingml/2006/main">
  <w:body>
    <w:p>
      <w:pPr>
        <w:pStyle w:val="Title"/>
      </w:pPr>
      <w:r>
        <w:t xml:space="preserve">Brightmoor Labs Employee Handbook</w:t>
      </w:r>
    </w:p>
    <w:p>
      <w:r>
        <w:t xml:space="preserve">This handbook collects the rules that apply to everyone at Brightmoor Labs. Where a contract says something different, the contract wins.</w:t>
      </w:r>
    </w:p>
    <w:p>
      <w:pPr>
        <w:pStyle w:val="Heading1"/>
      </w:pPr>
      <w:r>
        <w:t xml:space="preserve">Working time</w:t>
      </w:r>
    </w:p>
    <w:p>
      <w:r>
        <w:t xml:space="preserve">Core hours are from 10:00 to 15:00; outside them you plan your day yourself. Overtime goes to your flexitime account, which may hold up to 40 hours.</w:t>
      </w:r>
    </w:p>
    <w:p>
      <w:pPr>
        <w:pStyle w:val="Heading1"/>
      </w:pPr>
      <w:r>
        <w:t xml:space="preserve">Travel and expenses</w:t>
      </w:r>
    </w:p>
    <w:p>
      <w:r>
        <w:t xml:space="preserve">Book every trip through the travel portal so that the company insurance covers it. Keep all receipts; the portal asks for a photo of each one.</w:t>
      </w:r>
    </w:p>
    <w:p>
      <w:pPr>
        <w:pStyle w:val="Heading2"/>
      </w:pPr>
      <w:r>
        <w:t xml:space="preserve">Trains</w:t>
      </w:r>
    </w:p>
    <w:p>
      <w:r>
        <w:t xml:space="preserve">For trips inside Germany and to neighbouring countries the train is the default. Planes need the approval of your lead and are only an option when the train journey would take more than twice as long. The travel portal shows both options side by side, including the emissions of each, so you can see the difference at a glance.</w:t>
      </w:r>
    </w:p>
    <w:p>
      <w:r>
        <w:t xml:space="preserve">Book as early as you can: saver fares are cheaper and are reimbursed in full even when they cannot be cancelled, as long as the trip was approved. If a meeting moves and the ticket is lost, that is a cost of doing business, not your problem. Seat reservations are reimbursed as well, and on long journeys you should always make one.</w:t>
      </w:r>
    </w:p>
    <w:p>
      <w:r>
        <w:t xml:space="preserve">Delays happen. When a train is late and you miss a connection, take the next one and keep the confirmation of the delay; you do not need to ask anyone. Taxis to and from the station are fine when no public transport runs or when you carry equipment for a customer.</w:t>
      </w:r>
    </w:p>
    <w:p>
      <w:r>
        <w:t xml:space="preserve">Work on the train counts as working time, and so does the journey itself when it falls on a working day. If you travel on a weekend because the customer asked for it, you receive a day off in return; enter the trip in the time tracking tool and mark it as weekend travel so that the People team can book the day.</w:t>
      </w:r>
    </w:p>
    <w:p>
      <w:r>
        <w:t xml:space="preserve">Bikes may travel with you on regional trains, and the ticket for the bike is reimbursed. Luggage beyond a suitcase, such as demo hardware for a trade fair, should be sent ahead with the logistics partner instead of being carried; the office team arranges the pickup.</w:t>
      </w:r>
    </w:p>
    <w:p>
      <w:r>
        <w:t xml:space="preserve">Second class is the standard. First class is allowed when a single journey lasts more than 4 hours, and the company pays for a BahnCard 50 when you travel often enough for it to pay off.</w:t>
      </w:r>
    </w:p>
    <w:p>
      <w:pPr>
        <w:pStyle w:val="Heading2"/>
      </w:pPr>
      <w:r>
        <w:t xml:space="preserve">Hotels</w:t>
      </w:r>
    </w:p>
    <w:p>
      <w:r>
        <w:t xml:space="preserve">Stay close to where you work during the trip, not close to the city centre. A short walk in the morning saves more time than a nicer neighbourhood, and the travel portal sorts hotels by distance to the address you enter. Prefer hotels with free cancellation; the small extra cost is worth it because plans change.</w:t>
      </w:r>
    </w:p>
    <w:p>
      <w:r>
        <w:t xml:space="preserve">If you travel with colleagues, you do not have to stay in the same hotel, and nobody shares a room. Longer stays of a week or more can be booked as an apartment when that is cheaper than a hotel; ask the People team, who have contracts with providers in the cities we visit most.</w:t>
      </w:r>
    </w:p>
    <w:p>
      <w:r>
        <w:t xml:space="preserve">Breakfast is part of the room price and should be booked with it. Extras such as the minibar, laundry for short trips or a room upgrade are private costs. Parking at the hotel is reimbursed when you travel by car with the approval of your lead.</w:t>
      </w:r>
    </w:p>
    <w:p>
      <w:r>
        <w:t xml:space="preserve">Loyalty points that you collect on business stays are yours to keep, but they must not influence the choice of the hotel. If the cheaper hotel is equally close, book the cheaper one even if another chain would earn you points.</w:t>
      </w:r>
    </w:p>
    <w:p>
      <w:r>
        <w:t xml:space="preserve">Late check-out is worth asking for on the day you leave, especially when your train departs in the evening. If the hotel charges for it, the cost is reimbursed when it is lower than the price of a day room near the station.</w:t>
      </w:r>
    </w:p>
    <w:p>
      <w:r>
        <w:t xml:space="preserve">The room may cost up to 140 euros per night in Germany and up to 180 euros per night abroad, breakfast included. During trade fairs prices rise; ask your lead before you book above these limits.</w:t>
      </w:r>
    </w:p>
    <w:p>
      <w:pPr>
        <w:pStyle w:val="Heading2"/>
      </w:pPr>
      <w:r>
        <w:t xml:space="preserve">Meals</w:t>
      </w:r>
    </w:p>
    <w:p>
      <w:r>
        <w:t xml:space="preserve">For each full day away from home you receive a meal allowance of 28 euros; on the day you arrive and the day you leave it is 14 euros. Meals paid by a customer or included in a conference ticket reduce the allowance.</w:t>
      </w:r>
    </w:p>
    <w:p>
      <w:pPr>
        <w:pStyle w:val="Heading1"/>
      </w:pPr>
      <w:r>
        <w:t xml:space="preserve">Remote work</w:t>
      </w:r>
    </w:p>
    <w:p>
      <w:r>
        <w:t xml:space="preserve">You may work from home on up to 3 days a week. Working from another EU country is possible for up to 20 working days per year; tell the People team two weeks before you go.</w:t>
      </w:r>
    </w:p>
    <w:p>
      <w:pPr>
        <w:pStyle w:val="Heading1"/>
      </w:pPr>
      <w:r>
        <w:t xml:space="preserve">Your first week</w:t>
      </w:r>
    </w:p>
    <w:p>
      <w:pPr>
        <w:pStyle w:val="ListParagraph"/>
        <w:numPr>
          <w:ilvl w:val="0"/>
          <w:numId w:val="1"/>
        </w:numPr>
      </w:pPr>
      <w:r>
        <w:t xml:space="preserve">Collect your laptop and badge at the front desk.</w:t>
      </w:r>
    </w:p>
    <w:p>
      <w:pPr>
        <w:pStyle w:val="ListParagraph"/>
        <w:numPr>
          <w:ilvl w:val="0"/>
          <w:numId w:val="1"/>
        </w:numPr>
      </w:pPr>
      <w:r>
        <w:t xml:space="preserve">Set up two-factor authentication for every account.</w:t>
      </w:r>
    </w:p>
    <w:p>
      <w:pPr>
        <w:pStyle w:val="ListParagraph"/>
        <w:numPr>
          <w:ilvl w:val="0"/>
          <w:numId w:val="1"/>
        </w:numPr>
      </w:pPr>
      <w:r>
        <w:t xml:space="preserve">Book a lunch with your buddy.</w:t>
      </w:r>
    </w:p>
    <w:p>
      <w:pPr>
        <w:pStyle w:val="ListParagraph"/>
        <w:numPr>
          <w:ilvl w:val="0"/>
          <w:numId w:val="1"/>
        </w:numPr>
      </w:pPr>
      <w:r>
        <w:t xml:space="preserve">Read this handbook and the security policy.</w:t>
      </w:r>
    </w:p>
  </w:body>
</w:document>
</file>

<file path=word/numbering.xml><?xml version="1.0" encoding="utf-8"?>
<w:numbering xmlns:w="http://schemas.openxmlformats.org/wordprocessingml/2006/main">
  <w:abstractNum w:abstractNumId="0">
    <w:lvl w:ilvl="0">
      <w:start w:val="1"/>
      <w:numFmt w:val="decimal"/>
      <w:lvlText w:val="%1."/>
    </w:lvl>
  </w:abstractNum>
  <w:num w:numId="1">
    <w:abstractNumId w:val="0"/>
  </w:num>
</w:numbering>
</file>

<file path=word/styles.xml><?xml version="1.0" encoding="utf-8"?>
<w:styles xmlns:w="http://schemas.openxmlformats.org/wordprocessingml/2006/main">
  <w:style w:type="paragraph" w:styleId="Normal" w:default="true">
    <w:name w:val="Normal"/>
  </w:style>
  <w:style w:type="paragraph" w:styleId="Title">
    <w:name w:val="Title"/>
    <w:basedOn w:val="Normal"/>
    <w:rPr>
      <w:b/>
      <w:sz w:val="52"/>
    </w:rPr>
  </w:style>
  <w:style w:type="paragraph" w:styleId="Heading1">
    <w:name w:val="heading 1"/>
    <w:basedOn w:val="Normal"/>
    <w:pPr>
      <w:outlineLvl w:val="0"/>
    </w:pPr>
    <w:rPr>
      <w:b/>
      <w:sz w:val="32"/>
    </w:rPr>
  </w:style>
  <w:style w:type="paragraph" w:styleId="Heading2">
    <w:name w:val="heading 2"/>
    <w:basedOn w:val="Normal"/>
    <w:pPr>
      <w:outlineLvl w:val="1"/>
    </w:pPr>
    <w:rPr>
      <w:b/>
      <w:sz w:val="26"/>
    </w:rPr>
  </w:style>
  <w:style w:type="paragraph" w:styleId="ListParagraph">
    <w:name w:val="List Paragraph"/>
    <w:basedOn w:val="Normal"/>
  </w:style>
  <w:style w:type="paragraph" w:styleId="Code">
    <w:name w:val="Code"/>
    <w:basedOn w:val="Normal"/>
    <w:rPr>
      <w:rFonts w:ascii="Consolas" w:hAnsi="Consolas"/>
    </w:rPr>
  </w:style>
</w:styles>
</file>

<file path=word/_rels/document.xml.rels>&#65279;<?xml version="1.0" encoding="utf-8"?><Relationships xmlns="http://schemas.openxmlformats.org/package/2006/relationships"><Relationship Type="http://schemas.openxmlformats.org/officeDocument/2006/relationships/styles" Target="/word/styles.xml" Id="Ra91796c6f399451e" /><Relationship Type="http://schemas.openxmlformats.org/officeDocument/2006/relationships/numbering" Target="/word/numbering.xml" Id="R12c3d43cb0ab4b1f" /></Relationships>
</file>