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20"/>
        <w:jc w:val="center"/>
      </w:pPr>
      <w:r>
        <w:rPr>
          <w:rFonts w:ascii="Arial" w:cs="Arial" w:eastAsia="Arial" w:hAnsi="Arial"/>
          <w:b/>
          <w:bCs/>
          <w:color w:val="2E75B6"/>
          <w:spacing w:val="200"/>
          <w:sz w:val="22"/>
          <w:szCs w:val="22"/>
        </w:rPr>
        <w:t xml:space="preserve">TECHNICAL WHITEPAPER</w:t>
      </w:r>
    </w:p>
    <w:p>
      <w:pPr>
        <w:pBdr>
          <w:bottom w:val="single" w:color="2E75B6" w:sz="4" w:space="1"/>
        </w:pBdr>
        <w:spacing w:after="80"/>
        <w:jc w:val="center"/>
      </w:pPr>
    </w:p>
    <w:p>
      <w:pPr>
        <w:spacing w:after="200"/>
      </w:pPr>
    </w:p>
    <w:p>
      <w:pPr>
        <w:spacing w:after="120"/>
        <w:jc w:val="center"/>
      </w:pPr>
      <w:r>
        <w:rPr>
          <w:rFonts w:ascii="Arial" w:cs="Arial" w:eastAsia="Arial" w:hAnsi="Arial"/>
          <w:b/>
          <w:bCs/>
          <w:color w:val="1B3A5C"/>
          <w:sz w:val="48"/>
          <w:szCs w:val="48"/>
        </w:rPr>
        <w:t xml:space="preserve">AI-Assisted Automated Drafting</w:t>
      </w:r>
    </w:p>
    <w:p>
      <w:pPr>
        <w:spacing w:after="100"/>
        <w:jc w:val="center"/>
      </w:pPr>
      <w:r>
        <w:rPr>
          <w:rFonts w:ascii="Arial" w:cs="Arial" w:eastAsia="Arial" w:hAnsi="Arial"/>
          <w:color w:val="2E75B6"/>
          <w:sz w:val="32"/>
          <w:szCs w:val="32"/>
        </w:rPr>
        <w:t xml:space="preserve">in Land Surveying &amp; Civil Engineering</w:t>
      </w:r>
    </w:p>
    <w:p>
      <w:pPr>
        <w:spacing w:after="200"/>
      </w:pPr>
    </w:p>
    <w:p>
      <w:pPr>
        <w:spacing w:after="100"/>
        <w:jc w:val="center"/>
      </w:pPr>
      <w:r>
        <w:rPr>
          <w:rFonts w:ascii="Arial" w:cs="Arial" w:eastAsia="Arial" w:hAnsi="Arial"/>
          <w:color w:val="555555"/>
          <w:sz w:val="24"/>
          <w:szCs w:val="24"/>
        </w:rPr>
        <w:t xml:space="preserve">Architecture, Feasibility, and Implementation Analysis</w:t>
      </w:r>
    </w:p>
    <w:p>
      <w:pPr>
        <w:spacing w:after="80"/>
        <w:jc w:val="center"/>
      </w:pPr>
      <w:r>
        <w:rPr>
          <w:rFonts w:ascii="Arial" w:cs="Arial" w:eastAsia="Arial" w:hAnsi="Arial"/>
          <w:color w:val="555555"/>
          <w:sz w:val="24"/>
          <w:szCs w:val="24"/>
        </w:rPr>
        <w:t xml:space="preserve">for TOTL Surveys</w:t>
      </w:r>
    </w:p>
    <w:p>
      <w:pPr>
        <w:spacing w:after="1400"/>
      </w:pPr>
    </w:p>
    <w:p>
      <w:pPr>
        <w:spacing w:after="80"/>
        <w:jc w:val="center"/>
      </w:pPr>
      <w:r>
        <w:rPr>
          <w:rFonts w:ascii="Arial" w:cs="Arial" w:eastAsia="Arial" w:hAnsi="Arial"/>
          <w:color w:val="555555"/>
          <w:sz w:val="22"/>
          <w:szCs w:val="22"/>
        </w:rPr>
        <w:t xml:space="preserve">February 2026</w:t>
      </w:r>
    </w:p>
    <w:p>
      <w:pPr>
        <w:sectPr>
          <w:pgSz w:w="12240" w:h="15840" w:orient="portrait"/>
          <w:pgMar w:top="1440" w:right="1440" w:bottom="1440" w:left="1440" w:header="708" w:footer="708" w:gutter="0"/>
          <w:pgNumType/>
          <w:docGrid w:linePitch="360"/>
        </w:sectPr>
      </w:pPr>
    </w:p>
    <w:p>
      <w:pPr>
        <w:pStyle w:val="Heading1"/>
      </w:pPr>
      <w:r>
        <w:t xml:space="preserve">1. Introduction and Problem Statement</w:t>
      </w:r>
    </w:p>
    <w:p>
      <w:pPr>
        <w:spacing w:after="160" w:line="276"/>
        <w:jc w:val="left"/>
      </w:pPr>
      <w:r>
        <w:rPr>
          <w:rFonts w:ascii="Arial" w:cs="Arial" w:eastAsia="Arial" w:hAnsi="Arial"/>
          <w:color w:val="333333"/>
          <w:sz w:val="22"/>
          <w:szCs w:val="22"/>
        </w:rPr>
        <w:t xml:space="preserve">Land surveying and civil engineering occupy a unique position among technical professions: their outputs carry direct legal liability. A boundary line, a topographic surface, or a volumetric calculation may be subpoenaed in court, used to authorize multi-million-dollar contractor payments, or relied upon for regulatory compliance with agencies ranging from FEMA to the FAA. The Professional Land Surveyor (PLS) or Professional Engineer (PE) who signs and seals a document assumes personal, financial, and in some cases criminal liability for its accuracy.</w:t>
      </w:r>
    </w:p>
    <w:p>
      <w:pPr>
        <w:spacing w:after="160" w:line="276"/>
        <w:jc w:val="left"/>
      </w:pPr>
      <w:r>
        <w:rPr>
          <w:rFonts w:ascii="Arial" w:cs="Arial" w:eastAsia="Arial" w:hAnsi="Arial"/>
          <w:color w:val="333333"/>
          <w:sz w:val="22"/>
          <w:szCs w:val="22"/>
        </w:rPr>
        <w:t xml:space="preserve">This legal reality creates a fundamental tension with emerging AI capabilities. Machine learning systems—particularly generative models—have demonstrated remarkable abilities in image recognition, natural language processing, and even 3D scene understanding. However, the surveying profession requires something generative AI cannot provide: deterministic reproducibility, mathematically bounded error propagation, and outputs that can be regenerated bit-for-bit if challenged in litigation years later.</w:t>
      </w:r>
    </w:p>
    <w:p>
      <w:pPr>
        <w:spacing w:after="160" w:line="276"/>
        <w:jc w:val="left"/>
      </w:pPr>
      <w:r>
        <w:rPr>
          <w:rFonts w:ascii="Arial" w:cs="Arial" w:eastAsia="Arial" w:hAnsi="Arial"/>
          <w:color w:val="333333"/>
          <w:sz w:val="22"/>
          <w:szCs w:val="22"/>
        </w:rPr>
        <w:t xml:space="preserve">The core problem this document addresses is not whether AI can be useful in surveying. It clearly can. The question is how to architect an AI-assisted system that respects the legal, geodetic, and mathematical constraints of the profession while eliminating the primary production bottleneck: manual drafting.</w:t>
      </w:r>
    </w:p>
    <w:p>
      <w:pPr>
        <w:pStyle w:val="Heading2"/>
      </w:pPr>
      <w:r>
        <w:t xml:space="preserve">1.1 The Drafting Bottleneck</w:t>
      </w:r>
    </w:p>
    <w:p>
      <w:pPr>
        <w:spacing w:after="160" w:line="276"/>
        <w:jc w:val="left"/>
      </w:pPr>
      <w:r>
        <w:rPr>
          <w:rFonts w:ascii="Arial" w:cs="Arial" w:eastAsia="Arial" w:hAnsi="Arial"/>
          <w:color w:val="333333"/>
          <w:sz w:val="22"/>
          <w:szCs w:val="22"/>
        </w:rPr>
        <w:t xml:space="preserve">Modern survey data capture has accelerated dramatically. Drone-mounted LiDAR, mobile SLAM scanners, and RTK GNSS rovers can capture tens of millions of georeferenced points in hours. However, the office workflow has not kept pace. Converting raw point clouds into deliverable CAD drawings—classifying ground versus vegetation, tracing breaklines along curbs and ridges, building Digital Terrain Models, assigning CAD layers to NCS standards—still requires a skilled drafter clicking through individual points for days or weeks per project.</w:t>
      </w:r>
    </w:p>
    <w:p>
      <w:pPr>
        <w:spacing w:after="160" w:line="276"/>
        <w:jc w:val="left"/>
      </w:pPr>
      <w:r>
        <w:rPr>
          <w:rFonts w:ascii="Arial" w:cs="Arial" w:eastAsia="Arial" w:hAnsi="Arial"/>
          <w:color w:val="333333"/>
          <w:sz w:val="22"/>
          <w:szCs w:val="22"/>
        </w:rPr>
        <w:t xml:space="preserve">This asymmetry between capture speed and production speed is the operational constraint that AI-assisted drafting directly addresses. The goal is not to replace the drafter or the PLS, but to automate the repetitive classification and extraction work so that human professionals spend their time on judgment-intensive tasks: interpreting ambiguous boundaries, resolving conflicting evidence, and certifying final deliverables.</w:t>
      </w:r>
    </w:p>
    <w:p>
      <w:pPr>
        <w:pStyle w:val="Heading2"/>
      </w:pPr>
      <w:r>
        <w:t xml:space="preserve">1.2 Why Generative AI Fails This Domain</w:t>
      </w:r>
    </w:p>
    <w:p>
      <w:pPr>
        <w:spacing w:after="160" w:line="276"/>
        <w:jc w:val="left"/>
      </w:pPr>
      <w:r>
        <w:rPr>
          <w:rFonts w:ascii="Arial" w:cs="Arial" w:eastAsia="Arial" w:hAnsi="Arial"/>
          <w:color w:val="333333"/>
          <w:sz w:val="22"/>
          <w:szCs w:val="22"/>
        </w:rPr>
        <w:t xml:space="preserve">Most commercial AI systems use generative models that predict or interpolate missing data. In computer vision, this might mean filling in occluded regions of an image. Applied naively to surveying, generative approaches attempt to predict terrain beneath tree canopy or complete surfaces where sensor data is sparse. This is fundamentally incompatible with the profession for several reasons:</w:t>
      </w:r>
    </w:p>
    <w:p>
      <w:pPr>
        <w:pStyle w:val="ListParagraph"/>
        <w:numPr>
          <w:ilvl w:val="0"/>
          <w:numId w:val="2"/>
        </w:numPr>
        <w:spacing w:after="100" w:line="276"/>
      </w:pPr>
      <w:r>
        <w:rPr>
          <w:rFonts w:ascii="Arial" w:cs="Arial" w:eastAsia="Arial" w:hAnsi="Arial"/>
          <w:b/>
          <w:bCs/>
          <w:color w:val="333333"/>
          <w:sz w:val="22"/>
          <w:szCs w:val="22"/>
        </w:rPr>
        <w:t xml:space="preserve">Legal inadmissibility: </w:t>
      </w:r>
      <w:r>
        <w:rPr>
          <w:rFonts w:ascii="Arial" w:cs="Arial" w:eastAsia="Arial" w:hAnsi="Arial"/>
          <w:color w:val="333333"/>
          <w:sz w:val="22"/>
          <w:szCs w:val="22"/>
        </w:rPr>
        <w:t xml:space="preserve">A PLS cannot legally sign data that was “invented” by an algorithm. The standard of care requires that deliverables represent measured reality, not statistical predictions. Generative terrain models cannot produce the covariance matrices required by Least Squares Adjustment software.</w:t>
      </w:r>
    </w:p>
    <w:p>
      <w:pPr>
        <w:pStyle w:val="ListParagraph"/>
        <w:numPr>
          <w:ilvl w:val="0"/>
          <w:numId w:val="2"/>
        </w:numPr>
        <w:spacing w:after="100" w:line="276"/>
      </w:pPr>
      <w:r>
        <w:rPr>
          <w:rFonts w:ascii="Arial" w:cs="Arial" w:eastAsia="Arial" w:hAnsi="Arial"/>
          <w:b/>
          <w:bCs/>
          <w:color w:val="333333"/>
          <w:sz w:val="22"/>
          <w:szCs w:val="22"/>
        </w:rPr>
        <w:t xml:space="preserve">Daubert vulnerability: </w:t>
      </w:r>
      <w:r>
        <w:rPr>
          <w:rFonts w:ascii="Arial" w:cs="Arial" w:eastAsia="Arial" w:hAnsi="Arial"/>
          <w:color w:val="333333"/>
          <w:sz w:val="22"/>
          <w:szCs w:val="22"/>
        </w:rPr>
        <w:t xml:space="preserve">Under the Daubert standard for expert testimony admissibility, opposing counsel can challenge any methodology that lacks a known error rate or is not reproducible. Generative models are stochastic—they produce different outputs from different random seeds—making them inherently non-reproducible.</w:t>
      </w:r>
    </w:p>
    <w:p>
      <w:pPr>
        <w:pStyle w:val="ListParagraph"/>
        <w:numPr>
          <w:ilvl w:val="0"/>
          <w:numId w:val="2"/>
        </w:numPr>
        <w:spacing w:after="100" w:line="276"/>
      </w:pPr>
      <w:r>
        <w:rPr>
          <w:rFonts w:ascii="Arial" w:cs="Arial" w:eastAsia="Arial" w:hAnsi="Arial"/>
          <w:b/>
          <w:bCs/>
          <w:color w:val="333333"/>
          <w:sz w:val="22"/>
          <w:szCs w:val="22"/>
        </w:rPr>
        <w:t xml:space="preserve">Topological hazards: </w:t>
      </w:r>
      <w:r>
        <w:rPr>
          <w:rFonts w:ascii="Arial" w:cs="Arial" w:eastAsia="Arial" w:hAnsi="Arial"/>
          <w:color w:val="333333"/>
          <w:sz w:val="22"/>
          <w:szCs w:val="22"/>
        </w:rPr>
        <w:t xml:space="preserve">Generative outputs frequently produce non-manifold geometry (self-intersecting surfaces, micro-gaps, degenerate triangles) that crashes legacy CAD kernels like Parasolid and ACIS, causing data loss and software instability.</w:t>
      </w:r>
    </w:p>
    <w:p>
      <w:pPr>
        <w:spacing w:after="160" w:line="276"/>
        <w:jc w:val="left"/>
      </w:pPr>
      <w:r>
        <w:rPr>
          <w:rFonts w:ascii="Arial" w:cs="Arial" w:eastAsia="Arial" w:hAnsi="Arial"/>
          <w:color w:val="333333"/>
          <w:sz w:val="22"/>
          <w:szCs w:val="22"/>
        </w:rPr>
        <w:t xml:space="preserve">These are not theoretical concerns. They reflect the actual failure modes that have prevented AI adoption in the surveying profession despite years of vendor marketing.</w:t>
      </w:r>
    </w:p>
    <w:p>
      <w:r>
        <w:br w:type="page"/>
      </w:r>
    </w:p>
    <w:p>
      <w:pPr>
        <w:pStyle w:val="Heading1"/>
      </w:pPr>
      <w:r>
        <w:t xml:space="preserve">2. Architectural Doctrine</w:t>
      </w:r>
    </w:p>
    <w:p>
      <w:pPr>
        <w:spacing w:after="160" w:line="276"/>
        <w:jc w:val="left"/>
      </w:pPr>
      <w:r>
        <w:rPr>
          <w:rFonts w:ascii="Arial" w:cs="Arial" w:eastAsia="Arial" w:hAnsi="Arial"/>
          <w:color w:val="333333"/>
          <w:sz w:val="22"/>
          <w:szCs w:val="22"/>
        </w:rPr>
        <w:t xml:space="preserve">The system described in this document is built on a strict separation of responsibilities:</w:t>
      </w:r>
    </w:p>
    <w:p>
      <w:pPr>
        <w:pBdr>
          <w:top w:val="single" w:color="2E75B6" w:sz="2" w:space="4"/>
          <w:bottom w:val="single" w:color="2E75B6" w:sz="2" w:space="4"/>
        </w:pBdr>
        <w:spacing w:before="200" w:after="200"/>
        <w:jc w:val="center"/>
      </w:pPr>
      <w:r>
        <w:rPr>
          <w:rFonts w:ascii="Arial" w:cs="Arial" w:eastAsia="Arial" w:hAnsi="Arial"/>
          <w:b/>
          <w:bCs/>
          <w:color w:val="1B3A5C"/>
          <w:sz w:val="24"/>
          <w:szCs w:val="24"/>
        </w:rPr>
        <w:t xml:space="preserve">AI Classifies.    Algorithms Measure.    Humans Certify.</w:t>
      </w:r>
    </w:p>
    <w:p>
      <w:pPr>
        <w:spacing w:after="160" w:line="276"/>
        <w:jc w:val="left"/>
      </w:pPr>
      <w:r>
        <w:rPr>
          <w:rFonts w:ascii="Arial" w:cs="Arial" w:eastAsia="Arial" w:hAnsi="Arial"/>
          <w:color w:val="333333"/>
          <w:sz w:val="22"/>
          <w:szCs w:val="22"/>
        </w:rPr>
        <w:t xml:space="preserve">Each word in this doctrine maps to a specific architectural constraint:</w:t>
      </w:r>
    </w:p>
    <w:p>
      <w:pPr>
        <w:pStyle w:val="ListParagraph"/>
        <w:numPr>
          <w:ilvl w:val="0"/>
          <w:numId w:val="2"/>
        </w:numPr>
        <w:spacing w:after="100" w:line="276"/>
      </w:pPr>
      <w:r>
        <w:rPr>
          <w:rFonts w:ascii="Arial" w:cs="Arial" w:eastAsia="Arial" w:hAnsi="Arial"/>
          <w:b/>
          <w:bCs/>
          <w:color w:val="333333"/>
          <w:sz w:val="22"/>
          <w:szCs w:val="22"/>
        </w:rPr>
        <w:t xml:space="preserve">AI Classifies: </w:t>
      </w:r>
      <w:r>
        <w:rPr>
          <w:rFonts w:ascii="Arial" w:cs="Arial" w:eastAsia="Arial" w:hAnsi="Arial"/>
          <w:color w:val="333333"/>
          <w:sz w:val="22"/>
          <w:szCs w:val="22"/>
        </w:rPr>
        <w:t xml:space="preserve">Machine learning is restricted to discriminative classification—labeling existing measured points as “ground,” “vegetation,” “curb,” etc. The ML subsystem has zero geometry libraries compiled into its runtime container. It is architecturally incapable of creating, modifying, or inventing spatial coordinates. It outputs only a probability tensor: [Point_UUID, P(Class)].</w:t>
      </w:r>
    </w:p>
    <w:p>
      <w:pPr>
        <w:pStyle w:val="ListParagraph"/>
        <w:numPr>
          <w:ilvl w:val="0"/>
          <w:numId w:val="2"/>
        </w:numPr>
        <w:spacing w:after="100" w:line="276"/>
      </w:pPr>
      <w:r>
        <w:rPr>
          <w:rFonts w:ascii="Arial" w:cs="Arial" w:eastAsia="Arial" w:hAnsi="Arial"/>
          <w:b/>
          <w:bCs/>
          <w:color w:val="333333"/>
          <w:sz w:val="22"/>
          <w:szCs w:val="22"/>
        </w:rPr>
        <w:t xml:space="preserve">Algorithms Measure: </w:t>
      </w:r>
      <w:r>
        <w:rPr>
          <w:rFonts w:ascii="Arial" w:cs="Arial" w:eastAsia="Arial" w:hAnsi="Arial"/>
          <w:color w:val="333333"/>
          <w:sz w:val="22"/>
          <w:szCs w:val="22"/>
        </w:rPr>
        <w:t xml:space="preserve">All geometric computation—TIN generation, breakline extraction, volume integration, surface slope calculation—is performed by deterministic, mathematically provable algorithms using exact-predicate arithmetic (CGAL EPECK with GMP/MPFR). The geometry subsystem has zero ML libraries. It consumes the ML classification tensor purely as a boolean filter mask applied to the original, unmodified sensor data.</w:t>
      </w:r>
    </w:p>
    <w:p>
      <w:pPr>
        <w:pStyle w:val="ListParagraph"/>
        <w:numPr>
          <w:ilvl w:val="0"/>
          <w:numId w:val="2"/>
        </w:numPr>
        <w:spacing w:after="100" w:line="276"/>
      </w:pPr>
      <w:r>
        <w:rPr>
          <w:rFonts w:ascii="Arial" w:cs="Arial" w:eastAsia="Arial" w:hAnsi="Arial"/>
          <w:b/>
          <w:bCs/>
          <w:color w:val="333333"/>
          <w:sz w:val="22"/>
          <w:szCs w:val="22"/>
        </w:rPr>
        <w:t xml:space="preserve">Humans Certify: </w:t>
      </w:r>
      <w:r>
        <w:rPr>
          <w:rFonts w:ascii="Arial" w:cs="Arial" w:eastAsia="Arial" w:hAnsi="Arial"/>
          <w:color w:val="333333"/>
          <w:sz w:val="22"/>
          <w:szCs w:val="22"/>
        </w:rPr>
        <w:t xml:space="preserve">The PLS retains full legal authority. AI suggestions are presented as ghosted overlays requiring explicit accept/reject decisions. Divergence zones are flagged for mandatory human review. Certification requires cryptographic signature that hashes the complete processing lineage.</w:t>
      </w:r>
    </w:p>
    <w:p>
      <w:pPr>
        <w:spacing w:after="160" w:line="276"/>
        <w:jc w:val="left"/>
      </w:pPr>
      <w:r>
        <w:rPr>
          <w:rFonts w:ascii="Arial" w:cs="Arial" w:eastAsia="Arial" w:hAnsi="Arial"/>
          <w:color w:val="333333"/>
          <w:sz w:val="22"/>
          <w:szCs w:val="22"/>
        </w:rPr>
        <w:t xml:space="preserve">This separation is not merely conceptual. It is enforced at the container level through strict dependency isolation, and at the data level through cryptographic signatures that break if any component crosses its boundary.</w:t>
      </w:r>
    </w:p>
    <w:p>
      <w:pPr>
        <w:pStyle w:val="Heading1"/>
      </w:pPr>
      <w:r>
        <w:t xml:space="preserve">3. The Five-Phase Defensible Spatial Pipeline</w:t>
      </w:r>
    </w:p>
    <w:p>
      <w:pPr>
        <w:pStyle w:val="Heading2"/>
      </w:pPr>
      <w:r>
        <w:t xml:space="preserve">3.1 Phase 1: Geodetic Gatekeeper (ETL)</w:t>
      </w:r>
    </w:p>
    <w:p>
      <w:pPr>
        <w:spacing w:after="160" w:line="276"/>
        <w:jc w:val="left"/>
      </w:pPr>
      <w:r>
        <w:rPr>
          <w:rFonts w:ascii="Arial" w:cs="Arial" w:eastAsia="Arial" w:hAnsi="Arial"/>
          <w:color w:val="333333"/>
          <w:sz w:val="22"/>
          <w:szCs w:val="22"/>
        </w:rPr>
        <w:t xml:space="preserve">All incoming spatial data passes through a strict ingestion service before any processing occurs. This service enforces the following constraints:</w:t>
      </w:r>
    </w:p>
    <w:p>
      <w:pPr>
        <w:pStyle w:val="ListParagraph"/>
        <w:numPr>
          <w:ilvl w:val="0"/>
          <w:numId w:val="2"/>
        </w:numPr>
        <w:spacing w:after="100" w:line="276"/>
      </w:pPr>
      <w:r>
        <w:rPr>
          <w:rFonts w:ascii="Arial" w:cs="Arial" w:eastAsia="Arial" w:hAnsi="Arial"/>
          <w:b/>
          <w:bCs/>
          <w:color w:val="333333"/>
          <w:sz w:val="22"/>
          <w:szCs w:val="22"/>
        </w:rPr>
        <w:t xml:space="preserve">Coordinate Reference System validation: </w:t>
      </w:r>
      <w:r>
        <w:rPr>
          <w:rFonts w:ascii="Arial" w:cs="Arial" w:eastAsia="Arial" w:hAnsi="Arial"/>
          <w:color w:val="333333"/>
          <w:sz w:val="22"/>
          <w:szCs w:val="22"/>
        </w:rPr>
        <w:t xml:space="preserve">Every file must declare an EPSG code and datum epoch. Files missing this metadata are rejected at ingestion, not silently processed with assumed defaults.</w:t>
      </w:r>
    </w:p>
    <w:p>
      <w:pPr>
        <w:pStyle w:val="ListParagraph"/>
        <w:numPr>
          <w:ilvl w:val="0"/>
          <w:numId w:val="2"/>
        </w:numPr>
        <w:spacing w:after="100" w:line="276"/>
      </w:pPr>
      <w:r>
        <w:rPr>
          <w:rFonts w:ascii="Arial" w:cs="Arial" w:eastAsia="Arial" w:hAnsi="Arial"/>
          <w:b/>
          <w:bCs/>
          <w:color w:val="333333"/>
          <w:sz w:val="22"/>
          <w:szCs w:val="22"/>
        </w:rPr>
        <w:t xml:space="preserve">Datum transformation: </w:t>
      </w:r>
      <w:r>
        <w:rPr>
          <w:rFonts w:ascii="Arial" w:cs="Arial" w:eastAsia="Arial" w:hAnsi="Arial"/>
          <w:color w:val="333333"/>
          <w:sz w:val="22"/>
          <w:szCs w:val="22"/>
        </w:rPr>
        <w:t xml:space="preserve">PROJ version 9.0 or later is enforced for all coordinate transformations. This is critical because older PROJ versions do not correctly handle the upcoming NATRF2022/NAPGD2022 datum modernization, which will shift all existing NAD83 coordinates by 1–2 meters globally.</w:t>
      </w:r>
    </w:p>
    <w:p>
      <w:pPr>
        <w:pStyle w:val="ListParagraph"/>
        <w:numPr>
          <w:ilvl w:val="0"/>
          <w:numId w:val="2"/>
        </w:numPr>
        <w:spacing w:after="100" w:line="276"/>
      </w:pPr>
      <w:r>
        <w:rPr>
          <w:rFonts w:ascii="Arial" w:cs="Arial" w:eastAsia="Arial" w:hAnsi="Arial"/>
          <w:b/>
          <w:bCs/>
          <w:color w:val="333333"/>
          <w:sz w:val="22"/>
          <w:szCs w:val="22"/>
        </w:rPr>
        <w:t xml:space="preserve">Geoid interpolation: </w:t>
      </w:r>
      <w:r>
        <w:rPr>
          <w:rFonts w:ascii="Arial" w:cs="Arial" w:eastAsia="Arial" w:hAnsi="Arial"/>
          <w:color w:val="333333"/>
          <w:sz w:val="22"/>
          <w:szCs w:val="22"/>
        </w:rPr>
        <w:t xml:space="preserve">GNSS receivers measure ellipsoidal heights. Surveyors work in orthometric (sea-level) heights. The gatekeeper dynamically interpolates GEOID18/GEOID22 models to bridge this gap, with the interpolation RMS error tracked as part of the uncertainty budget.</w:t>
      </w:r>
    </w:p>
    <w:p>
      <w:pPr>
        <w:pStyle w:val="ListParagraph"/>
        <w:numPr>
          <w:ilvl w:val="0"/>
          <w:numId w:val="2"/>
        </w:numPr>
        <w:spacing w:after="100" w:line="276"/>
      </w:pPr>
      <w:r>
        <w:rPr>
          <w:rFonts w:ascii="Arial" w:cs="Arial" w:eastAsia="Arial" w:hAnsi="Arial"/>
          <w:b/>
          <w:bCs/>
          <w:color w:val="333333"/>
          <w:sz w:val="22"/>
          <w:szCs w:val="22"/>
        </w:rPr>
        <w:t xml:space="preserve">HTDP tectonic correction: </w:t>
      </w:r>
      <w:r>
        <w:rPr>
          <w:rFonts w:ascii="Arial" w:cs="Arial" w:eastAsia="Arial" w:hAnsi="Arial"/>
          <w:color w:val="333333"/>
          <w:sz w:val="22"/>
          <w:szCs w:val="22"/>
        </w:rPr>
        <w:t xml:space="preserve">For data spanning multiple epochs, the NGS Horizontal Time-Dependent Positioning model is applied to account for tectonic plate velocity. Without this, coordinates measured five years apart may disagree by centimeters due to physical continental drift.</w:t>
      </w:r>
    </w:p>
    <w:p>
      <w:pPr>
        <w:pStyle w:val="ListParagraph"/>
        <w:numPr>
          <w:ilvl w:val="0"/>
          <w:numId w:val="2"/>
        </w:numPr>
        <w:spacing w:after="100" w:line="276"/>
      </w:pPr>
      <w:r>
        <w:rPr>
          <w:rFonts w:ascii="Arial" w:cs="Arial" w:eastAsia="Arial" w:hAnsi="Arial"/>
          <w:b/>
          <w:bCs/>
          <w:color w:val="333333"/>
          <w:sz w:val="22"/>
          <w:szCs w:val="22"/>
        </w:rPr>
        <w:t xml:space="preserve">U.S. Survey Foot enforcement: </w:t>
      </w:r>
      <w:r>
        <w:rPr>
          <w:rFonts w:ascii="Arial" w:cs="Arial" w:eastAsia="Arial" w:hAnsi="Arial"/>
          <w:color w:val="333333"/>
          <w:sz w:val="22"/>
          <w:szCs w:val="22"/>
        </w:rPr>
        <w:t xml:space="preserve">The U.S. Survey Foot was deprecated on December 31, 2022 (per NIST). The difference between the U.S. Survey Foot and the International Foot is 2 parts per million—small in isolation, but equivalent to feet of error across large infrastructure sites. Legacy files without explicit unit metadata are rejected.</w:t>
      </w:r>
    </w:p>
    <w:p>
      <w:pPr>
        <w:pStyle w:val="Heading2"/>
      </w:pPr>
      <w:r>
        <w:t xml:space="preserve">3.2 Phase 2: Discriminative ML Segmentation</w:t>
      </w:r>
    </w:p>
    <w:p>
      <w:pPr>
        <w:spacing w:after="160" w:line="276"/>
        <w:jc w:val="left"/>
      </w:pPr>
      <w:r>
        <w:rPr>
          <w:rFonts w:ascii="Arial" w:cs="Arial" w:eastAsia="Arial" w:hAnsi="Arial"/>
          <w:color w:val="333333"/>
          <w:sz w:val="22"/>
          <w:szCs w:val="22"/>
        </w:rPr>
        <w:t xml:space="preserve">Geodetically validated data enters the ML classification cluster. The system deploys 3D Point Transformers (e.g., Point Transformer v3) or Sparse Convolutional Networks (e.g., MinkowskiEngine) that natively handle unstructured 3D point sets without forcing them into graph abstractions or dense voxel grids.</w:t>
      </w:r>
    </w:p>
    <w:p>
      <w:pPr>
        <w:spacing w:after="160" w:line="276"/>
        <w:jc w:val="left"/>
      </w:pPr>
      <w:r>
        <w:rPr>
          <w:rFonts w:ascii="Arial" w:cs="Arial" w:eastAsia="Arial" w:hAnsi="Arial"/>
          <w:color w:val="333333"/>
          <w:sz w:val="22"/>
          <w:szCs w:val="22"/>
        </w:rPr>
        <w:t xml:space="preserve">The ML’s role is semantic labeling: tagging each measured point with a classification (Bare Earth, Low Vegetation, High Vegetation, Building, Hardscape, Utility Line, etc.) and an associated probability. It does not interpolate missing terrain, predict occluded surfaces, or generate new coordinates.</w:t>
      </w:r>
    </w:p>
    <w:p>
      <w:pPr>
        <w:spacing w:after="160" w:line="276"/>
        <w:jc w:val="left"/>
      </w:pPr>
      <w:r>
        <w:rPr>
          <w:rFonts w:ascii="Arial" w:cs="Arial" w:eastAsia="Arial" w:hAnsi="Arial"/>
          <w:color w:val="333333"/>
          <w:sz w:val="22"/>
          <w:szCs w:val="22"/>
        </w:rPr>
        <w:t xml:space="preserve">Several technical constraints govern this phase:</w:t>
      </w:r>
    </w:p>
    <w:p>
      <w:pPr>
        <w:pStyle w:val="ListParagraph"/>
        <w:numPr>
          <w:ilvl w:val="0"/>
          <w:numId w:val="2"/>
        </w:numPr>
        <w:spacing w:after="100" w:line="276"/>
      </w:pPr>
      <w:r>
        <w:rPr>
          <w:rFonts w:ascii="Arial" w:cs="Arial" w:eastAsia="Arial" w:hAnsi="Arial"/>
          <w:b/>
          <w:bCs/>
          <w:color w:val="333333"/>
          <w:sz w:val="22"/>
          <w:szCs w:val="22"/>
        </w:rPr>
        <w:t xml:space="preserve">Data split strategy: </w:t>
      </w:r>
      <w:r>
        <w:rPr>
          <w:rFonts w:ascii="Arial" w:cs="Arial" w:eastAsia="Arial" w:hAnsi="Arial"/>
          <w:color w:val="333333"/>
          <w:sz w:val="22"/>
          <w:szCs w:val="22"/>
        </w:rPr>
        <w:t xml:space="preserve">Geospatial data is highly spatially autocorrelated (Tobler’s First Law). Standard random train/test splits cause severe data leakage. The pipeline enforces strict Spatial Block K-Fold Cross-Validation with geographic grid tiles separated by &gt;5 km physical buffers.</w:t>
      </w:r>
    </w:p>
    <w:p>
      <w:pPr>
        <w:pStyle w:val="ListParagraph"/>
        <w:numPr>
          <w:ilvl w:val="0"/>
          <w:numId w:val="2"/>
        </w:numPr>
        <w:spacing w:after="100" w:line="276"/>
      </w:pPr>
      <w:r>
        <w:rPr>
          <w:rFonts w:ascii="Arial" w:cs="Arial" w:eastAsia="Arial" w:hAnsi="Arial"/>
          <w:b/>
          <w:bCs/>
          <w:color w:val="333333"/>
          <w:sz w:val="22"/>
          <w:szCs w:val="22"/>
        </w:rPr>
        <w:t xml:space="preserve">Reproducibility: </w:t>
      </w:r>
      <w:r>
        <w:rPr>
          <w:rFonts w:ascii="Arial" w:cs="Arial" w:eastAsia="Arial" w:hAnsi="Arial"/>
          <w:color w:val="333333"/>
          <w:sz w:val="22"/>
          <w:szCs w:val="22"/>
        </w:rPr>
        <w:t xml:space="preserve">Model weights are version-controlled via DVC and MLflow. Random seeds are locked during inference. The ONNX model hash, runtime version, and inference parameters are logged for every classification run.</w:t>
      </w:r>
    </w:p>
    <w:p>
      <w:pPr>
        <w:pStyle w:val="ListParagraph"/>
        <w:numPr>
          <w:ilvl w:val="0"/>
          <w:numId w:val="2"/>
        </w:numPr>
        <w:spacing w:after="100" w:line="276"/>
      </w:pPr>
      <w:r>
        <w:rPr>
          <w:rFonts w:ascii="Arial" w:cs="Arial" w:eastAsia="Arial" w:hAnsi="Arial"/>
          <w:b/>
          <w:bCs/>
          <w:color w:val="333333"/>
          <w:sz w:val="22"/>
          <w:szCs w:val="22"/>
        </w:rPr>
        <w:t xml:space="preserve">Confidence calibration: </w:t>
      </w:r>
      <w:r>
        <w:rPr>
          <w:rFonts w:ascii="Arial" w:cs="Arial" w:eastAsia="Arial" w:hAnsi="Arial"/>
          <w:color w:val="333333"/>
          <w:sz w:val="22"/>
          <w:szCs w:val="22"/>
        </w:rPr>
        <w:t xml:space="preserve">Raw softmax outputs are uncalibrated logits—a reported P=0.99 does not necessarily correspond to a true 99% probability. The pipeline applies Isotonic Regression calibration against physical RTK check-shots to map logits to empirical probabilities.</w:t>
      </w:r>
    </w:p>
    <w:p>
      <w:pPr>
        <w:pStyle w:val="Heading2"/>
      </w:pPr>
      <w:r>
        <w:t xml:space="preserve">3.3 Phase 3: Deterministic Geometry Extraction</w:t>
      </w:r>
    </w:p>
    <w:p>
      <w:pPr>
        <w:spacing w:after="160" w:line="276"/>
        <w:jc w:val="left"/>
      </w:pPr>
      <w:r>
        <w:rPr>
          <w:rFonts w:ascii="Arial" w:cs="Arial" w:eastAsia="Arial" w:hAnsi="Arial"/>
          <w:color w:val="333333"/>
          <w:sz w:val="22"/>
          <w:szCs w:val="22"/>
        </w:rPr>
        <w:t xml:space="preserve">Classified points are handed to the geometry engine, which has zero ML dependencies. This phase uses only the original, unmodified sensor coordinates—the ML classification is applied purely as a filter mask selecting which measured points to include.</w:t>
      </w:r>
    </w:p>
    <w:p>
      <w:pPr>
        <w:spacing w:after="160" w:line="276"/>
        <w:jc w:val="left"/>
      </w:pPr>
      <w:r>
        <w:rPr>
          <w:rFonts w:ascii="Arial" w:cs="Arial" w:eastAsia="Arial" w:hAnsi="Arial"/>
          <w:color w:val="333333"/>
          <w:sz w:val="22"/>
          <w:szCs w:val="22"/>
        </w:rPr>
        <w:t xml:space="preserve">The geometry stack consists of:</w:t>
      </w:r>
    </w:p>
    <w:p>
      <w:pPr>
        <w:pStyle w:val="ListParagraph"/>
        <w:numPr>
          <w:ilvl w:val="0"/>
          <w:numId w:val="2"/>
        </w:numPr>
        <w:spacing w:after="100" w:line="276"/>
      </w:pPr>
      <w:r>
        <w:rPr>
          <w:rFonts w:ascii="Arial" w:cs="Arial" w:eastAsia="Arial" w:hAnsi="Arial"/>
          <w:b/>
          <w:bCs/>
          <w:color w:val="333333"/>
          <w:sz w:val="22"/>
          <w:szCs w:val="22"/>
        </w:rPr>
        <w:t xml:space="preserve">PDAL ground filters: </w:t>
      </w:r>
      <w:r>
        <w:rPr>
          <w:rFonts w:ascii="Arial" w:cs="Arial" w:eastAsia="Arial" w:hAnsi="Arial"/>
          <w:color w:val="333333"/>
          <w:sz w:val="22"/>
          <w:szCs w:val="22"/>
        </w:rPr>
        <w:t xml:space="preserve">Cloth Simulation Filter (CSF) and Simple Morphological Filter (SMRF) for bare-earth extraction. These are deterministic algorithms with published, peer-reviewed behavior.</w:t>
      </w:r>
    </w:p>
    <w:p>
      <w:pPr>
        <w:pStyle w:val="ListParagraph"/>
        <w:numPr>
          <w:ilvl w:val="0"/>
          <w:numId w:val="2"/>
        </w:numPr>
        <w:spacing w:after="100" w:line="276"/>
      </w:pPr>
      <w:r>
        <w:rPr>
          <w:rFonts w:ascii="Arial" w:cs="Arial" w:eastAsia="Arial" w:hAnsi="Arial"/>
          <w:b/>
          <w:bCs/>
          <w:color w:val="333333"/>
          <w:sz w:val="22"/>
          <w:szCs w:val="22"/>
        </w:rPr>
        <w:t xml:space="preserve">CGAL exact-predicate geometry: </w:t>
      </w:r>
      <w:r>
        <w:rPr>
          <w:rFonts w:ascii="Arial" w:cs="Arial" w:eastAsia="Arial" w:hAnsi="Arial"/>
          <w:color w:val="333333"/>
          <w:sz w:val="22"/>
          <w:szCs w:val="22"/>
        </w:rPr>
        <w:t xml:space="preserve">Breaklines are extracted via alpha-shapes. TINs are built using Constrained Delaunay Triangulation with the Exact Predicates Exact Constructions Kernel (EPECK), backed by arbitrary-precision rational arithmetic (GMP/MPFR). This mathematically guarantees zero floating-point rounding errors in topological decisions.</w:t>
      </w:r>
    </w:p>
    <w:p>
      <w:pPr>
        <w:pStyle w:val="ListParagraph"/>
        <w:numPr>
          <w:ilvl w:val="0"/>
          <w:numId w:val="2"/>
        </w:numPr>
        <w:spacing w:after="100" w:line="276"/>
      </w:pPr>
      <w:r>
        <w:rPr>
          <w:rFonts w:ascii="Arial" w:cs="Arial" w:eastAsia="Arial" w:hAnsi="Arial"/>
          <w:b/>
          <w:bCs/>
          <w:color w:val="333333"/>
          <w:sz w:val="22"/>
          <w:szCs w:val="22"/>
        </w:rPr>
        <w:t xml:space="preserve">Error propagation: </w:t>
      </w:r>
      <w:r>
        <w:rPr>
          <w:rFonts w:ascii="Arial" w:cs="Arial" w:eastAsia="Arial" w:hAnsi="Arial"/>
          <w:color w:val="333333"/>
          <w:sz w:val="22"/>
          <w:szCs w:val="22"/>
        </w:rPr>
        <w:t xml:space="preserve">Because the geometry relies on classical algorithms rather than neural networks, the system can output standard covariance matrices and error ellipses. These are directly ingestible by Least Squares Adjustment software (e.g., STAR*NET), which is required for legal certification of survey control.</w:t>
      </w:r>
    </w:p>
    <w:p>
      <w:pPr>
        <w:spacing w:after="160" w:line="276"/>
        <w:jc w:val="left"/>
      </w:pPr>
      <w:r>
        <w:rPr>
          <w:rFonts w:ascii="Arial" w:cs="Arial" w:eastAsia="Arial" w:hAnsi="Arial"/>
          <w:color w:val="333333"/>
          <w:sz w:val="22"/>
          <w:szCs w:val="22"/>
        </w:rPr>
        <w:t xml:space="preserve">Volume computation uses triangular prism integration over the TIN, with spatial autocorrelation modeled via semivariogram to prevent illegal shrinkage of confidence intervals from assumed independence.</w:t>
      </w:r>
    </w:p>
    <w:p>
      <w:r>
        <w:br w:type="page"/>
      </w:r>
    </w:p>
    <w:p>
      <w:pPr>
        <w:pStyle w:val="Heading2"/>
      </w:pPr>
      <w:r>
        <w:t xml:space="preserve">3.4 Phase 4: CAD Healing Middleware</w:t>
      </w:r>
    </w:p>
    <w:p>
      <w:pPr>
        <w:spacing w:after="160" w:line="276"/>
        <w:jc w:val="left"/>
      </w:pPr>
      <w:r>
        <w:rPr>
          <w:rFonts w:ascii="Arial" w:cs="Arial" w:eastAsia="Arial" w:hAnsi="Arial"/>
          <w:color w:val="333333"/>
          <w:sz w:val="22"/>
          <w:szCs w:val="22"/>
        </w:rPr>
        <w:t xml:space="preserve">Legacy CAD geometric kernels (Parasolid in Civil 3D, ACIS in MicroStation) are designed for human-authored geometry and are intolerant of the micro-defects common in algorithmically generated meshes. A polyline with a gap of 0.0001 feet, a triangle with a near-zero-area sliver, or a surface with a self-intersection will cause database corruption, application crashes, and lost work.</w:t>
      </w:r>
    </w:p>
    <w:p>
      <w:pPr>
        <w:spacing w:after="160" w:line="276"/>
        <w:jc w:val="left"/>
      </w:pPr>
      <w:r>
        <w:rPr>
          <w:rFonts w:ascii="Arial" w:cs="Arial" w:eastAsia="Arial" w:hAnsi="Arial"/>
          <w:color w:val="333333"/>
          <w:sz w:val="22"/>
          <w:szCs w:val="22"/>
        </w:rPr>
        <w:t xml:space="preserve">The middleware layer addresses this through a “Build Around, Not Through” architecture:</w:t>
      </w:r>
    </w:p>
    <w:p>
      <w:pPr>
        <w:pStyle w:val="ListParagraph"/>
        <w:numPr>
          <w:ilvl w:val="0"/>
          <w:numId w:val="2"/>
        </w:numPr>
        <w:spacing w:after="100" w:line="276"/>
      </w:pPr>
      <w:r>
        <w:rPr>
          <w:rFonts w:ascii="Arial" w:cs="Arial" w:eastAsia="Arial" w:hAnsi="Arial"/>
          <w:b/>
          <w:bCs/>
          <w:color w:val="333333"/>
          <w:sz w:val="22"/>
          <w:szCs w:val="22"/>
        </w:rPr>
        <w:t xml:space="preserve">Decoupled isolation: </w:t>
      </w:r>
      <w:r>
        <w:rPr>
          <w:rFonts w:ascii="Arial" w:cs="Arial" w:eastAsia="Arial" w:hAnsi="Arial"/>
          <w:color w:val="333333"/>
          <w:sz w:val="22"/>
          <w:szCs w:val="22"/>
        </w:rPr>
        <w:t xml:space="preserve">A C#/.NET wrapper sits between the AI/geometry pipeline and the CAD host application. If the ONNX runtime or geometry engine crashes, the middleware catches the exception silently. The CAD application never sees the crash, and the surveyor retains manual drafting control without losing work.</w:t>
      </w:r>
    </w:p>
    <w:p>
      <w:pPr>
        <w:pStyle w:val="ListParagraph"/>
        <w:numPr>
          <w:ilvl w:val="0"/>
          <w:numId w:val="2"/>
        </w:numPr>
        <w:spacing w:after="100" w:line="276"/>
      </w:pPr>
      <w:r>
        <w:rPr>
          <w:rFonts w:ascii="Arial" w:cs="Arial" w:eastAsia="Arial" w:hAnsi="Arial"/>
          <w:b/>
          <w:bCs/>
          <w:color w:val="333333"/>
          <w:sz w:val="22"/>
          <w:szCs w:val="22"/>
        </w:rPr>
        <w:t xml:space="preserve">Mesh healing shim: </w:t>
      </w:r>
      <w:r>
        <w:rPr>
          <w:rFonts w:ascii="Arial" w:cs="Arial" w:eastAsia="Arial" w:hAnsi="Arial"/>
          <w:color w:val="333333"/>
          <w:sz w:val="22"/>
          <w:szCs w:val="22"/>
        </w:rPr>
        <w:t xml:space="preserve">Before any vector enters the CAD database, an intermediate kernel (CGAL or C3D B-Shaper) validates manifoldness, ensures watertight Boundary Representations (B-Reps), detects micro-gaps below machine epsilon, and resolves topological self-intersections.</w:t>
      </w:r>
    </w:p>
    <w:p>
      <w:pPr>
        <w:pStyle w:val="ListParagraph"/>
        <w:numPr>
          <w:ilvl w:val="0"/>
          <w:numId w:val="2"/>
        </w:numPr>
        <w:spacing w:after="100" w:line="276"/>
      </w:pPr>
      <w:r>
        <w:rPr>
          <w:rFonts w:ascii="Arial" w:cs="Arial" w:eastAsia="Arial" w:hAnsi="Arial"/>
          <w:b/>
          <w:bCs/>
          <w:color w:val="333333"/>
          <w:sz w:val="22"/>
          <w:szCs w:val="22"/>
        </w:rPr>
        <w:t xml:space="preserve">SMT verification at choke points: </w:t>
      </w:r>
      <w:r>
        <w:rPr>
          <w:rFonts w:ascii="Arial" w:cs="Arial" w:eastAsia="Arial" w:hAnsi="Arial"/>
          <w:color w:val="333333"/>
          <w:sz w:val="22"/>
          <w:szCs w:val="22"/>
        </w:rPr>
        <w:t xml:space="preserve">For complex topological repairs (e.g., where pipe networks intersect), the local sub-graph is extracted and verified using Z3 SMT solver to prove Euler characteristic (V−E+F=2) and manifoldness before CAD injection.</w:t>
      </w:r>
    </w:p>
    <w:p>
      <w:pPr>
        <w:pStyle w:val="Heading2"/>
      </w:pPr>
      <w:r>
        <w:t xml:space="preserve">3.5 Phase 5: Surveyor Linting UI &amp; Cryptographic Certification</w:t>
      </w:r>
    </w:p>
    <w:p>
      <w:pPr>
        <w:spacing w:after="160" w:line="276"/>
        <w:jc w:val="left"/>
      </w:pPr>
      <w:r>
        <w:rPr>
          <w:rFonts w:ascii="Arial" w:cs="Arial" w:eastAsia="Arial" w:hAnsi="Arial"/>
          <w:color w:val="333333"/>
          <w:sz w:val="22"/>
          <w:szCs w:val="22"/>
        </w:rPr>
        <w:t xml:space="preserve">The drafter’s local workstation runs a lightweight edge-compute service (ONNX/TensorRT on the workstation GPU) that powers a real-time UI overlay within the CAD environment. This operates analogously to a code linter:</w:t>
      </w:r>
    </w:p>
    <w:p>
      <w:pPr>
        <w:pStyle w:val="ListParagraph"/>
        <w:numPr>
          <w:ilvl w:val="0"/>
          <w:numId w:val="2"/>
        </w:numPr>
        <w:spacing w:after="100" w:line="276"/>
      </w:pPr>
      <w:r>
        <w:rPr>
          <w:rFonts w:ascii="Arial" w:cs="Arial" w:eastAsia="Arial" w:hAnsi="Arial"/>
          <w:b/>
          <w:bCs/>
          <w:color w:val="333333"/>
          <w:sz w:val="22"/>
          <w:szCs w:val="22"/>
        </w:rPr>
        <w:t xml:space="preserve">Ghosted suggestions: </w:t>
      </w:r>
      <w:r>
        <w:rPr>
          <w:rFonts w:ascii="Arial" w:cs="Arial" w:eastAsia="Arial" w:hAnsi="Arial"/>
          <w:color w:val="333333"/>
          <w:sz w:val="22"/>
          <w:szCs w:val="22"/>
        </w:rPr>
        <w:t xml:space="preserve">AI-generated linework is displayed as semi-transparent overlays at &lt;150ms latency. The drafter explicitly accepts, rejects, or modifies each suggestion. Nothing is auto-committed to the drawing.</w:t>
      </w:r>
    </w:p>
    <w:p>
      <w:pPr>
        <w:pStyle w:val="ListParagraph"/>
        <w:numPr>
          <w:ilvl w:val="0"/>
          <w:numId w:val="2"/>
        </w:numPr>
        <w:spacing w:after="100" w:line="276"/>
      </w:pPr>
      <w:r>
        <w:rPr>
          <w:rFonts w:ascii="Arial" w:cs="Arial" w:eastAsia="Arial" w:hAnsi="Arial"/>
          <w:b/>
          <w:bCs/>
          <w:color w:val="333333"/>
          <w:sz w:val="22"/>
          <w:szCs w:val="22"/>
        </w:rPr>
        <w:t xml:space="preserve">Engineering warnings: </w:t>
      </w:r>
      <w:r>
        <w:rPr>
          <w:rFonts w:ascii="Arial" w:cs="Arial" w:eastAsia="Arial" w:hAnsi="Arial"/>
          <w:color w:val="333333"/>
          <w:sz w:val="22"/>
          <w:szCs w:val="22"/>
        </w:rPr>
        <w:t xml:space="preserve">Real-time rule checks flag violations as the drafter works (e.g., “ADA ramp slope exceeds 8.3%,” “Breakline elevation discontinuity detected”).</w:t>
      </w:r>
    </w:p>
    <w:p>
      <w:pPr>
        <w:pStyle w:val="ListParagraph"/>
        <w:numPr>
          <w:ilvl w:val="0"/>
          <w:numId w:val="2"/>
        </w:numPr>
        <w:spacing w:after="100" w:line="276"/>
      </w:pPr>
      <w:r>
        <w:rPr>
          <w:rFonts w:ascii="Arial" w:cs="Arial" w:eastAsia="Arial" w:hAnsi="Arial"/>
          <w:b/>
          <w:bCs/>
          <w:color w:val="333333"/>
          <w:sz w:val="22"/>
          <w:szCs w:val="22"/>
        </w:rPr>
        <w:t xml:space="preserve">Cryptographic certification: </w:t>
      </w:r>
      <w:r>
        <w:rPr>
          <w:rFonts w:ascii="Arial" w:cs="Arial" w:eastAsia="Arial" w:hAnsi="Arial"/>
          <w:color w:val="333333"/>
          <w:sz w:val="22"/>
          <w:szCs w:val="22"/>
        </w:rPr>
        <w:t xml:space="preserve">When the PLS certifies the final surface, an immutable hash is appended to every CAD object via Extended Entity Data (XData). This hash encodes: the AI model version (ONNX SHA-256), the deterministic processing seed, the PROJ pipeline string (EPSG code + HTDP parameters), and the PLS digital signature. This creates a complete, tamper-evident chain of custody.</w:t>
      </w:r>
    </w:p>
    <w:p>
      <w:pPr>
        <w:pStyle w:val="Heading1"/>
      </w:pPr>
      <w:r>
        <w:t xml:space="preserve">4. Dual-Path Computation and Liability Architecture</w:t>
      </w:r>
    </w:p>
    <w:p>
      <w:pPr>
        <w:spacing w:after="160" w:line="276"/>
        <w:jc w:val="left"/>
      </w:pPr>
      <w:r>
        <w:rPr>
          <w:rFonts w:ascii="Arial" w:cs="Arial" w:eastAsia="Arial" w:hAnsi="Arial"/>
          <w:color w:val="333333"/>
          <w:sz w:val="22"/>
          <w:szCs w:val="22"/>
        </w:rPr>
        <w:t xml:space="preserve">A critical design decision is the dual-path computation model. Every project runs two independent processing paths:</w:t>
      </w:r>
    </w:p>
    <w:p>
      <w:pPr>
        <w:spacing w:after="160" w:line="276"/>
      </w:pPr>
      <w:r>
        <w:rPr>
          <w:rFonts w:ascii="Arial" w:cs="Arial" w:eastAsia="Arial" w:hAnsi="Arial"/>
          <w:b/>
          <w:bCs/>
          <w:color w:val="333333"/>
          <w:sz w:val="22"/>
          <w:szCs w:val="22"/>
        </w:rPr>
        <w:t xml:space="preserve">Path A (Conservative Baseline): </w:t>
      </w:r>
      <w:r>
        <w:rPr>
          <w:rFonts w:ascii="Arial" w:cs="Arial" w:eastAsia="Arial" w:hAnsi="Arial"/>
          <w:color w:val="333333"/>
          <w:sz w:val="22"/>
          <w:szCs w:val="22"/>
        </w:rPr>
        <w:t xml:space="preserve">Raw LiDAR is processed through purely deterministic algorithms (e.g., PDAL Cloth Simulation Filter) with zero ML intervention. The result is typically noisier—vegetation artifacts, unclassified clutter—but mathematically unimpeachable.</w:t>
      </w:r>
    </w:p>
    <w:p>
      <w:pPr>
        <w:spacing w:after="160" w:line="276"/>
      </w:pPr>
      <w:r>
        <w:rPr>
          <w:rFonts w:ascii="Arial" w:cs="Arial" w:eastAsia="Arial" w:hAnsi="Arial"/>
          <w:b/>
          <w:bCs/>
          <w:color w:val="333333"/>
          <w:sz w:val="22"/>
          <w:szCs w:val="22"/>
        </w:rPr>
        <w:t xml:space="preserve">Path B (ML-Assisted): </w:t>
      </w:r>
      <w:r>
        <w:rPr>
          <w:rFonts w:ascii="Arial" w:cs="Arial" w:eastAsia="Arial" w:hAnsi="Arial"/>
          <w:color w:val="333333"/>
          <w:sz w:val="22"/>
          <w:szCs w:val="22"/>
        </w:rPr>
        <w:t xml:space="preserve">ML semantically strips vegetation and noise, and the cleaned point set passes through the same deterministic extraction algorithms. The result is typically cleaner and more production-ready.</w:t>
      </w:r>
    </w:p>
    <w:p>
      <w:pPr>
        <w:spacing w:after="160" w:line="276"/>
        <w:jc w:val="left"/>
      </w:pPr>
      <w:r>
        <w:rPr>
          <w:rFonts w:ascii="Arial" w:cs="Arial" w:eastAsia="Arial" w:hAnsi="Arial"/>
          <w:color w:val="333333"/>
          <w:sz w:val="22"/>
          <w:szCs w:val="22"/>
        </w:rPr>
        <w:t xml:space="preserve">The system automatically computes two divergence metrics between the paths:</w:t>
      </w:r>
    </w:p>
    <w:p>
      <w:pPr>
        <w:pStyle w:val="ListParagraph"/>
        <w:numPr>
          <w:ilvl w:val="0"/>
          <w:numId w:val="2"/>
        </w:numPr>
        <w:spacing w:after="100" w:line="276"/>
      </w:pPr>
      <w:r>
        <w:rPr>
          <w:rFonts w:ascii="Arial" w:cs="Arial" w:eastAsia="Arial" w:hAnsi="Arial"/>
          <w:b/>
          <w:bCs/>
          <w:color w:val="333333"/>
          <w:sz w:val="22"/>
          <w:szCs w:val="22"/>
        </w:rPr>
        <w:t xml:space="preserve">Volumetric divergence: </w:t>
      </w:r>
      <w:r>
        <w:rPr>
          <w:rFonts w:ascii="Arial" w:cs="Arial" w:eastAsia="Arial" w:hAnsi="Arial"/>
          <w:color w:val="333333"/>
          <w:sz w:val="22"/>
          <w:szCs w:val="22"/>
        </w:rPr>
        <w:t xml:space="preserve">ΔV = |V_A − V_B| / V_A, measuring relative volume difference.</w:t>
      </w:r>
    </w:p>
    <w:p>
      <w:pPr>
        <w:pStyle w:val="ListParagraph"/>
        <w:numPr>
          <w:ilvl w:val="0"/>
          <w:numId w:val="2"/>
        </w:numPr>
        <w:spacing w:after="100" w:line="276"/>
      </w:pPr>
      <w:r>
        <w:rPr>
          <w:rFonts w:ascii="Arial" w:cs="Arial" w:eastAsia="Arial" w:hAnsi="Arial"/>
          <w:b/>
          <w:bCs/>
          <w:color w:val="333333"/>
          <w:sz w:val="22"/>
          <w:szCs w:val="22"/>
        </w:rPr>
        <w:t xml:space="preserve">Hausdorff distance: </w:t>
      </w:r>
      <w:r>
        <w:rPr>
          <w:rFonts w:ascii="Arial" w:cs="Arial" w:eastAsia="Arial" w:hAnsi="Arial"/>
          <w:color w:val="333333"/>
          <w:sz w:val="22"/>
          <w:szCs w:val="22"/>
        </w:rPr>
        <w:t xml:space="preserve">d_H, measuring the maximum spatial separation between the two surfaces.</w:t>
      </w:r>
    </w:p>
    <w:p>
      <w:pPr>
        <w:spacing w:after="160" w:line="276"/>
        <w:jc w:val="left"/>
      </w:pPr>
      <w:r>
        <w:rPr>
          <w:rFonts w:ascii="Arial" w:cs="Arial" w:eastAsia="Arial" w:hAnsi="Arial"/>
          <w:color w:val="333333"/>
          <w:sz w:val="22"/>
          <w:szCs w:val="22"/>
        </w:rPr>
        <w:t xml:space="preserve">When divergence falls within defined thresholds (derived from ASPRS Positional Accuracy Standards and project-specific tolerances), Path B is queued for PLS review. When divergence exceeds thresholds, a Semantic Divergence Anomaly is flagged, the pipeline halts, and the system forces the PLS to manually examine the disputed zone before proceeding. The PLS must draw cross-section transects through the flagged area and record an explicit reasoning code.</w:t>
      </w:r>
    </w:p>
    <w:p>
      <w:pPr>
        <w:spacing w:after="160" w:line="276"/>
        <w:jc w:val="left"/>
      </w:pPr>
      <w:r>
        <w:rPr>
          <w:rFonts w:ascii="Arial" w:cs="Arial" w:eastAsia="Arial" w:hAnsi="Arial"/>
          <w:color w:val="333333"/>
          <w:sz w:val="22"/>
          <w:szCs w:val="22"/>
        </w:rPr>
        <w:t xml:space="preserve">This architecture ensures that a purely deterministic baseline always exists for comparison. If the ML-assisted path is ever questioned—in litigation, in a client dispute, or during regulatory review—the conservative baseline provides an independent reference. The system documents whether and where the two paths agreed, where they diverged, and what the PLS decided in each case.</w:t>
      </w:r>
    </w:p>
    <w:p>
      <w:r>
        <w:br w:type="page"/>
      </w:r>
    </w:p>
    <w:p>
      <w:pPr>
        <w:pStyle w:val="Heading1"/>
      </w:pPr>
      <w:r>
        <w:t xml:space="preserve">5. Uncertainty Quantification and Error Propagation</w:t>
      </w:r>
    </w:p>
    <w:p>
      <w:pPr>
        <w:spacing w:after="160" w:line="276"/>
        <w:jc w:val="left"/>
      </w:pPr>
      <w:r>
        <w:rPr>
          <w:rFonts w:ascii="Arial" w:cs="Arial" w:eastAsia="Arial" w:hAnsi="Arial"/>
          <w:color w:val="333333"/>
          <w:sz w:val="22"/>
          <w:szCs w:val="22"/>
        </w:rPr>
        <w:t xml:space="preserve">Legal defensibility requires that every output carries a quantified uncertainty bound. The pipeline propagates uncertainty from four independent sources into final deliverable confidence intervals:</w:t>
      </w:r>
    </w:p>
    <w:p>
      <w:pPr>
        <w:pStyle w:val="Heading2"/>
      </w:pPr>
      <w:r>
        <w:t xml:space="preserve">5.1 Source Uncertainties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358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Uncertainty Origin</w:t>
            </w:r>
          </w:p>
        </w:tc>
        <w:tc>
          <w:tcPr>
            <w:tcW w:type="dxa" w:w="358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Propagation Method</w:t>
            </w:r>
          </w:p>
        </w:tc>
      </w:tr>
      <w:tr>
        <w:tc>
          <w:tcPr>
            <w:tcW w:type="dxa" w:w="22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7"/>
                <w:szCs w:val="17"/>
              </w:rPr>
              <w:t xml:space="preserve">GNSS Measurements</w:t>
            </w:r>
          </w:p>
        </w:tc>
        <w:tc>
          <w:tcPr>
            <w:tcW w:type="dxa" w:w="358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7"/>
                <w:szCs w:val="17"/>
              </w:rPr>
              <w:t xml:space="preserve">3×3 covariance matrix from rover Least Squares Adjustment</w:t>
            </w:r>
          </w:p>
        </w:tc>
        <w:tc>
          <w:tcPr>
            <w:tcW w:type="dxa" w:w="358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7"/>
                <w:szCs w:val="17"/>
              </w:rPr>
              <w:t xml:space="preserve">Direct matrix input; expanded via Unscented Transform through nonlinear PROJ transformations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7"/>
                <w:szCs w:val="17"/>
              </w:rPr>
              <w:t xml:space="preserve">Datum/Geoid</w:t>
            </w:r>
          </w:p>
        </w:tc>
        <w:tc>
          <w:tcPr>
            <w:tcW w:type="dxa" w:w="35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7"/>
                <w:szCs w:val="17"/>
              </w:rPr>
              <w:t xml:space="preserve">GEOID interpolation RMS; PROJ transformation model error</w:t>
            </w:r>
          </w:p>
        </w:tc>
        <w:tc>
          <w:tcPr>
            <w:tcW w:type="dxa" w:w="35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7"/>
                <w:szCs w:val="17"/>
              </w:rPr>
              <w:t xml:space="preserve">Interval arithmetic bracketing with Lagrange remainder bounds</w:t>
            </w:r>
          </w:p>
        </w:tc>
      </w:tr>
      <w:tr>
        <w:tc>
          <w:tcPr>
            <w:tcW w:type="dxa" w:w="22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7"/>
                <w:szCs w:val="17"/>
              </w:rPr>
              <w:t xml:space="preserve">Epoch/Tectonic</w:t>
            </w:r>
          </w:p>
        </w:tc>
        <w:tc>
          <w:tcPr>
            <w:tcW w:type="dxa" w:w="358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7"/>
                <w:szCs w:val="17"/>
              </w:rPr>
              <w:t xml:space="preserve">HTDP velocity model variance × time delta from datum epoch</w:t>
            </w:r>
          </w:p>
        </w:tc>
        <w:tc>
          <w:tcPr>
            <w:tcW w:type="dxa" w:w="358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7"/>
                <w:szCs w:val="17"/>
              </w:rPr>
              <w:t xml:space="preserve">Grows with (Δt)²; largest contributor when crossing NATRF2022 transition</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7"/>
                <w:szCs w:val="17"/>
              </w:rPr>
              <w:t xml:space="preserve">ML Classification</w:t>
            </w:r>
          </w:p>
        </w:tc>
        <w:tc>
          <w:tcPr>
            <w:tcW w:type="dxa" w:w="35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7"/>
                <w:szCs w:val="17"/>
              </w:rPr>
              <w:t xml:space="preserve">Calibrated probability P(Class) per point; not a coordinate error but determines which points enter geometry</w:t>
            </w:r>
          </w:p>
        </w:tc>
        <w:tc>
          <w:tcPr>
            <w:tcW w:type="dxa" w:w="35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7"/>
                <w:szCs w:val="17"/>
              </w:rPr>
              <w:t xml:space="preserve">Translated to geometric interval via bounding surfaces: strict (P≥0.99) and permissive (P≥0.05) TINs defining V_min and V_max</w:t>
            </w:r>
          </w:p>
        </w:tc>
      </w:tr>
    </w:tbl>
    <w:p>
      <w:pPr>
        <w:spacing w:after="160"/>
      </w:pPr>
    </w:p>
    <w:p>
      <w:pPr>
        <w:pStyle w:val="Heading2"/>
      </w:pPr>
      <w:r>
        <w:t xml:space="preserve">5.2 Volume Uncertainty with Spatial Autocorrelation</w:t>
      </w:r>
    </w:p>
    <w:p>
      <w:pPr>
        <w:spacing w:after="160" w:line="276"/>
        <w:jc w:val="left"/>
      </w:pPr>
      <w:r>
        <w:rPr>
          <w:rFonts w:ascii="Arial" w:cs="Arial" w:eastAsia="Arial" w:hAnsi="Arial"/>
          <w:color w:val="333333"/>
          <w:sz w:val="22"/>
          <w:szCs w:val="22"/>
        </w:rPr>
        <w:t xml:space="preserve">The variance of a computed volume must account for the fact that nearby elevation errors are correlated (Tobler’s First Law of Geography). Treating prism errors as independent illegally shrinks the confidence interval via σ/√n. The correct formulation includes the spatial correlation coefficient ρ between prism pairs, modeled via semivariogram:</w:t>
      </w:r>
    </w:p>
    <w:p>
      <w:pPr>
        <w:spacing w:after="160" w:line="276"/>
        <w:jc w:val="left"/>
      </w:pPr>
      <w:r>
        <w:rPr>
          <w:rFonts w:ascii="Arial" w:cs="Arial" w:eastAsia="Arial" w:hAnsi="Arial"/>
          <w:i/>
          <w:iCs/>
          <w:color w:val="333333"/>
          <w:sz w:val="22"/>
          <w:szCs w:val="22"/>
        </w:rPr>
        <w:t xml:space="preserve">σ²_V = ∑_j (A_j · σ_Zj)² + 2∑_{j≠k} ρ_jk · A_j · A_k · σ_Zj · σ_Zk</w:t>
      </w:r>
    </w:p>
    <w:p>
      <w:pPr>
        <w:spacing w:after="160" w:line="276"/>
        <w:jc w:val="left"/>
      </w:pPr>
      <w:r>
        <w:rPr>
          <w:rFonts w:ascii="Arial" w:cs="Arial" w:eastAsia="Arial" w:hAnsi="Arial"/>
          <w:color w:val="333333"/>
          <w:sz w:val="22"/>
          <w:szCs w:val="22"/>
        </w:rPr>
        <w:t xml:space="preserve">where A_j is the planimetric area of prism j, σ_Zj is the elevation uncertainty at that prism (incorporating all four source uncertainties), and ρ_jk is derived from the fitted semivariogram model. The final reported volume is: V ∈ [V_min, V_max] with geodetic CI of ±1.96σ_V (95%).</w:t>
      </w:r>
    </w:p>
    <w:p>
      <w:pPr>
        <w:spacing w:after="160" w:line="276"/>
        <w:jc w:val="left"/>
      </w:pPr>
      <w:r>
        <w:rPr>
          <w:rFonts w:ascii="Arial" w:cs="Arial" w:eastAsia="Arial" w:hAnsi="Arial"/>
          <w:color w:val="333333"/>
          <w:sz w:val="22"/>
          <w:szCs w:val="22"/>
        </w:rPr>
        <w:t xml:space="preserve">This framework is important because it produces the kind of quantified, bounded output that Daubert scrutiny demands: a methodology with a known, documented error rate.</w:t>
      </w:r>
    </w:p>
    <w:p>
      <w:pPr>
        <w:pStyle w:val="Heading1"/>
      </w:pPr>
      <w:r>
        <w:t xml:space="preserve">6. Deterministic Reproducibility</w:t>
      </w:r>
    </w:p>
    <w:p>
      <w:pPr>
        <w:spacing w:after="160" w:line="276"/>
        <w:jc w:val="left"/>
      </w:pPr>
      <w:r>
        <w:rPr>
          <w:rFonts w:ascii="Arial" w:cs="Arial" w:eastAsia="Arial" w:hAnsi="Arial"/>
          <w:color w:val="333333"/>
          <w:sz w:val="22"/>
          <w:szCs w:val="22"/>
        </w:rPr>
        <w:t xml:space="preserve">A fundamental requirement for legally defensible spatial computation is that identical inputs must produce identical outputs, regardless of when or on what hardware the computation is repeated. This is more difficult than it appears, due to several well-documented sources of nondeterminism:</w:t>
      </w:r>
    </w:p>
    <w:p>
      <w:pPr>
        <w:pStyle w:val="Heading2"/>
      </w:pPr>
      <w:r>
        <w:t xml:space="preserve">6.1 CPU Floating-Point Non-Associativity</w:t>
      </w:r>
    </w:p>
    <w:p>
      <w:pPr>
        <w:spacing w:after="160" w:line="276"/>
        <w:jc w:val="left"/>
      </w:pPr>
      <w:r>
        <w:rPr>
          <w:rFonts w:ascii="Arial" w:cs="Arial" w:eastAsia="Arial" w:hAnsi="Arial"/>
          <w:color w:val="333333"/>
          <w:sz w:val="22"/>
          <w:szCs w:val="22"/>
        </w:rPr>
        <w:t xml:space="preserve">IEEE 754 floating-point arithmetic is not algebraically associative: (A+B)+C ≠ A+(B+C) under rounding. Different compilers, optimization flags, or CPU architectures may evaluate the same expression in different orders, producing divergent results. For topological decisions (is a point inside or outside a circumcircle?), even a single bit of rounding error can invert the answer, producing an entirely different triangulation.</w:t>
      </w:r>
    </w:p>
    <w:p>
      <w:pPr>
        <w:spacing w:after="160" w:line="276"/>
        <w:jc w:val="left"/>
      </w:pPr>
      <w:r>
        <w:rPr>
          <w:rFonts w:ascii="Arial" w:cs="Arial" w:eastAsia="Arial" w:hAnsi="Arial"/>
          <w:color w:val="333333"/>
          <w:sz w:val="22"/>
          <w:szCs w:val="22"/>
        </w:rPr>
        <w:t xml:space="preserve">The pipeline addresses this by compiling the geometry engine using CGAL’s Exact Predicates Exact Constructions Kernel (EPECK), which uses arbitrary-precision rational arithmetic (GMP/MPFR) for all topological decisions. Compiler flags explicitly prohibit Fused Multiply-Add (-mno-fma) to prevent hardware-dependent instruction reordering.</w:t>
      </w:r>
    </w:p>
    <w:p>
      <w:pPr>
        <w:pStyle w:val="Heading2"/>
      </w:pPr>
      <w:r>
        <w:t xml:space="preserve">6.2 GPU Inference Nondeterminism</w:t>
      </w:r>
    </w:p>
    <w:p>
      <w:pPr>
        <w:spacing w:after="160" w:line="276"/>
        <w:jc w:val="left"/>
      </w:pPr>
      <w:r>
        <w:rPr>
          <w:rFonts w:ascii="Arial" w:cs="Arial" w:eastAsia="Arial" w:hAnsi="Arial"/>
          <w:color w:val="333333"/>
          <w:sz w:val="22"/>
          <w:szCs w:val="22"/>
        </w:rPr>
        <w:t xml:space="preserve">CUDA kernels can produce non-deterministic results due to atomic operations (atomicAdd), thread scheduling variability, and Fused Multiply-Add inconsistencies across GPU microarchitectures. The pipeline enforces deterministic GPU inference through: banning atomicAdd in custom kernels in favor of deterministic parallel prefix sums (Blelloch scans via NVIDIA CUB), locking CUBLAS_WORKSPACE_CONFIG=:4096:8, and disabling TensorFloat-32 (TF32) to prevent silent mantissa truncation on Ampere and later architectures.</w:t>
      </w:r>
    </w:p>
    <w:p>
      <w:pPr>
        <w:spacing w:after="160" w:line="276"/>
        <w:jc w:val="left"/>
      </w:pPr>
      <w:r>
        <w:rPr>
          <w:rFonts w:ascii="Arial" w:cs="Arial" w:eastAsia="Arial" w:hAnsi="Arial"/>
          <w:color w:val="333333"/>
          <w:sz w:val="22"/>
          <w:szCs w:val="22"/>
        </w:rPr>
        <w:t xml:space="preserve">For long-term reproducibility (20+ years), the system maintains a software-emulated inference path using WebAssembly with Berkeley SoftFloat, which enforces IEEE 754 rounding without hardware FMA. This path executes significantly slower but guarantees bit-identical results across any future hardware platform.</w:t>
      </w:r>
    </w:p>
    <w:p>
      <w:pPr>
        <w:pStyle w:val="Heading2"/>
      </w:pPr>
      <w:r>
        <w:t xml:space="preserve">6.3 Containerized Build Determinism</w:t>
      </w:r>
    </w:p>
    <w:p>
      <w:pPr>
        <w:spacing w:after="160" w:line="276"/>
        <w:jc w:val="left"/>
      </w:pPr>
      <w:r>
        <w:rPr>
          <w:rFonts w:ascii="Arial" w:cs="Arial" w:eastAsia="Arial" w:hAnsi="Arial"/>
          <w:color w:val="333333"/>
          <w:sz w:val="22"/>
          <w:szCs w:val="22"/>
        </w:rPr>
        <w:t xml:space="preserve">Docker image tags are mutable and do not guarantee reproducibility. The pipeline uses NixOS Flakes with cryptographic hashes of the exact LLVM compiler toolchain, C++ standard library headers, and OS-level dependencies. The flake.lock file is archived as part of every project’s evidentiary bundle, ensuring that the exact binary can be rebuilt from source at any future date.</w:t>
      </w:r>
    </w:p>
    <w:p>
      <w:r>
        <w:br w:type="page"/>
      </w:r>
    </w:p>
    <w:p>
      <w:pPr>
        <w:pStyle w:val="Heading1"/>
      </w:pPr>
      <w:r>
        <w:t xml:space="preserve">7. Adversarial Robustness and Data Integrity</w:t>
      </w:r>
    </w:p>
    <w:p>
      <w:pPr>
        <w:spacing w:after="160" w:line="276"/>
        <w:jc w:val="left"/>
      </w:pPr>
      <w:r>
        <w:rPr>
          <w:rFonts w:ascii="Arial" w:cs="Arial" w:eastAsia="Arial" w:hAnsi="Arial"/>
          <w:color w:val="333333"/>
          <w:sz w:val="22"/>
          <w:szCs w:val="22"/>
        </w:rPr>
        <w:t xml:space="preserve">The system must account for the possibility of deliberately tampered input data. The primary threat model is a contractor who injects synthetic LiDAR points to mask excavation defects or inflate volumetric pay applications.</w:t>
      </w:r>
    </w:p>
    <w:p>
      <w:pPr>
        <w:spacing w:after="160" w:line="276"/>
        <w:jc w:val="left"/>
      </w:pPr>
      <w:r>
        <w:rPr>
          <w:rFonts w:ascii="Arial" w:cs="Arial" w:eastAsia="Arial" w:hAnsi="Arial"/>
          <w:color w:val="333333"/>
          <w:sz w:val="22"/>
          <w:szCs w:val="22"/>
        </w:rPr>
        <w:t xml:space="preserve">Three detection mechanisms operate in parallel:</w:t>
      </w:r>
    </w:p>
    <w:p>
      <w:pPr>
        <w:pStyle w:val="Heading3"/>
      </w:pPr>
      <w:r>
        <w:t xml:space="preserve">RANSAC Residual Bounding</w:t>
      </w:r>
    </w:p>
    <w:p>
      <w:pPr>
        <w:spacing w:after="160" w:line="276"/>
        <w:jc w:val="left"/>
      </w:pPr>
      <w:r>
        <w:rPr>
          <w:rFonts w:ascii="Arial" w:cs="Arial" w:eastAsia="Arial" w:hAnsi="Arial"/>
          <w:color w:val="333333"/>
          <w:sz w:val="22"/>
          <w:szCs w:val="22"/>
        </w:rPr>
        <w:t xml:space="preserve">Physical LiDAR sensors have known thermal noise floors (typically σ ≈ 1.5 cm). Synthetically generated points tend to exhibit either zero variance (flat planes) or variance inconsistent with the specific scanner model used. If local planar fits yield residuals below the sensor’s physical noise floor, the region is flagged as potentially synthetic.</w:t>
      </w:r>
    </w:p>
    <w:p>
      <w:pPr>
        <w:pStyle w:val="Heading3"/>
      </w:pPr>
      <w:r>
        <w:t xml:space="preserve">Graph Laplacian Spectral Analysis</w:t>
      </w:r>
    </w:p>
    <w:p>
      <w:pPr>
        <w:spacing w:after="160" w:line="276"/>
        <w:jc w:val="left"/>
      </w:pPr>
      <w:r>
        <w:rPr>
          <w:rFonts w:ascii="Arial" w:cs="Arial" w:eastAsia="Arial" w:hAnsi="Arial"/>
          <w:color w:val="333333"/>
          <w:sz w:val="22"/>
          <w:szCs w:val="22"/>
        </w:rPr>
        <w:t xml:space="preserve">Natural terrain exhibits bounded fractal roughness governed by geomorphological processes. The discrete Graph Laplacian of the local mesh captures this spectral signature. Synthetically generated geometry—even high-quality adversarial geometry—tends to disrupt the local eigenvalue spectrum in ways inconsistent with physical terrain formation.</w:t>
      </w:r>
    </w:p>
    <w:p>
      <w:pPr>
        <w:pStyle w:val="Heading3"/>
      </w:pPr>
      <w:r>
        <w:t xml:space="preserve">Sensor Hardware Fingerprint Validation</w:t>
      </w:r>
    </w:p>
    <w:p>
      <w:pPr>
        <w:spacing w:after="160" w:line="276"/>
        <w:jc w:val="left"/>
      </w:pPr>
      <w:r>
        <w:rPr>
          <w:rFonts w:ascii="Arial" w:cs="Arial" w:eastAsia="Arial" w:hAnsi="Arial"/>
          <w:color w:val="333333"/>
          <w:sz w:val="22"/>
          <w:szCs w:val="22"/>
        </w:rPr>
        <w:t xml:space="preserve">Physical LiDAR scanning mirrors exhibit micro-mechanical jitter in their Pulse Repetition Frequency. Applying FFT to raw pulse-timing intervals produces a hardware-specific frequency signature. Generative adversarial networks can replicate spatial coordinates but typically fail to simulate the underlying mechanical oscillator frequency of the physical scanner documented in the mission’s field notes.</w:t>
      </w:r>
    </w:p>
    <w:p>
      <w:pPr>
        <w:spacing w:after="160" w:line="276"/>
        <w:jc w:val="left"/>
      </w:pPr>
      <w:r>
        <w:rPr>
          <w:rFonts w:ascii="Arial" w:cs="Arial" w:eastAsia="Arial" w:hAnsi="Arial"/>
          <w:color w:val="333333"/>
          <w:sz w:val="22"/>
          <w:szCs w:val="22"/>
        </w:rPr>
        <w:t xml:space="preserve">It should be noted that adversarial detection is fundamentally an arms race. These mechanisms raise the sophistication bar significantly but cannot guarantee detection of a state-actor-level adversary. The dual-path architecture provides an additional layer of protection: even if adversarial points bypass detection, the conservative baseline (Path A) processes raw data without ML filtering, providing an independent volumetric reference.</w:t>
      </w:r>
    </w:p>
    <w:p>
      <w:pPr>
        <w:pStyle w:val="Heading1"/>
      </w:pPr>
      <w:r>
        <w:t xml:space="preserve">8. Applicable Professional Domains</w:t>
      </w:r>
    </w:p>
    <w:p>
      <w:pPr>
        <w:spacing w:after="160" w:line="276"/>
        <w:jc w:val="left"/>
      </w:pPr>
      <w:r>
        <w:rPr>
          <w:rFonts w:ascii="Arial" w:cs="Arial" w:eastAsia="Arial" w:hAnsi="Arial"/>
          <w:color w:val="333333"/>
          <w:sz w:val="22"/>
          <w:szCs w:val="22"/>
        </w:rPr>
        <w:t xml:space="preserve">The pipeline architecture described in this document is domain-agnostic in its core components (geodetic ETL, semantic segmentation, deterministic geometry, mesh healing, cryptographic audit). The following domains represent immediate application areas where the same technical constraints—legal liability, regulatory oversight, and high-value physical materials—apply: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Domain</w:t>
            </w:r>
          </w:p>
        </w:tc>
        <w:tc>
          <w:tcPr>
            <w:tcW w:type="dxa" w:w="348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Primary Application</w:t>
            </w:r>
          </w:p>
        </w:tc>
        <w:tc>
          <w:tcPr>
            <w:tcW w:type="dxa" w:w="348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Regulatory / Legal Context</w:t>
            </w:r>
          </w:p>
        </w:tc>
      </w:tr>
      <w:tr>
        <w:tc>
          <w:tcPr>
            <w:tcW w:type="dxa" w:w="24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7"/>
                <w:szCs w:val="17"/>
              </w:rPr>
              <w:t xml:space="preserve">Heavy Civil Construction</w:t>
            </w:r>
          </w:p>
        </w:tc>
        <w:tc>
          <w:tcPr>
            <w:tcW w:type="dxa" w:w="348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7"/>
                <w:szCs w:val="17"/>
              </w:rPr>
              <w:t xml:space="preserve">Automated cut/fill volume verification for contractor pay applications. As-built vs. design deviation analysis.</w:t>
            </w:r>
          </w:p>
        </w:tc>
        <w:tc>
          <w:tcPr>
            <w:tcW w:type="dxa" w:w="348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7"/>
                <w:szCs w:val="17"/>
              </w:rPr>
              <w:t xml:space="preserve">Pay app disputes involve millions of dollars. Volumetric logs must be mathematically reproducible.</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7"/>
                <w:szCs w:val="17"/>
              </w:rPr>
              <w:t xml:space="preserve">Subsurface Utility Engineering</w:t>
            </w:r>
          </w:p>
        </w:tc>
        <w:tc>
          <w:tcPr>
            <w:tcW w:type="dxa" w:w="34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7"/>
                <w:szCs w:val="17"/>
              </w:rPr>
              <w:t xml:space="preserve">Fusion of LiDAR and Ground Penetrating Radar for ASCE 38-22 compliant utility mapping.</w:t>
            </w:r>
          </w:p>
        </w:tc>
        <w:tc>
          <w:tcPr>
            <w:tcW w:type="dxa" w:w="34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7"/>
                <w:szCs w:val="17"/>
              </w:rPr>
              <w:t xml:space="preserve">Striking underground utilities causes injuries and infrastructure damage. Confidence bounds on utility depth are critical.</w:t>
            </w:r>
          </w:p>
        </w:tc>
      </w:tr>
      <w:tr>
        <w:tc>
          <w:tcPr>
            <w:tcW w:type="dxa" w:w="24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7"/>
                <w:szCs w:val="17"/>
              </w:rPr>
              <w:t xml:space="preserve">Forensic Engineering</w:t>
            </w:r>
          </w:p>
        </w:tc>
        <w:tc>
          <w:tcPr>
            <w:tcW w:type="dxa" w:w="348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7"/>
                <w:szCs w:val="17"/>
              </w:rPr>
              <w:t xml:space="preserve">Scene scanning and 3D reconstruction for crash or structural failure investigation.</w:t>
            </w:r>
          </w:p>
        </w:tc>
        <w:tc>
          <w:tcPr>
            <w:tcW w:type="dxa" w:w="348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7"/>
                <w:szCs w:val="17"/>
              </w:rPr>
              <w:t xml:space="preserve">Evidence must pass Daubert standard. Cryptographic chain-of-custody is directly applicable.</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7"/>
                <w:szCs w:val="17"/>
              </w:rPr>
              <w:t xml:space="preserve">Municipal Digital Twins</w:t>
            </w:r>
          </w:p>
        </w:tc>
        <w:tc>
          <w:tcPr>
            <w:tcW w:type="dxa" w:w="34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7"/>
                <w:szCs w:val="17"/>
              </w:rPr>
              <w:t xml:space="preserve">Continuous asset inventory via mobile scanning. 4D GIS with tectonic epoch handling.</w:t>
            </w:r>
          </w:p>
        </w:tc>
        <w:tc>
          <w:tcPr>
            <w:tcW w:type="dxa" w:w="34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7"/>
                <w:szCs w:val="17"/>
              </w:rPr>
              <w:t xml:space="preserve">Long-term geodetic alignment across decades of accumulated data.</w:t>
            </w:r>
          </w:p>
        </w:tc>
      </w:tr>
      <w:tr>
        <w:tc>
          <w:tcPr>
            <w:tcW w:type="dxa" w:w="24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7"/>
                <w:szCs w:val="17"/>
              </w:rPr>
              <w:t xml:space="preserve">Aviation (Part 77)</w:t>
            </w:r>
          </w:p>
        </w:tc>
        <w:tc>
          <w:tcPr>
            <w:tcW w:type="dxa" w:w="348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7"/>
                <w:szCs w:val="17"/>
              </w:rPr>
              <w:t xml:space="preserve">Obstacle clearance surveys for airport runway approaches. Canopy height computation.</w:t>
            </w:r>
          </w:p>
        </w:tc>
        <w:tc>
          <w:tcPr>
            <w:tcW w:type="dxa" w:w="348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7"/>
                <w:szCs w:val="17"/>
              </w:rPr>
              <w:t xml:space="preserve">FAA DO-200A standards require provable geodetic math. Generative estimates are prohibited.</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7"/>
                <w:szCs w:val="17"/>
              </w:rPr>
              <w:t xml:space="preserve">Mining / Tailings Dams</w:t>
            </w:r>
          </w:p>
        </w:tc>
        <w:tc>
          <w:tcPr>
            <w:tcW w:type="dxa" w:w="34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7"/>
                <w:szCs w:val="17"/>
              </w:rPr>
              <w:t xml:space="preserve">Daily slope monitoring, stockpile volumes, wall stability covariance checks.</w:t>
            </w:r>
          </w:p>
        </w:tc>
        <w:tc>
          <w:tcPr>
            <w:tcW w:type="dxa" w:w="34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7"/>
                <w:szCs w:val="17"/>
              </w:rPr>
              <w:t xml:space="preserve">MSHA safety regulations. Slope failure detection is life-safety critical.</w:t>
            </w:r>
          </w:p>
        </w:tc>
      </w:tr>
    </w:tbl>
    <w:p>
      <w:r>
        <w:br w:type="page"/>
      </w:r>
    </w:p>
    <w:p>
      <w:pPr>
        <w:pStyle w:val="Heading1"/>
      </w:pPr>
      <w:r>
        <w:t xml:space="preserve">9. Implementation Roadmap</w:t>
      </w:r>
    </w:p>
    <w:p>
      <w:pPr>
        <w:spacing w:after="160" w:line="276"/>
        <w:jc w:val="left"/>
      </w:pPr>
      <w:r>
        <w:rPr>
          <w:rFonts w:ascii="Arial" w:cs="Arial" w:eastAsia="Arial" w:hAnsi="Arial"/>
          <w:color w:val="333333"/>
          <w:sz w:val="22"/>
          <w:szCs w:val="22"/>
        </w:rPr>
        <w:t xml:space="preserve">Implementation follows a staged approach with explicit validation gates and kill criteria at each phase. No ML component is deployed until the deterministic baseline is proven correct.</w:t>
      </w:r>
    </w:p>
    <w:p>
      <w:pPr>
        <w:pStyle w:val="Heading2"/>
      </w:pPr>
      <w:r>
        <w:t xml:space="preserve">9.1 Days 0–30: Deterministic Foundation</w:t>
      </w:r>
    </w:p>
    <w:p>
      <w:pPr>
        <w:pStyle w:val="ListParagraph"/>
        <w:numPr>
          <w:ilvl w:val="0"/>
          <w:numId w:val="2"/>
        </w:numPr>
        <w:spacing w:after="100" w:line="276"/>
      </w:pPr>
      <w:r>
        <w:rPr>
          <w:rFonts w:ascii="Arial" w:cs="Arial" w:eastAsia="Arial" w:hAnsi="Arial"/>
          <w:color w:val="333333"/>
          <w:sz w:val="22"/>
          <w:szCs w:val="22"/>
        </w:rPr>
        <w:t xml:space="preserve">Establish cloud infrastructure and ETL pipelines with PROJ 9.0+ enforcement.</w:t>
      </w:r>
    </w:p>
    <w:p>
      <w:pPr>
        <w:pStyle w:val="ListParagraph"/>
        <w:numPr>
          <w:ilvl w:val="0"/>
          <w:numId w:val="2"/>
        </w:numPr>
        <w:spacing w:after="100" w:line="276"/>
      </w:pPr>
      <w:r>
        <w:rPr>
          <w:rFonts w:ascii="Arial" w:cs="Arial" w:eastAsia="Arial" w:hAnsi="Arial"/>
          <w:color w:val="333333"/>
          <w:sz w:val="22"/>
          <w:szCs w:val="22"/>
        </w:rPr>
        <w:t xml:space="preserve">Implement purely algorithmic bare-earth extraction (PDAL filters.smrf) and CGAL alpha-shapes.</w:t>
      </w:r>
    </w:p>
    <w:p>
      <w:pPr>
        <w:pStyle w:val="ListParagraph"/>
        <w:numPr>
          <w:ilvl w:val="0"/>
          <w:numId w:val="2"/>
        </w:numPr>
        <w:spacing w:after="100" w:line="276"/>
      </w:pPr>
      <w:r>
        <w:rPr>
          <w:rFonts w:ascii="Arial" w:cs="Arial" w:eastAsia="Arial" w:hAnsi="Arial"/>
          <w:color w:val="333333"/>
          <w:sz w:val="22"/>
          <w:szCs w:val="22"/>
        </w:rPr>
        <w:t xml:space="preserve">Establish the accuracy floor: end-to-end pipeline converts raw LiDAR to valid TIN inside CAD, producing FGDC metadata.</w:t>
      </w:r>
    </w:p>
    <w:p>
      <w:pPr>
        <w:spacing w:after="160" w:line="276"/>
      </w:pPr>
      <w:r>
        <w:rPr>
          <w:rFonts w:ascii="Arial" w:cs="Arial" w:eastAsia="Arial" w:hAnsi="Arial"/>
          <w:b/>
          <w:bCs/>
          <w:color w:val="555555"/>
          <w:sz w:val="22"/>
          <w:szCs w:val="22"/>
        </w:rPr>
        <w:t xml:space="preserve">Kill criterion: </w:t>
      </w:r>
      <w:r>
        <w:rPr>
          <w:rFonts w:ascii="Arial" w:cs="Arial" w:eastAsia="Arial" w:hAnsi="Arial"/>
          <w:color w:val="555555"/>
          <w:sz w:val="22"/>
          <w:szCs w:val="22"/>
        </w:rPr>
        <w:t xml:space="preserve">If the pipeline cannot handle U.S. Survey Foot deprecation or epoch-based datum shifts deterministically, halt all ML development until geodesy is resolved.</w:t>
      </w:r>
    </w:p>
    <w:p>
      <w:pPr>
        <w:pStyle w:val="Heading2"/>
      </w:pPr>
      <w:r>
        <w:t xml:space="preserve">9.2 Days 31–90: ML Experimental Track</w:t>
      </w:r>
    </w:p>
    <w:p>
      <w:pPr>
        <w:pStyle w:val="ListParagraph"/>
        <w:numPr>
          <w:ilvl w:val="0"/>
          <w:numId w:val="2"/>
        </w:numPr>
        <w:spacing w:after="100" w:line="276"/>
      </w:pPr>
      <w:r>
        <w:rPr>
          <w:rFonts w:ascii="Arial" w:cs="Arial" w:eastAsia="Arial" w:hAnsi="Arial"/>
          <w:color w:val="333333"/>
          <w:sz w:val="22"/>
          <w:szCs w:val="22"/>
        </w:rPr>
        <w:t xml:space="preserve">Train Point Transformers for LiDAR semantic segmentation.</w:t>
      </w:r>
    </w:p>
    <w:p>
      <w:pPr>
        <w:pStyle w:val="ListParagraph"/>
        <w:numPr>
          <w:ilvl w:val="0"/>
          <w:numId w:val="2"/>
        </w:numPr>
        <w:spacing w:after="100" w:line="276"/>
      </w:pPr>
      <w:r>
        <w:rPr>
          <w:rFonts w:ascii="Arial" w:cs="Arial" w:eastAsia="Arial" w:hAnsi="Arial"/>
          <w:color w:val="333333"/>
          <w:sz w:val="22"/>
          <w:szCs w:val="22"/>
        </w:rPr>
        <w:t xml:space="preserve">Train GNNs on legacy CAD vectors for layer classification (after KD-Tree snapping pre-processing to fix topology).</w:t>
      </w:r>
    </w:p>
    <w:p>
      <w:pPr>
        <w:pStyle w:val="ListParagraph"/>
        <w:numPr>
          <w:ilvl w:val="0"/>
          <w:numId w:val="2"/>
        </w:numPr>
        <w:spacing w:after="100" w:line="276"/>
      </w:pPr>
      <w:r>
        <w:rPr>
          <w:rFonts w:ascii="Arial" w:cs="Arial" w:eastAsia="Arial" w:hAnsi="Arial"/>
          <w:color w:val="333333"/>
          <w:sz w:val="22"/>
          <w:szCs w:val="22"/>
        </w:rPr>
        <w:t xml:space="preserve">Blind A/B test: PLS staff compare algorithmic baseline outputs vs. ML-assisted outputs without knowing which is which.</w:t>
      </w:r>
    </w:p>
    <w:p>
      <w:pPr>
        <w:spacing w:after="160" w:line="276"/>
      </w:pPr>
      <w:r>
        <w:rPr>
          <w:rFonts w:ascii="Arial" w:cs="Arial" w:eastAsia="Arial" w:hAnsi="Arial"/>
          <w:b/>
          <w:bCs/>
          <w:color w:val="555555"/>
          <w:sz w:val="22"/>
          <w:szCs w:val="22"/>
        </w:rPr>
        <w:t xml:space="preserve">Kill criterion: </w:t>
      </w:r>
      <w:r>
        <w:rPr>
          <w:rFonts w:ascii="Arial" w:cs="Arial" w:eastAsia="Arial" w:hAnsi="Arial"/>
          <w:color w:val="555555"/>
          <w:sz w:val="22"/>
          <w:szCs w:val="22"/>
        </w:rPr>
        <w:t xml:space="preserve">If ML fails to beat deterministic baseline RMSE by &gt;15%, abandon generative approaches entirely and restrict ML to semantic labeling only.</w:t>
      </w:r>
    </w:p>
    <w:p>
      <w:pPr>
        <w:pStyle w:val="Heading2"/>
      </w:pPr>
      <w:r>
        <w:t xml:space="preserve">9.3 Days 91–180: Integration and Deployment</w:t>
      </w:r>
    </w:p>
    <w:p>
      <w:pPr>
        <w:pStyle w:val="ListParagraph"/>
        <w:numPr>
          <w:ilvl w:val="0"/>
          <w:numId w:val="2"/>
        </w:numPr>
        <w:spacing w:after="100" w:line="276"/>
      </w:pPr>
      <w:r>
        <w:rPr>
          <w:rFonts w:ascii="Arial" w:cs="Arial" w:eastAsia="Arial" w:hAnsi="Arial"/>
          <w:color w:val="333333"/>
          <w:sz w:val="22"/>
          <w:szCs w:val="22"/>
        </w:rPr>
        <w:t xml:space="preserve">Deploy C# middleware wrapper for Civil 3D and/or OpenRoads.</w:t>
      </w:r>
    </w:p>
    <w:p>
      <w:pPr>
        <w:pStyle w:val="ListParagraph"/>
        <w:numPr>
          <w:ilvl w:val="0"/>
          <w:numId w:val="2"/>
        </w:numPr>
        <w:spacing w:after="100" w:line="276"/>
      </w:pPr>
      <w:r>
        <w:rPr>
          <w:rFonts w:ascii="Arial" w:cs="Arial" w:eastAsia="Arial" w:hAnsi="Arial"/>
          <w:color w:val="333333"/>
          <w:sz w:val="22"/>
          <w:szCs w:val="22"/>
        </w:rPr>
        <w:t xml:space="preserve">Implement Surveyor Linting UI with ghosted ML suggestions and engineering warnings.</w:t>
      </w:r>
    </w:p>
    <w:p>
      <w:pPr>
        <w:pStyle w:val="ListParagraph"/>
        <w:numPr>
          <w:ilvl w:val="0"/>
          <w:numId w:val="2"/>
        </w:numPr>
        <w:spacing w:after="100" w:line="276"/>
      </w:pPr>
      <w:r>
        <w:rPr>
          <w:rFonts w:ascii="Arial" w:cs="Arial" w:eastAsia="Arial" w:hAnsi="Arial"/>
          <w:color w:val="333333"/>
          <w:sz w:val="22"/>
          <w:szCs w:val="22"/>
        </w:rPr>
        <w:t xml:space="preserve">Integrate CGAL mesh healing shim for watertight B-Rep enforcement before CAD injection.</w:t>
      </w:r>
    </w:p>
    <w:p>
      <w:pPr>
        <w:pStyle w:val="ListParagraph"/>
        <w:numPr>
          <w:ilvl w:val="0"/>
          <w:numId w:val="2"/>
        </w:numPr>
        <w:spacing w:after="100" w:line="276"/>
      </w:pPr>
      <w:r>
        <w:rPr>
          <w:rFonts w:ascii="Arial" w:cs="Arial" w:eastAsia="Arial" w:hAnsi="Arial"/>
          <w:color w:val="333333"/>
          <w:sz w:val="22"/>
          <w:szCs w:val="22"/>
        </w:rPr>
        <w:t xml:space="preserve">Alpha deployment to survey crews with 30-day stability validation (zero CAD crashes required).</w:t>
      </w:r>
    </w:p>
    <w:p>
      <w:pPr>
        <w:pStyle w:val="ListParagraph"/>
        <w:numPr>
          <w:ilvl w:val="0"/>
          <w:numId w:val="2"/>
        </w:numPr>
        <w:spacing w:after="100" w:line="276"/>
      </w:pPr>
      <w:r>
        <w:rPr>
          <w:rFonts w:ascii="Arial" w:cs="Arial" w:eastAsia="Arial" w:hAnsi="Arial"/>
          <w:color w:val="333333"/>
          <w:sz w:val="22"/>
          <w:szCs w:val="22"/>
        </w:rPr>
        <w:t xml:space="preserve">Full cryptographic audit trail operational and tested against simulated subpoena workflow.</w:t>
      </w:r>
    </w:p>
    <w:p>
      <w:pPr>
        <w:pStyle w:val="Heading1"/>
      </w:pPr>
      <w:r>
        <w:t xml:space="preserve">10. Known Limitations and Open Problems</w:t>
      </w:r>
    </w:p>
    <w:p>
      <w:pPr>
        <w:spacing w:after="160" w:line="276"/>
        <w:jc w:val="left"/>
      </w:pPr>
      <w:r>
        <w:rPr>
          <w:rFonts w:ascii="Arial" w:cs="Arial" w:eastAsia="Arial" w:hAnsi="Arial"/>
          <w:color w:val="333333"/>
          <w:sz w:val="22"/>
          <w:szCs w:val="22"/>
        </w:rPr>
        <w:t xml:space="preserve">This document does not claim the system eliminates all risk. The following limitations are documented:</w:t>
      </w:r>
    </w:p>
    <w:p>
      <w:pPr>
        <w:pStyle w:val="ListParagraph"/>
        <w:numPr>
          <w:ilvl w:val="0"/>
          <w:numId w:val="2"/>
        </w:numPr>
        <w:spacing w:after="100" w:line="276"/>
      </w:pPr>
      <w:r>
        <w:rPr>
          <w:rFonts w:ascii="Arial" w:cs="Arial" w:eastAsia="Arial" w:hAnsi="Arial"/>
          <w:b/>
          <w:bCs/>
          <w:color w:val="333333"/>
          <w:sz w:val="22"/>
          <w:szCs w:val="22"/>
        </w:rPr>
        <w:t xml:space="preserve">First-order covariance propagation: </w:t>
      </w:r>
      <w:r>
        <w:rPr>
          <w:rFonts w:ascii="Arial" w:cs="Arial" w:eastAsia="Arial" w:hAnsi="Arial"/>
          <w:color w:val="333333"/>
          <w:sz w:val="22"/>
          <w:szCs w:val="22"/>
        </w:rPr>
        <w:t xml:space="preserve">The Jacobian-based error propagation framework assumes local linearity. At the periphery of State Plane zones or across tectonic faults, nonlinear distortion may cause the reported 95% CI to undercover. Mitigation: the system uses Unscented Transform and Monte Carlo validation for high-distortion regions, but this adds computational cost.</w:t>
      </w:r>
    </w:p>
    <w:p>
      <w:pPr>
        <w:pStyle w:val="ListParagraph"/>
        <w:numPr>
          <w:ilvl w:val="0"/>
          <w:numId w:val="2"/>
        </w:numPr>
        <w:spacing w:after="100" w:line="276"/>
      </w:pPr>
      <w:r>
        <w:rPr>
          <w:rFonts w:ascii="Arial" w:cs="Arial" w:eastAsia="Arial" w:hAnsi="Arial"/>
          <w:b/>
          <w:bCs/>
          <w:color w:val="333333"/>
          <w:sz w:val="22"/>
          <w:szCs w:val="22"/>
        </w:rPr>
        <w:t xml:space="preserve">EPECK-to-float downcast: </w:t>
      </w:r>
      <w:r>
        <w:rPr>
          <w:rFonts w:ascii="Arial" w:cs="Arial" w:eastAsia="Arial" w:hAnsi="Arial"/>
          <w:color w:val="333333"/>
          <w:sz w:val="22"/>
          <w:szCs w:val="22"/>
        </w:rPr>
        <w:t xml:space="preserve">Exact rational arithmetic guarantees manifoldness in memory, but exporting to CAD formats (DWG/DGN) requires conversion to IEEE 754 doubles. The downcast can re-introduce machine-epsilon vertex drift. Mitigation: Z3 post-truncation SAT proofs verify that the exported mesh retains topological validity after rounding.</w:t>
      </w:r>
    </w:p>
    <w:p>
      <w:pPr>
        <w:pStyle w:val="ListParagraph"/>
        <w:numPr>
          <w:ilvl w:val="0"/>
          <w:numId w:val="2"/>
        </w:numPr>
        <w:spacing w:after="100" w:line="276"/>
      </w:pPr>
      <w:r>
        <w:rPr>
          <w:rFonts w:ascii="Arial" w:cs="Arial" w:eastAsia="Arial" w:hAnsi="Arial"/>
          <w:b/>
          <w:bCs/>
          <w:color w:val="333333"/>
          <w:sz w:val="22"/>
          <w:szCs w:val="22"/>
        </w:rPr>
        <w:t xml:space="preserve">Adversarial arms race: </w:t>
      </w:r>
      <w:r>
        <w:rPr>
          <w:rFonts w:ascii="Arial" w:cs="Arial" w:eastAsia="Arial" w:hAnsi="Arial"/>
          <w:color w:val="333333"/>
          <w:sz w:val="22"/>
          <w:szCs w:val="22"/>
        </w:rPr>
        <w:t xml:space="preserve">A sufficiently sophisticated adversary could train a GAN that replicates both spatial autocorrelation and hardware timing signatures. Detection mechanisms raise the bar but do not eliminate the threat.</w:t>
      </w:r>
    </w:p>
    <w:p>
      <w:pPr>
        <w:pStyle w:val="ListParagraph"/>
        <w:numPr>
          <w:ilvl w:val="0"/>
          <w:numId w:val="2"/>
        </w:numPr>
        <w:spacing w:after="100" w:line="276"/>
      </w:pPr>
      <w:r>
        <w:rPr>
          <w:rFonts w:ascii="Arial" w:cs="Arial" w:eastAsia="Arial" w:hAnsi="Arial"/>
          <w:b/>
          <w:bCs/>
          <w:color w:val="333333"/>
          <w:sz w:val="22"/>
          <w:szCs w:val="22"/>
        </w:rPr>
        <w:t xml:space="preserve">ML threshold calibration: </w:t>
      </w:r>
      <w:r>
        <w:rPr>
          <w:rFonts w:ascii="Arial" w:cs="Arial" w:eastAsia="Arial" w:hAnsi="Arial"/>
          <w:color w:val="333333"/>
          <w:sz w:val="22"/>
          <w:szCs w:val="22"/>
        </w:rPr>
        <w:t xml:space="preserve">Classification thresholds (P ≥ 0.99, P ≥ 0.05) must be empirically derived from field validation data, not set arbitrarily. If calibration datasets are regionally or seasonally biased, thresholds may not generalize.</w:t>
      </w:r>
    </w:p>
    <w:p>
      <w:pPr>
        <w:pStyle w:val="ListParagraph"/>
        <w:numPr>
          <w:ilvl w:val="0"/>
          <w:numId w:val="2"/>
        </w:numPr>
        <w:spacing w:after="100" w:line="276"/>
      </w:pPr>
      <w:r>
        <w:rPr>
          <w:rFonts w:ascii="Arial" w:cs="Arial" w:eastAsia="Arial" w:hAnsi="Arial"/>
          <w:b/>
          <w:bCs/>
          <w:color w:val="333333"/>
          <w:sz w:val="22"/>
          <w:szCs w:val="22"/>
        </w:rPr>
        <w:t xml:space="preserve">Long-term hardware reproducibility: </w:t>
      </w:r>
      <w:r>
        <w:rPr>
          <w:rFonts w:ascii="Arial" w:cs="Arial" w:eastAsia="Arial" w:hAnsi="Arial"/>
          <w:color w:val="333333"/>
          <w:sz w:val="22"/>
          <w:szCs w:val="22"/>
        </w:rPr>
        <w:t xml:space="preserve">GPU determinism is guaranteed only within a fixed hardware architecture and toolkit version. The SoftFloat/WASM escrow path provides a 20-year fallback but at 1000× performance cost.</w:t>
      </w:r>
    </w:p>
    <w:p>
      <w:pPr>
        <w:pStyle w:val="ListParagraph"/>
        <w:numPr>
          <w:ilvl w:val="0"/>
          <w:numId w:val="2"/>
        </w:numPr>
        <w:spacing w:after="100" w:line="276"/>
      </w:pPr>
      <w:r>
        <w:rPr>
          <w:rFonts w:ascii="Arial" w:cs="Arial" w:eastAsia="Arial" w:hAnsi="Arial"/>
          <w:b/>
          <w:bCs/>
          <w:color w:val="333333"/>
          <w:sz w:val="22"/>
          <w:szCs w:val="22"/>
        </w:rPr>
        <w:t xml:space="preserve">Human certification dependency: </w:t>
      </w:r>
      <w:r>
        <w:rPr>
          <w:rFonts w:ascii="Arial" w:cs="Arial" w:eastAsia="Arial" w:hAnsi="Arial"/>
          <w:color w:val="333333"/>
          <w:sz w:val="22"/>
          <w:szCs w:val="22"/>
        </w:rPr>
        <w:t xml:space="preserve">The system can force interactive review and log behavioral evidence, but it cannot prevent a PLS from exercising poor judgment. The trust anchor remains human integrity.</w:t>
      </w:r>
    </w:p>
    <w:p>
      <w:pPr>
        <w:pStyle w:val="Heading1"/>
      </w:pPr>
      <w:r>
        <w:t xml:space="preserve">11. Public Data Sources and Licensing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1680"/>
        <w:gridCol w:w="1680"/>
      </w:tblGrid>
      <w:tr>
        <w:tc>
          <w:tcPr>
            <w:tcW w:type="dxa" w:w="20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20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Data Type</w:t>
            </w:r>
          </w:p>
        </w:tc>
        <w:tc>
          <w:tcPr>
            <w:tcW w:type="dxa" w:w="20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Formats</w:t>
            </w:r>
          </w:p>
        </w:tc>
        <w:tc>
          <w:tcPr>
            <w:tcW w:type="dxa" w:w="168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License</w:t>
            </w:r>
          </w:p>
        </w:tc>
        <w:tc>
          <w:tcPr>
            <w:tcW w:type="dxa" w:w="168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Risk Notes</w:t>
            </w:r>
          </w:p>
        </w:tc>
      </w:tr>
      <w:tr>
        <w:tc>
          <w:tcPr>
            <w:tcW w:type="dxa" w:w="20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7"/>
                <w:szCs w:val="17"/>
              </w:rPr>
              <w:t xml:space="preserve">USGS 3DEP</w:t>
            </w:r>
          </w:p>
        </w:tc>
        <w:tc>
          <w:tcPr>
            <w:tcW w:type="dxa" w:w="20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7"/>
                <w:szCs w:val="17"/>
              </w:rPr>
              <w:t xml:space="preserve">Aerial LiDAR, DEMs</w:t>
            </w:r>
          </w:p>
        </w:tc>
        <w:tc>
          <w:tcPr>
            <w:tcW w:type="dxa" w:w="20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7"/>
                <w:szCs w:val="17"/>
              </w:rPr>
              <w:t xml:space="preserve">COPC, LAZ</w:t>
            </w:r>
          </w:p>
        </w:tc>
        <w:tc>
          <w:tcPr>
            <w:tcW w:type="dxa" w:w="168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7"/>
                <w:szCs w:val="17"/>
              </w:rPr>
              <w:t xml:space="preserve">Public Domain</w:t>
            </w:r>
          </w:p>
        </w:tc>
        <w:tc>
          <w:tcPr>
            <w:tcW w:type="dxa" w:w="168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7"/>
                <w:szCs w:val="17"/>
              </w:rPr>
              <w:t xml:space="preserve">Point density varies (QL1 vs QL3)</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7"/>
                <w:szCs w:val="17"/>
              </w:rPr>
              <w:t xml:space="preserve">NOAA Digital Coast</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7"/>
                <w:szCs w:val="17"/>
              </w:rPr>
              <w:t xml:space="preserve">Topobathy LiDAR</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7"/>
                <w:szCs w:val="17"/>
              </w:rPr>
              <w:t xml:space="preserve">LAZ, COG</w:t>
            </w:r>
          </w:p>
        </w:tc>
        <w:tc>
          <w:tcPr>
            <w:tcW w:type="dxa" w:w="16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7"/>
                <w:szCs w:val="17"/>
              </w:rPr>
              <w:t xml:space="preserve">Public Domain</w:t>
            </w:r>
          </w:p>
        </w:tc>
        <w:tc>
          <w:tcPr>
            <w:tcW w:type="dxa" w:w="16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7"/>
                <w:szCs w:val="17"/>
              </w:rPr>
              <w:t xml:space="preserve">Requires tidal epoch handling</w:t>
            </w:r>
          </w:p>
        </w:tc>
      </w:tr>
      <w:tr>
        <w:tc>
          <w:tcPr>
            <w:tcW w:type="dxa" w:w="20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7"/>
                <w:szCs w:val="17"/>
              </w:rPr>
              <w:t xml:space="preserve">NOAA NGS (NCAT)</w:t>
            </w:r>
          </w:p>
        </w:tc>
        <w:tc>
          <w:tcPr>
            <w:tcW w:type="dxa" w:w="20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7"/>
                <w:szCs w:val="17"/>
              </w:rPr>
              <w:t xml:space="preserve">Control / Geodesy</w:t>
            </w:r>
          </w:p>
        </w:tc>
        <w:tc>
          <w:tcPr>
            <w:tcW w:type="dxa" w:w="20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7"/>
                <w:szCs w:val="17"/>
              </w:rPr>
              <w:t xml:space="preserve">JSON, XML</w:t>
            </w:r>
          </w:p>
        </w:tc>
        <w:tc>
          <w:tcPr>
            <w:tcW w:type="dxa" w:w="168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7"/>
                <w:szCs w:val="17"/>
              </w:rPr>
              <w:t xml:space="preserve">Public Domain</w:t>
            </w:r>
          </w:p>
        </w:tc>
        <w:tc>
          <w:tcPr>
            <w:tcW w:type="dxa" w:w="168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7"/>
                <w:szCs w:val="17"/>
              </w:rPr>
              <w:t xml:space="preserve">NATRF2022 transition pending</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7"/>
                <w:szCs w:val="17"/>
              </w:rPr>
              <w:t xml:space="preserve">BLM Geospatial Hub</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7"/>
                <w:szCs w:val="17"/>
              </w:rPr>
              <w:t xml:space="preserve">Cadastral (PLSS)</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7"/>
                <w:szCs w:val="17"/>
              </w:rPr>
              <w:t xml:space="preserve">SHP, GeoJSON</w:t>
            </w:r>
          </w:p>
        </w:tc>
        <w:tc>
          <w:tcPr>
            <w:tcW w:type="dxa" w:w="16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7"/>
                <w:szCs w:val="17"/>
              </w:rPr>
              <w:t xml:space="preserve">Public Domain</w:t>
            </w:r>
          </w:p>
        </w:tc>
        <w:tc>
          <w:tcPr>
            <w:tcW w:type="dxa" w:w="16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7"/>
                <w:szCs w:val="17"/>
              </w:rPr>
              <w:t xml:space="preserve">Historically imprecise</w:t>
            </w:r>
          </w:p>
        </w:tc>
      </w:tr>
      <w:tr>
        <w:tc>
          <w:tcPr>
            <w:tcW w:type="dxa" w:w="20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7"/>
                <w:szCs w:val="17"/>
              </w:rPr>
              <w:t xml:space="preserve">FEMA NFHL</w:t>
            </w:r>
          </w:p>
        </w:tc>
        <w:tc>
          <w:tcPr>
            <w:tcW w:type="dxa" w:w="20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7"/>
                <w:szCs w:val="17"/>
              </w:rPr>
              <w:t xml:space="preserve">Floodplains</w:t>
            </w:r>
          </w:p>
        </w:tc>
        <w:tc>
          <w:tcPr>
            <w:tcW w:type="dxa" w:w="200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7"/>
                <w:szCs w:val="17"/>
              </w:rPr>
              <w:t xml:space="preserve">GDB, WFS</w:t>
            </w:r>
          </w:p>
        </w:tc>
        <w:tc>
          <w:tcPr>
            <w:tcW w:type="dxa" w:w="168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7"/>
                <w:szCs w:val="17"/>
              </w:rPr>
              <w:t xml:space="preserve">Public Domain</w:t>
            </w:r>
          </w:p>
        </w:tc>
        <w:tc>
          <w:tcPr>
            <w:tcW w:type="dxa" w:w="1680"/>
            <w:tcBorders>
              <w:top w:val="single" w:color="BBBBBB" w:sz="1"/>
              <w:left w:val="single" w:color="BBBBBB" w:sz="1"/>
              <w:bottom w:val="single" w:color="BBBBBB" w:sz="1"/>
              <w:right w:val="single" w:color="BBBBBB" w:sz="1"/>
            </w:tcBorders>
            <w:shd w:fill="E8F0F8" w:val="clear"/>
            <w:tcMar>
              <w:top w:type="dxa" w:w="80"/>
              <w:left w:type="dxa" w:w="120"/>
              <w:bottom w:type="dxa" w:w="80"/>
              <w:right w:type="dxa" w:w="120"/>
            </w:tcMar>
          </w:tcPr>
          <w:p>
            <w:pPr>
              <w:spacing w:after="40"/>
            </w:pPr>
            <w:r>
              <w:rPr>
                <w:rFonts w:ascii="Arial" w:cs="Arial" w:eastAsia="Arial" w:hAnsi="Arial"/>
                <w:color w:val="333333"/>
                <w:sz w:val="17"/>
                <w:szCs w:val="17"/>
              </w:rPr>
              <w:t xml:space="preserve">Regulatory for ALTA surveys</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7"/>
                <w:szCs w:val="17"/>
              </w:rPr>
              <w:t xml:space="preserve">OpenStreetMap</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7"/>
                <w:szCs w:val="17"/>
              </w:rPr>
              <w:t xml:space="preserve">Vectors, Footprints</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7"/>
                <w:szCs w:val="17"/>
              </w:rPr>
              <w:t xml:space="preserve">PBF</w:t>
            </w:r>
          </w:p>
        </w:tc>
        <w:tc>
          <w:tcPr>
            <w:tcW w:type="dxa" w:w="16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7"/>
                <w:szCs w:val="17"/>
              </w:rPr>
              <w:t xml:space="preserve">ODbL</w:t>
            </w:r>
          </w:p>
        </w:tc>
        <w:tc>
          <w:tcPr>
            <w:tcW w:type="dxa" w:w="16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color w:val="333333"/>
                <w:sz w:val="17"/>
                <w:szCs w:val="17"/>
              </w:rPr>
              <w:t xml:space="preserve">HIGH RISK: Viral copyleft. Isolate strictly.</w:t>
            </w:r>
          </w:p>
        </w:tc>
      </w:tr>
    </w:tbl>
    <w:p>
      <w:pPr>
        <w:spacing w:after="200"/>
      </w:pPr>
    </w:p>
    <w:p>
      <w:pPr>
        <w:pStyle w:val="Heading1"/>
      </w:pPr>
      <w:r>
        <w:t xml:space="preserve">12. Technical References</w:t>
      </w:r>
    </w:p>
    <w:p>
      <w:pPr>
        <w:pStyle w:val="Heading3"/>
      </w:pPr>
      <w:r>
        <w:t xml:space="preserve">Geodetic Infrastructure</w:t>
      </w:r>
    </w:p>
    <w:p>
      <w:pPr>
        <w:spacing w:after="160" w:line="276"/>
        <w:jc w:val="left"/>
      </w:pPr>
      <w:r>
        <w:rPr>
          <w:rFonts w:ascii="Arial" w:cs="Arial" w:eastAsia="Arial" w:hAnsi="Arial"/>
          <w:color w:val="333333"/>
          <w:sz w:val="20"/>
          <w:szCs w:val="20"/>
        </w:rPr>
        <w:t xml:space="preserve">NOAA NGS NCAT API: geodesy.noaa.gov/NCAT/</w:t>
      </w:r>
    </w:p>
    <w:p>
      <w:pPr>
        <w:spacing w:after="160" w:line="276"/>
        <w:jc w:val="left"/>
      </w:pPr>
      <w:r>
        <w:rPr>
          <w:rFonts w:ascii="Arial" w:cs="Arial" w:eastAsia="Arial" w:hAnsi="Arial"/>
          <w:color w:val="333333"/>
          <w:sz w:val="20"/>
          <w:szCs w:val="20"/>
        </w:rPr>
        <w:t xml:space="preserve">NIST U.S. Survey Foot Deprecation: nist.gov/pml/us-surveyfoot</w:t>
      </w:r>
    </w:p>
    <w:p>
      <w:pPr>
        <w:spacing w:after="160" w:line="276"/>
        <w:jc w:val="left"/>
      </w:pPr>
      <w:r>
        <w:rPr>
          <w:rFonts w:ascii="Arial" w:cs="Arial" w:eastAsia="Arial" w:hAnsi="Arial"/>
          <w:color w:val="333333"/>
          <w:sz w:val="20"/>
          <w:szCs w:val="20"/>
        </w:rPr>
        <w:t xml:space="preserve">NGS Datum Modernization (NATRF2022): geodesy.noaa.gov/datums/newdatums/</w:t>
      </w:r>
    </w:p>
    <w:p>
      <w:pPr>
        <w:pStyle w:val="Heading3"/>
      </w:pPr>
      <w:r>
        <w:t xml:space="preserve">Software Libraries</w:t>
      </w:r>
    </w:p>
    <w:p>
      <w:pPr>
        <w:spacing w:after="160" w:line="276"/>
        <w:jc w:val="left"/>
      </w:pPr>
      <w:r>
        <w:rPr>
          <w:rFonts w:ascii="Arial" w:cs="Arial" w:eastAsia="Arial" w:hAnsi="Arial"/>
          <w:color w:val="333333"/>
          <w:sz w:val="20"/>
          <w:szCs w:val="20"/>
        </w:rPr>
        <w:t xml:space="preserve">PDAL (Point Data Abstraction Library): pdal.io</w:t>
      </w:r>
    </w:p>
    <w:p>
      <w:pPr>
        <w:spacing w:after="160" w:line="276"/>
        <w:jc w:val="left"/>
      </w:pPr>
      <w:r>
        <w:rPr>
          <w:rFonts w:ascii="Arial" w:cs="Arial" w:eastAsia="Arial" w:hAnsi="Arial"/>
          <w:color w:val="333333"/>
          <w:sz w:val="20"/>
          <w:szCs w:val="20"/>
        </w:rPr>
        <w:t xml:space="preserve">PROJ (Cartographic Projections): proj.org</w:t>
      </w:r>
    </w:p>
    <w:p>
      <w:pPr>
        <w:spacing w:after="160" w:line="276"/>
        <w:jc w:val="left"/>
      </w:pPr>
      <w:r>
        <w:rPr>
          <w:rFonts w:ascii="Arial" w:cs="Arial" w:eastAsia="Arial" w:hAnsi="Arial"/>
          <w:color w:val="333333"/>
          <w:sz w:val="20"/>
          <w:szCs w:val="20"/>
        </w:rPr>
        <w:t xml:space="preserve">CGAL (Computational Geometry Algorithms Library): cgal.org</w:t>
      </w:r>
    </w:p>
    <w:p>
      <w:pPr>
        <w:pStyle w:val="Heading3"/>
      </w:pPr>
      <w:r>
        <w:t xml:space="preserve">Data Standards</w:t>
      </w:r>
    </w:p>
    <w:p>
      <w:pPr>
        <w:spacing w:after="160" w:line="276"/>
        <w:jc w:val="left"/>
      </w:pPr>
      <w:r>
        <w:rPr>
          <w:rFonts w:ascii="Arial" w:cs="Arial" w:eastAsia="Arial" w:hAnsi="Arial"/>
          <w:color w:val="333333"/>
          <w:sz w:val="20"/>
          <w:szCs w:val="20"/>
        </w:rPr>
        <w:t xml:space="preserve">COPC (Cloud Optimized Point Cloud): copc.io</w:t>
      </w:r>
    </w:p>
    <w:p>
      <w:pPr>
        <w:spacing w:after="160" w:line="276"/>
        <w:jc w:val="left"/>
      </w:pPr>
      <w:r>
        <w:rPr>
          <w:rFonts w:ascii="Arial" w:cs="Arial" w:eastAsia="Arial" w:hAnsi="Arial"/>
          <w:color w:val="333333"/>
          <w:sz w:val="20"/>
          <w:szCs w:val="20"/>
        </w:rPr>
        <w:t xml:space="preserve">FGDC Geospatial Metadata Standards: fgdc.gov/metadata</w:t>
      </w:r>
    </w:p>
    <w:p>
      <w:pPr>
        <w:spacing w:after="160" w:line="276"/>
        <w:jc w:val="left"/>
      </w:pPr>
      <w:r>
        <w:rPr>
          <w:rFonts w:ascii="Arial" w:cs="Arial" w:eastAsia="Arial" w:hAnsi="Arial"/>
          <w:color w:val="333333"/>
          <w:sz w:val="20"/>
          <w:szCs w:val="20"/>
        </w:rPr>
        <w:t xml:space="preserve">ASPRS Positional Accuracy Standards for Digital Geospatial Data</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3" w:space="4"/>
      </w:pBdr>
    </w:pPr>
    <w:r>
      <w:rPr>
        <w:rFonts w:ascii="Arial" w:cs="Arial" w:eastAsia="Arial" w:hAnsi="Arial"/>
        <w:i/>
        <w:iCs/>
        <w:color w:val="555555"/>
        <w:sz w:val="16"/>
        <w:szCs w:val="16"/>
      </w:rPr>
      <w:t xml:space="preserve">AI-Assisted Automated Drafting  —  Technical Whitepaper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2026-02-25T20:16:35.239Z</dcterms:created>
  <dcterms:modified xsi:type="dcterms:W3CDTF">2026-02-25T20:16:35.240Z</dcterms:modified>
</cp:coreProperties>
</file>

<file path=docProps/custom.xml><?xml version="1.0" encoding="utf-8"?>
<Properties xmlns="http://schemas.openxmlformats.org/officeDocument/2006/custom-properties" xmlns:vt="http://schemas.openxmlformats.org/officeDocument/2006/docPropsVTypes"/>
</file>