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2" w:name="content"/>
    <w:bookmarkStart w:id="71" w:name="Xd4f4e2794d9d80a5ddfa59a127abb86326811fd"/>
    <w:p>
      <w:pPr>
        <w:pStyle w:val="Heading1"/>
      </w:pPr>
      <w:r>
        <w:t xml:space="preserve">Where Hybrid Survey Automation Still Breaks: Model Risk, Reproducibility, and Trust Anchors</w:t>
      </w:r>
    </w:p>
    <w:bookmarkStart w:id="23" w:name="Xc9fc948c8b91b400524ff2be43810889ad61c93"/>
    <w:p>
      <w:pPr>
        <w:pStyle w:val="Heading2"/>
      </w:pPr>
      <w:r>
        <w:t xml:space="preserve">The common thread behind all five “break points”</w:t>
      </w:r>
    </w:p>
    <w:p>
      <w:pPr>
        <w:pStyle w:val="FirstParagraph"/>
      </w:pPr>
      <w:r>
        <w:t xml:space="preserve">The failures you listed are different symptoms of the same system-level reality: in a surveying-grade pipeline, “correctness” is not a single property. It decomposes into</w:t>
      </w:r>
      <w:r>
        <w:t xml:space="preserve"> </w:t>
      </w:r>
      <w:r>
        <w:rPr>
          <w:b/>
          <w:bCs/>
        </w:rPr>
        <w:t xml:space="preserve">(a) statistical validity</w:t>
      </w:r>
      <w:r>
        <w:t xml:space="preserve">,</w:t>
      </w:r>
      <w:r>
        <w:t xml:space="preserve"> </w:t>
      </w:r>
      <w:r>
        <w:rPr>
          <w:b/>
          <w:bCs/>
        </w:rPr>
        <w:t xml:space="preserve">(b) numerical determinism</w:t>
      </w:r>
      <w:r>
        <w:t xml:space="preserve">,</w:t>
      </w:r>
      <w:r>
        <w:t xml:space="preserve"> </w:t>
      </w:r>
      <w:r>
        <w:rPr>
          <w:b/>
          <w:bCs/>
        </w:rPr>
        <w:t xml:space="preserve">(c) standards defensibility</w:t>
      </w:r>
      <w:r>
        <w:t xml:space="preserve">,</w:t>
      </w:r>
      <w:r>
        <w:t xml:space="preserve"> </w:t>
      </w:r>
      <w:r>
        <w:rPr>
          <w:b/>
          <w:bCs/>
        </w:rPr>
        <w:t xml:space="preserve">(d) adversarial robustness</w:t>
      </w:r>
      <w:r>
        <w:t xml:space="preserve">, and</w:t>
      </w:r>
      <w:r>
        <w:t xml:space="preserve"> </w:t>
      </w:r>
      <w:r>
        <w:rPr>
          <w:b/>
          <w:bCs/>
        </w:rPr>
        <w:t xml:space="preserve">(e) professional/governance accountability</w:t>
      </w:r>
      <w:r>
        <w:t xml:space="preserve">—and improvements in one axis often create new obligations in another.</w:t>
      </w:r>
    </w:p>
    <w:p>
      <w:pPr>
        <w:pStyle w:val="BodyText"/>
      </w:pPr>
      <w:r>
        <w:t xml:space="preserve">Two framing corrections that matter in litigation:</w:t>
      </w:r>
    </w:p>
    <w:p>
      <w:pPr>
        <w:pStyle w:val="BodyText"/>
      </w:pPr>
      <w:r>
        <w:t xml:space="preserve">First, replacing Jacobians with the</w:t>
      </w:r>
      <w:r>
        <w:t xml:space="preserve"> </w:t>
      </w:r>
      <w:r>
        <w:rPr>
          <w:b/>
          <w:bCs/>
        </w:rPr>
        <w:t xml:space="preserve">unscented transform</w:t>
      </w:r>
      <w:r>
        <w:t xml:space="preserve"> </w:t>
      </w:r>
      <w:r>
        <w:t xml:space="preserve">or</w:t>
      </w:r>
      <w:r>
        <w:t xml:space="preserve"> </w:t>
      </w:r>
      <w:r>
        <w:rPr>
          <w:b/>
          <w:bCs/>
        </w:rPr>
        <w:t xml:space="preserve">Monte Carlo</w:t>
      </w:r>
      <w:r>
        <w:t xml:space="preserve"> </w:t>
      </w:r>
      <w:r>
        <w:t xml:space="preserve">is not equivalent to replacing</w:t>
      </w:r>
      <w:r>
        <w:t xml:space="preserve"> </w:t>
      </w:r>
      <w:r>
        <w:rPr>
          <w:i/>
          <w:iCs/>
        </w:rPr>
        <w:t xml:space="preserve">assumptions</w:t>
      </w:r>
      <w:r>
        <w:t xml:space="preserve"> </w:t>
      </w:r>
      <w:r>
        <w:t xml:space="preserve">with</w:t>
      </w:r>
      <w:r>
        <w:t xml:space="preserve"> </w:t>
      </w:r>
      <w:r>
        <w:rPr>
          <w:i/>
          <w:iCs/>
        </w:rPr>
        <w:t xml:space="preserve">truth</w:t>
      </w:r>
      <w:r>
        <w:t xml:space="preserve">. The math still expresses a</w:t>
      </w:r>
      <w:r>
        <w:t xml:space="preserve"> </w:t>
      </w:r>
      <w:r>
        <w:rPr>
          <w:i/>
          <w:iCs/>
        </w:rPr>
        <w:t xml:space="preserve">model family</w:t>
      </w:r>
      <w:r>
        <w:t xml:space="preserve">. What changes is how honestly you propagate uncertainty within that family.</w:t>
      </w:r>
      <w:r>
        <w:t xml:space="preserve"> </w:t>
      </w:r>
      <w:hyperlink r:id="rId21">
        <w:r>
          <w:rPr>
            <w:rStyle w:val="Hyperlink"/>
          </w:rPr>
          <w:t xml:space="preserve">[1]</w:t>
        </w:r>
      </w:hyperlink>
    </w:p>
    <w:p>
      <w:pPr>
        <w:pStyle w:val="BodyText"/>
      </w:pPr>
      <w:r>
        <w:t xml:space="preserve">Second, determinism and reproducibility are not binary properties. They are</w:t>
      </w:r>
      <w:r>
        <w:t xml:space="preserve"> </w:t>
      </w:r>
      <w:r>
        <w:rPr>
          <w:b/>
          <w:bCs/>
        </w:rPr>
        <w:t xml:space="preserve">contracts</w:t>
      </w:r>
      <w:r>
        <w:t xml:space="preserve">: “same inputs under specified computation rules produce the same outputs.” The legal conflict emerges when production and escrow paths are governed by different contracts.</w:t>
      </w:r>
      <w:r>
        <w:t xml:space="preserve"> </w:t>
      </w:r>
      <w:hyperlink r:id="rId22">
        <w:r>
          <w:rPr>
            <w:rStyle w:val="Hyperlink"/>
          </w:rPr>
          <w:t xml:space="preserve">[2]</w:t>
        </w:r>
      </w:hyperlink>
    </w:p>
    <w:bookmarkEnd w:id="23"/>
    <w:bookmarkStart w:id="31" w:name="X763aa0eb967a8dc3cd955804e58c9164b117e64"/>
    <w:p>
      <w:pPr>
        <w:pStyle w:val="Heading2"/>
      </w:pPr>
      <w:r>
        <w:t xml:space="preserve">Uncertainty propagation under discontinuous geophysics</w:t>
      </w:r>
    </w:p>
    <w:bookmarkStart w:id="25" w:name="X6500af157e1bfb0a7a7e1b757f7c59f532d7908"/>
    <w:p>
      <w:pPr>
        <w:pStyle w:val="Heading3"/>
      </w:pPr>
      <w:r>
        <w:t xml:space="preserve">What the unscented transform and Monte Carlo really guarantee</w:t>
      </w:r>
    </w:p>
    <w:p>
      <w:pPr>
        <w:pStyle w:val="FirstParagraph"/>
      </w:pPr>
      <w:r>
        <w:t xml:space="preserve">A key assumption embedded in your critique is that the unscented transform (UT) is “Gaussian,” but the deep issue is slightly different: UT is primarily a</w:t>
      </w:r>
      <w:r>
        <w:t xml:space="preserve"> </w:t>
      </w:r>
      <w:r>
        <w:rPr>
          <w:b/>
          <w:bCs/>
        </w:rPr>
        <w:t xml:space="preserve">moment-matching approximation</w:t>
      </w:r>
      <w:r>
        <w:t xml:space="preserve">—it represents uncertainty via a finite set of sigma points derived from the</w:t>
      </w:r>
      <w:r>
        <w:t xml:space="preserve"> </w:t>
      </w:r>
      <w:r>
        <w:rPr>
          <w:b/>
          <w:bCs/>
        </w:rPr>
        <w:t xml:space="preserve">mean and covariance</w:t>
      </w:r>
      <w:r>
        <w:t xml:space="preserve">, and it targets accurate propagation of those moments through nonlinear maps. It does not generally encode multimodality, heavy tails, or discontinuities unless you explicitly represent them (e.g., via mixtures).</w:t>
      </w:r>
      <w:r>
        <w:t xml:space="preserve"> </w:t>
      </w:r>
      <w:hyperlink r:id="rId21">
        <w:r>
          <w:rPr>
            <w:rStyle w:val="Hyperlink"/>
          </w:rPr>
          <w:t xml:space="preserve">[3]</w:t>
        </w:r>
      </w:hyperlink>
    </w:p>
    <w:p>
      <w:pPr>
        <w:pStyle w:val="BodyText"/>
      </w:pPr>
      <w:r>
        <w:t xml:space="preserve">Monte Carlo (MC) improves honesty by sampling the forward map, but its accuracy is governed by</w:t>
      </w:r>
      <w:r>
        <w:t xml:space="preserve"> </w:t>
      </w:r>
      <w:r>
        <w:rPr>
          <w:b/>
          <w:bCs/>
        </w:rPr>
        <w:t xml:space="preserve">sampling error</w:t>
      </w:r>
      <w:r>
        <w:t xml:space="preserve">, and in standard MC the error typically shrinks like</w:t>
      </w:r>
      <w:r>
        <w:t xml:space="preserve"> </w:t>
      </w:r>
      <m:oMath>
        <m:r>
          <m:t>O</m:t>
        </m:r>
        <m:d>
          <m:dPr>
            <m:begChr m:val="("/>
            <m:sepChr m:val=""/>
            <m:endChr m:val=")"/>
            <m:grow/>
          </m:dPr>
          <m:e>
            <m:r>
              <m:t>1</m:t>
            </m:r>
            <m:r>
              <m:rPr>
                <m:sty m:val="p"/>
              </m:rPr>
              <m:t>/</m:t>
            </m:r>
            <m:rad>
              <m:radPr>
                <m:degHide m:val="on"/>
              </m:radPr>
              <m:deg/>
              <m:e>
                <m:r>
                  <m:t>N</m:t>
                </m:r>
              </m:e>
            </m:rad>
          </m:e>
        </m:d>
      </m:oMath>
      <w:r>
        <w:t xml:space="preserve"> </w:t>
      </w:r>
      <w:r>
        <w:t xml:space="preserve">for many estimators—meaning rare-event tails converge painfully slowly unless you use variance reduction or targeted sampling.</w:t>
      </w:r>
      <w:r>
        <w:t xml:space="preserve"> </w:t>
      </w:r>
      <w:hyperlink r:id="rId24">
        <w:r>
          <w:rPr>
            <w:rStyle w:val="Hyperlink"/>
          </w:rPr>
          <w:t xml:space="preserve">[4]</w:t>
        </w:r>
      </w:hyperlink>
    </w:p>
    <w:bookmarkEnd w:id="25"/>
    <w:bookmarkStart w:id="28" w:name="Xdc55526b2e112578278e495c94e9258514eecfd"/>
    <w:p>
      <w:pPr>
        <w:pStyle w:val="Heading3"/>
      </w:pPr>
      <w:r>
        <w:t xml:space="preserve">Why discontinuities break “moment-based sufficiency”</w:t>
      </w:r>
    </w:p>
    <w:p>
      <w:pPr>
        <w:pStyle w:val="FirstParagraph"/>
      </w:pPr>
      <w:r>
        <w:t xml:space="preserve">Discontinuous deformation is not hypothetical in geodetic work.</w:t>
      </w:r>
      <w:r>
        <w:t xml:space="preserve"> </w:t>
      </w:r>
      <w:r>
        <w:rPr>
          <w:b/>
          <w:bCs/>
        </w:rPr>
        <w:t xml:space="preserve">Coseismic steps</w:t>
      </w:r>
      <w:r>
        <w:t xml:space="preserve"> </w:t>
      </w:r>
      <w:r>
        <w:t xml:space="preserve">and</w:t>
      </w:r>
      <w:r>
        <w:t xml:space="preserve"> </w:t>
      </w:r>
      <w:r>
        <w:rPr>
          <w:b/>
          <w:bCs/>
        </w:rPr>
        <w:t xml:space="preserve">postseismic transients</w:t>
      </w:r>
      <w:r>
        <w:t xml:space="preserve"> </w:t>
      </w:r>
      <w:r>
        <w:t xml:space="preserve">are explicitly handled as classes of crustal motion in established national tooling, but those tools also acknowledge that other motion types exist and may not be modeled in a given release.</w:t>
      </w:r>
      <w:r>
        <w:t xml:space="preserve"> </w:t>
      </w:r>
      <w:hyperlink r:id="rId26">
        <w:r>
          <w:rPr>
            <w:rStyle w:val="Hyperlink"/>
          </w:rPr>
          <w:t xml:space="preserve">[5]</w:t>
        </w:r>
      </w:hyperlink>
    </w:p>
    <w:p>
      <w:pPr>
        <w:pStyle w:val="BodyText"/>
      </w:pPr>
      <w:r>
        <w:t xml:space="preserve">At the hazard level, national earthquake hazard modeling is built around the proposition that faults, deformation, and hazard evolve—and are periodically updated as scientific understanding changes.</w:t>
      </w:r>
      <w:r>
        <w:t xml:space="preserve"> </w:t>
      </w:r>
      <w:hyperlink r:id="rId27">
        <w:r>
          <w:rPr>
            <w:rStyle w:val="Hyperlink"/>
          </w:rPr>
          <w:t xml:space="preserve">[6]</w:t>
        </w:r>
      </w:hyperlink>
    </w:p>
    <w:p>
      <w:pPr>
        <w:pStyle w:val="BodyText"/>
      </w:pPr>
      <w:r>
        <w:t xml:space="preserve">This matters because an expert witness can make a narrow but powerful point:</w:t>
      </w:r>
    </w:p>
    <w:p>
      <w:pPr>
        <w:pStyle w:val="Compact"/>
        <w:numPr>
          <w:ilvl w:val="0"/>
          <w:numId w:val="1001"/>
        </w:numPr>
      </w:pPr>
      <w:r>
        <w:t xml:space="preserve">You may have sampled nonlinearity well,</w:t>
      </w:r>
      <w:r>
        <w:t xml:space="preserve"> </w:t>
      </w:r>
      <w:r>
        <w:rPr>
          <w:b/>
          <w:bCs/>
        </w:rPr>
        <w:t xml:space="preserve">conditional on</w:t>
      </w:r>
      <w:r>
        <w:t xml:space="preserve"> </w:t>
      </w:r>
      <w:r>
        <w:t xml:space="preserve">your deformation model class.</w:t>
      </w:r>
    </w:p>
    <w:p>
      <w:pPr>
        <w:pStyle w:val="Compact"/>
        <w:numPr>
          <w:ilvl w:val="0"/>
          <w:numId w:val="1001"/>
        </w:numPr>
      </w:pPr>
      <w:r>
        <w:t xml:space="preserve">If the true world includes a discontinuity class not in your model family (local subsidence, localized fault creep, infrastructure settling, etc.), neither UT nor MC protects you unless you represented that class.</w:t>
      </w:r>
      <w:r>
        <w:t xml:space="preserve"> </w:t>
      </w:r>
      <w:hyperlink r:id="rId21">
        <w:r>
          <w:rPr>
            <w:rStyle w:val="Hyperlink"/>
          </w:rPr>
          <w:t xml:space="preserve">[7]</w:t>
        </w:r>
      </w:hyperlink>
    </w:p>
    <w:bookmarkEnd w:id="28"/>
    <w:bookmarkStart w:id="30" w:name="Xe6f7779e138f2cc491c82707a52649472499e7c"/>
    <w:p>
      <w:pPr>
        <w:pStyle w:val="Heading3"/>
      </w:pPr>
      <w:r>
        <w:t xml:space="preserve">Practical mitigation that actually addresses the critique</w:t>
      </w:r>
    </w:p>
    <w:p>
      <w:pPr>
        <w:pStyle w:val="FirstParagraph"/>
      </w:pPr>
      <w:r>
        <w:t xml:space="preserve">The defensible move is not to promise “elimination,” but to formalize</w:t>
      </w:r>
      <w:r>
        <w:t xml:space="preserve"> </w:t>
      </w:r>
      <w:r>
        <w:rPr>
          <w:b/>
          <w:bCs/>
        </w:rPr>
        <w:t xml:space="preserve">residual model risk</w:t>
      </w:r>
      <w:r>
        <w:t xml:space="preserve"> </w:t>
      </w:r>
      <w:r>
        <w:t xml:space="preserve">and show you took reasonable steps:</w:t>
      </w:r>
    </w:p>
    <w:p>
      <w:pPr>
        <w:pStyle w:val="Compact"/>
        <w:numPr>
          <w:ilvl w:val="0"/>
          <w:numId w:val="1002"/>
        </w:numPr>
      </w:pPr>
      <w:r>
        <w:t xml:space="preserve">Treat deformation as a</w:t>
      </w:r>
      <w:r>
        <w:t xml:space="preserve"> </w:t>
      </w:r>
      <w:r>
        <w:rPr>
          <w:b/>
          <w:bCs/>
        </w:rPr>
        <w:t xml:space="preserve">hybrid uncertainty object</w:t>
      </w:r>
      <w:r>
        <w:t xml:space="preserve">: a continuous component (velocity field / plate motion) plus explicitly enumerated discrete regimes (earthquake offsets, known subsidence basins, known mining/groundwater extraction zones, construction settlement zones). The existence of embedded earthquake models in time-dependent tooling is a precedent for this hybrid framing.</w:t>
      </w:r>
      <w:r>
        <w:t xml:space="preserve"> </w:t>
      </w:r>
      <w:hyperlink r:id="rId29">
        <w:r>
          <w:rPr>
            <w:rStyle w:val="Hyperlink"/>
          </w:rPr>
          <w:t xml:space="preserve">[8]</w:t>
        </w:r>
      </w:hyperlink>
    </w:p>
    <w:p>
      <w:pPr>
        <w:pStyle w:val="Compact"/>
        <w:numPr>
          <w:ilvl w:val="0"/>
          <w:numId w:val="1002"/>
        </w:numPr>
      </w:pPr>
      <w:r>
        <w:t xml:space="preserve">Use</w:t>
      </w:r>
      <w:r>
        <w:t xml:space="preserve"> </w:t>
      </w:r>
      <w:r>
        <w:rPr>
          <w:b/>
          <w:bCs/>
        </w:rPr>
        <w:t xml:space="preserve">change-point detection</w:t>
      </w:r>
      <w:r>
        <w:t xml:space="preserve"> </w:t>
      </w:r>
      <w:r>
        <w:t xml:space="preserve">or “event gating” in the pipeline: if a project epoch intersects an event window (earthquake, declared subsidence alert, GNSS interference region), your uncertainty propagator must switch to a distribution class that can express step-like behavior (e.g., mixture components or scenario sets). The legal goal is to show you did not implicitly collapse the world into a Gaussian.</w:t>
      </w:r>
      <w:r>
        <w:t xml:space="preserve"> </w:t>
      </w:r>
      <w:hyperlink r:id="rId27">
        <w:r>
          <w:rPr>
            <w:rStyle w:val="Hyperlink"/>
          </w:rPr>
          <w:t xml:space="preserve">[9]</w:t>
        </w:r>
      </w:hyperlink>
    </w:p>
    <w:p>
      <w:pPr>
        <w:pStyle w:val="Compact"/>
        <w:numPr>
          <w:ilvl w:val="0"/>
          <w:numId w:val="1002"/>
        </w:numPr>
      </w:pPr>
      <w:r>
        <w:t xml:space="preserve">Explicitly document that MC/UT analysis is</w:t>
      </w:r>
      <w:r>
        <w:t xml:space="preserve"> </w:t>
      </w:r>
      <w:r>
        <w:rPr>
          <w:b/>
          <w:bCs/>
        </w:rPr>
        <w:t xml:space="preserve">conditional</w:t>
      </w:r>
      <w:r>
        <w:t xml:space="preserve"> </w:t>
      </w:r>
      <w:r>
        <w:t xml:space="preserve">and that discontinuity families are handled by scenario injection, not by pretending moment propagation is sufficient. That is the kind of epistemic bookkeeping an expert has difficulty criticizing as “dishonest,” even if they disagree on completeness.</w:t>
      </w:r>
    </w:p>
    <w:bookmarkEnd w:id="30"/>
    <w:bookmarkEnd w:id="31"/>
    <w:bookmarkStart w:id="39" w:name="X0bb2d2710fe91fd2eb0b0d22dea236b13f84b91"/>
    <w:p>
      <w:pPr>
        <w:pStyle w:val="Heading2"/>
      </w:pPr>
      <w:r>
        <w:t xml:space="preserve">Determinism, escrow semantics, and “which output is authoritative”</w:t>
      </w:r>
    </w:p>
    <w:bookmarkStart w:id="34" w:name="X91f7f80bdb787feeb46fc2ad7e3125208d4e0c7"/>
    <w:p>
      <w:pPr>
        <w:pStyle w:val="Heading3"/>
      </w:pPr>
      <w:r>
        <w:t xml:space="preserve">Why the CPU-vs-GPU split is not a minor engineering detail</w:t>
      </w:r>
    </w:p>
    <w:p>
      <w:pPr>
        <w:pStyle w:val="FirstParagraph"/>
      </w:pPr>
      <w:r>
        <w:t xml:space="preserve">Your “SoftFloat escrow” critique lines up with a well-documented property of high-performance numerics: floating-point results depend on</w:t>
      </w:r>
      <w:r>
        <w:t xml:space="preserve"> </w:t>
      </w:r>
      <w:r>
        <w:rPr>
          <w:b/>
          <w:bCs/>
        </w:rPr>
        <w:t xml:space="preserve">implementation choices</w:t>
      </w:r>
      <w:r>
        <w:t xml:space="preserve"> </w:t>
      </w:r>
      <w:r>
        <w:t xml:space="preserve">such as fused multiply-add usage and the</w:t>
      </w:r>
      <w:r>
        <w:t xml:space="preserve"> </w:t>
      </w:r>
      <w:r>
        <w:rPr>
          <w:b/>
          <w:bCs/>
        </w:rPr>
        <w:t xml:space="preserve">order of reductions</w:t>
      </w:r>
      <w:r>
        <w:t xml:space="preserve">, and GPU execution intensifies this because parallel reductions and scheduling restructure parenthesization.</w:t>
      </w:r>
      <w:r>
        <w:t xml:space="preserve"> </w:t>
      </w:r>
      <w:hyperlink r:id="rId32">
        <w:r>
          <w:rPr>
            <w:rStyle w:val="Hyperlink"/>
          </w:rPr>
          <w:t xml:space="preserve">[10]</w:t>
        </w:r>
      </w:hyperlink>
    </w:p>
    <w:p>
      <w:pPr>
        <w:pStyle w:val="BodyText"/>
      </w:pPr>
      <w:r>
        <w:t xml:space="preserve">In ML inference specifically,</w:t>
      </w:r>
      <w:r>
        <w:t xml:space="preserve"> </w:t>
      </w:r>
      <w:r>
        <w:rPr>
          <w:b/>
          <w:bCs/>
        </w:rPr>
        <w:t xml:space="preserve">bitwise identical parity between frameworks and accelerators is often not a practical expectation</w:t>
      </w:r>
      <w:r>
        <w:t xml:space="preserve">, even at FP32, because engines (e.g., acceleration backends) change operator fusion and evaluation order.</w:t>
      </w:r>
      <w:r>
        <w:t xml:space="preserve"> </w:t>
      </w:r>
      <w:hyperlink r:id="rId33">
        <w:r>
          <w:rPr>
            <w:rStyle w:val="Hyperlink"/>
          </w:rPr>
          <w:t xml:space="preserve">[11]</w:t>
        </w:r>
      </w:hyperlink>
    </w:p>
    <w:p>
      <w:pPr>
        <w:pStyle w:val="BodyText"/>
      </w:pPr>
      <w:r>
        <w:t xml:space="preserve">So if production output is “GPU plan” and escrow output is “CPU SoftFloat in WASM,” the system has two different mathematical machines. Absent a written rule, your chain-of-custody is ambiguous.</w:t>
      </w:r>
    </w:p>
    <w:bookmarkEnd w:id="34"/>
    <w:bookmarkStart w:id="36" w:name="X82229aef98e10ff3fc1e67bb8fd82a9861ada9f"/>
    <w:p>
      <w:pPr>
        <w:pStyle w:val="Heading3"/>
      </w:pPr>
      <w:r>
        <w:t xml:space="preserve">What WebAssembly and SoftFloat do—and don’t—solve</w:t>
      </w:r>
    </w:p>
    <w:p>
      <w:pPr>
        <w:pStyle w:val="FirstParagraph"/>
      </w:pPr>
      <w:r>
        <w:t xml:space="preserve">The</w:t>
      </w:r>
      <w:r>
        <w:t xml:space="preserve"> </w:t>
      </w:r>
      <w:r>
        <w:rPr>
          <w:b/>
          <w:bCs/>
        </w:rPr>
        <w:t xml:space="preserve">WebAssembly</w:t>
      </w:r>
      <w:r>
        <w:t xml:space="preserve"> </w:t>
      </w:r>
      <w:r>
        <w:t xml:space="preserve">core spec describes floating-point behavior and also highlights</w:t>
      </w:r>
      <w:r>
        <w:t xml:space="preserve"> </w:t>
      </w:r>
      <w:r>
        <w:rPr>
          <w:b/>
          <w:bCs/>
        </w:rPr>
        <w:t xml:space="preserve">NaN nondeterminism</w:t>
      </w:r>
      <w:r>
        <w:t xml:space="preserve"> </w:t>
      </w:r>
      <w:r>
        <w:t xml:space="preserve">in mainstream semantics, with a deterministic profile concept discussed to constrain NaN behavior.</w:t>
      </w:r>
      <w:r>
        <w:t xml:space="preserve"> </w:t>
      </w:r>
      <w:hyperlink r:id="rId22">
        <w:r>
          <w:rPr>
            <w:rStyle w:val="Hyperlink"/>
          </w:rPr>
          <w:t xml:space="preserve">[12]</w:t>
        </w:r>
      </w:hyperlink>
    </w:p>
    <w:p>
      <w:pPr>
        <w:pStyle w:val="BodyText"/>
      </w:pPr>
      <w:r>
        <w:rPr>
          <w:b/>
          <w:bCs/>
        </w:rPr>
        <w:t xml:space="preserve">SoftFloat</w:t>
      </w:r>
      <w:r>
        <w:t xml:space="preserve"> </w:t>
      </w:r>
      <w:r>
        <w:t xml:space="preserve">is an IEEE-754-oriented software implementation, and its own documentation/literature includes historical bug notes and the reality that some operations (e.g., correct rounding) are nontrivial and can be defect-prone in implementations.</w:t>
      </w:r>
      <w:r>
        <w:t xml:space="preserve"> </w:t>
      </w:r>
      <w:hyperlink r:id="rId35">
        <w:r>
          <w:rPr>
            <w:rStyle w:val="Hyperlink"/>
          </w:rPr>
          <w:t xml:space="preserve">[13]</w:t>
        </w:r>
      </w:hyperlink>
    </w:p>
    <w:p>
      <w:pPr>
        <w:pStyle w:val="BodyText"/>
      </w:pPr>
      <w:r>
        <w:t xml:space="preserve">SoftFloat can be a strong reproducibility anchor, but it is not metaphysical certainty. It is a</w:t>
      </w:r>
      <w:r>
        <w:t xml:space="preserve"> </w:t>
      </w:r>
      <w:r>
        <w:rPr>
          <w:i/>
          <w:iCs/>
        </w:rPr>
        <w:t xml:space="preserve">different executable specification</w:t>
      </w:r>
      <w:r>
        <w:t xml:space="preserve"> </w:t>
      </w:r>
      <w:r>
        <w:t xml:space="preserve">whose legal status must be made explicit.</w:t>
      </w:r>
    </w:p>
    <w:bookmarkEnd w:id="36"/>
    <w:bookmarkStart w:id="38" w:name="the-rule-you-need-stated-like-a-contract"/>
    <w:p>
      <w:pPr>
        <w:pStyle w:val="Heading3"/>
      </w:pPr>
      <w:r>
        <w:t xml:space="preserve">The rule you need, stated like a contract</w:t>
      </w:r>
    </w:p>
    <w:p>
      <w:pPr>
        <w:pStyle w:val="FirstParagraph"/>
      </w:pPr>
      <w:r>
        <w:t xml:space="preserve">A defensible policy is:</w:t>
      </w:r>
    </w:p>
    <w:p>
      <w:pPr>
        <w:pStyle w:val="Compact"/>
        <w:numPr>
          <w:ilvl w:val="0"/>
          <w:numId w:val="1003"/>
        </w:numPr>
      </w:pPr>
      <w:r>
        <w:rPr>
          <w:b/>
          <w:bCs/>
        </w:rPr>
        <w:t xml:space="preserve">Authoritative Output = Escrow Path Output</w:t>
      </w:r>
    </w:p>
    <w:p>
      <w:pPr>
        <w:pStyle w:val="Compact"/>
        <w:numPr>
          <w:ilvl w:val="0"/>
          <w:numId w:val="1003"/>
        </w:numPr>
      </w:pPr>
      <w:r>
        <w:rPr>
          <w:b/>
          <w:bCs/>
        </w:rPr>
        <w:t xml:space="preserve">Accelerator Output = Non-authoritative performance optimization; must be measured against escrow tolerances</w:t>
      </w:r>
    </w:p>
    <w:p>
      <w:pPr>
        <w:pStyle w:val="FirstParagraph"/>
      </w:pPr>
      <w:r>
        <w:t xml:space="preserve">This is not merely preference; it resolves the ambiguity your critique highlights and aligns with the observed reality that accelerator engines can produce small numeric differences.</w:t>
      </w:r>
      <w:r>
        <w:t xml:space="preserve"> </w:t>
      </w:r>
      <w:hyperlink r:id="rId33">
        <w:r>
          <w:rPr>
            <w:rStyle w:val="Hyperlink"/>
          </w:rPr>
          <w:t xml:space="preserve">[14]</w:t>
        </w:r>
      </w:hyperlink>
    </w:p>
    <w:p>
      <w:pPr>
        <w:pStyle w:val="BodyText"/>
      </w:pPr>
      <w:r>
        <w:t xml:space="preserve">Two corollaries make it operationally credible:</w:t>
      </w:r>
    </w:p>
    <w:p>
      <w:pPr>
        <w:pStyle w:val="Compact"/>
        <w:numPr>
          <w:ilvl w:val="0"/>
          <w:numId w:val="1004"/>
        </w:numPr>
      </w:pPr>
      <w:r>
        <w:t xml:space="preserve">Define a</w:t>
      </w:r>
      <w:r>
        <w:t xml:space="preserve"> </w:t>
      </w:r>
      <w:r>
        <w:rPr>
          <w:b/>
          <w:bCs/>
        </w:rPr>
        <w:t xml:space="preserve">numerical equivalence spec</w:t>
      </w:r>
      <w:r>
        <w:t xml:space="preserve"> </w:t>
      </w:r>
      <w:r>
        <w:t xml:space="preserve">(tolerances, units, and acceptance tests) when GPU output is used for interactive workflows, and require the final certified deliverable to be regenerated on the escrow path for signing. The claim “we don’t expect bitwise identity” is documented in accelerator guidance; your job is to say “we sign escrow.”</w:t>
      </w:r>
      <w:r>
        <w:t xml:space="preserve"> </w:t>
      </w:r>
      <w:hyperlink r:id="rId33">
        <w:r>
          <w:rPr>
            <w:rStyle w:val="Hyperlink"/>
          </w:rPr>
          <w:t xml:space="preserve">[14]</w:t>
        </w:r>
      </w:hyperlink>
    </w:p>
    <w:p>
      <w:pPr>
        <w:pStyle w:val="Compact"/>
        <w:numPr>
          <w:ilvl w:val="0"/>
          <w:numId w:val="1004"/>
        </w:numPr>
      </w:pPr>
      <w:r>
        <w:t xml:space="preserve">Treat randomization as part of reproducibility: if any stochastic element remains (sampling, dropout, nondeterministic kernels), lock it under reproducible PRNG policy. NIST’s guidance on deterministic random-bit generation is the kind of reference that signals seriousness about repeatability.</w:t>
      </w:r>
      <w:r>
        <w:t xml:space="preserve"> </w:t>
      </w:r>
      <w:hyperlink r:id="rId37">
        <w:r>
          <w:rPr>
            <w:rStyle w:val="Hyperlink"/>
          </w:rPr>
          <w:t xml:space="preserve">[15]</w:t>
        </w:r>
      </w:hyperlink>
    </w:p>
    <w:bookmarkEnd w:id="38"/>
    <w:bookmarkEnd w:id="39"/>
    <w:bookmarkStart w:id="48" w:name="X96a1582d52631844e8a1a6669712dedff2edb54"/>
    <w:p>
      <w:pPr>
        <w:pStyle w:val="Heading2"/>
      </w:pPr>
      <w:r>
        <w:t xml:space="preserve">Positional standards are not semantic standards, and domain shift makes thresholds decay</w:t>
      </w:r>
    </w:p>
    <w:bookmarkStart w:id="42" w:name="X6020c443e48df8b6aca42c0e9dea2b1984d271f"/>
    <w:p>
      <w:pPr>
        <w:pStyle w:val="Heading3"/>
      </w:pPr>
      <w:r>
        <w:t xml:space="preserve">The standards mismatch is real and supported by the standards bodies’ own language</w:t>
      </w:r>
    </w:p>
    <w:p>
      <w:pPr>
        <w:pStyle w:val="FirstParagraph"/>
      </w:pPr>
      <w:r>
        <w:t xml:space="preserve">The positional accuracy standards you referenced are explicitly about</w:t>
      </w:r>
      <w:r>
        <w:t xml:space="preserve"> </w:t>
      </w:r>
      <w:r>
        <w:rPr>
          <w:b/>
          <w:bCs/>
        </w:rPr>
        <w:t xml:space="preserve">positional</w:t>
      </w:r>
      <w:r>
        <w:t xml:space="preserve"> </w:t>
      </w:r>
      <w:r>
        <w:t xml:space="preserve">error (RMSE-based classes for horizontal/vertical, confidence reporting, etc.).</w:t>
      </w:r>
      <w:r>
        <w:t xml:space="preserve"> </w:t>
      </w:r>
      <w:hyperlink r:id="rId40">
        <w:r>
          <w:rPr>
            <w:rStyle w:val="Hyperlink"/>
          </w:rPr>
          <w:t xml:space="preserve">[16]</w:t>
        </w:r>
      </w:hyperlink>
    </w:p>
    <w:p>
      <w:pPr>
        <w:pStyle w:val="BodyText"/>
      </w:pPr>
      <w:r>
        <w:t xml:space="preserve">Meanwhile, the</w:t>
      </w:r>
      <w:r>
        <w:t xml:space="preserve"> </w:t>
      </w:r>
      <w:r>
        <w:rPr>
          <w:b/>
          <w:bCs/>
        </w:rPr>
        <w:t xml:space="preserve">USGS</w:t>
      </w:r>
      <w:r>
        <w:t xml:space="preserve"> </w:t>
      </w:r>
      <w:r>
        <w:t xml:space="preserve">lidar specification is explicit that point classification is required to follow a minimum scheme—and it also states that accuracy for classification beyond the minimum scheme is</w:t>
      </w:r>
      <w:r>
        <w:t xml:space="preserve"> </w:t>
      </w:r>
      <w:r>
        <w:rPr>
          <w:b/>
          <w:bCs/>
        </w:rPr>
        <w:t xml:space="preserve">not assessed by USGS</w:t>
      </w:r>
      <w:r>
        <w:t xml:space="preserve"> </w:t>
      </w:r>
      <w:r>
        <w:t xml:space="preserve">and becomes the partner’s responsibility.</w:t>
      </w:r>
      <w:r>
        <w:t xml:space="preserve"> </w:t>
      </w:r>
      <w:hyperlink r:id="rId41">
        <w:r>
          <w:rPr>
            <w:rStyle w:val="Hyperlink"/>
          </w:rPr>
          <w:t xml:space="preserve">[17]</w:t>
        </w:r>
      </w:hyperlink>
    </w:p>
    <w:p>
      <w:pPr>
        <w:pStyle w:val="BodyText"/>
      </w:pPr>
      <w:r>
        <w:t xml:space="preserve">That is effectively institutional confirmation of your critique: positional standards do not automatically become semantic standards.</w:t>
      </w:r>
    </w:p>
    <w:bookmarkEnd w:id="42"/>
    <w:bookmarkStart w:id="46" w:name="X8163e8af18047c1d46894c47023619e196111bf"/>
    <w:p>
      <w:pPr>
        <w:pStyle w:val="Heading3"/>
      </w:pPr>
      <w:r>
        <w:t xml:space="preserve">The calibration problem is not “solved” by ROC once</w:t>
      </w:r>
    </w:p>
    <w:p>
      <w:pPr>
        <w:pStyle w:val="FirstParagraph"/>
      </w:pPr>
      <w:r>
        <w:t xml:space="preserve">A ROC-derived threshold is better than a magic number, but it assumes that:</w:t>
      </w:r>
    </w:p>
    <w:p>
      <w:pPr>
        <w:pStyle w:val="Compact"/>
        <w:numPr>
          <w:ilvl w:val="0"/>
          <w:numId w:val="1005"/>
        </w:numPr>
      </w:pPr>
      <w:r>
        <w:t xml:space="preserve">the score distribution remains stable, and</w:t>
      </w:r>
    </w:p>
    <w:p>
      <w:pPr>
        <w:pStyle w:val="Compact"/>
        <w:numPr>
          <w:ilvl w:val="0"/>
          <w:numId w:val="1005"/>
        </w:numPr>
      </w:pPr>
      <w:r>
        <w:t xml:space="preserve">the relationship between confidence and correctness is calibrated.</w:t>
      </w:r>
    </w:p>
    <w:p>
      <w:pPr>
        <w:pStyle w:val="FirstParagraph"/>
      </w:pPr>
      <w:r>
        <w:t xml:space="preserve">Modern models are often miscalibrated, and post-hoc calibration (e.g., temperature scaling) is commonly required to make probabilities behave like probabilities.</w:t>
      </w:r>
      <w:r>
        <w:t xml:space="preserve"> </w:t>
      </w:r>
      <w:hyperlink r:id="rId43">
        <w:r>
          <w:rPr>
            <w:rStyle w:val="Hyperlink"/>
          </w:rPr>
          <w:t xml:space="preserve">[18]</w:t>
        </w:r>
      </w:hyperlink>
    </w:p>
    <w:p>
      <w:pPr>
        <w:pStyle w:val="BodyText"/>
      </w:pPr>
      <w:r>
        <w:t xml:space="preserve">Even worse, calibration can fail under</w:t>
      </w:r>
      <w:r>
        <w:t xml:space="preserve"> </w:t>
      </w:r>
      <w:r>
        <w:rPr>
          <w:b/>
          <w:bCs/>
        </w:rPr>
        <w:t xml:space="preserve">dataset shift</w:t>
      </w:r>
      <w:r>
        <w:t xml:space="preserve">—the formal umbrella for “training population differs from deployment population,” which is common in geospatial reality (sensor swaps, seasonal vegetation, new scan angles, different terrain morphology).</w:t>
      </w:r>
      <w:r>
        <w:t xml:space="preserve"> </w:t>
      </w:r>
      <w:hyperlink r:id="rId44">
        <w:r>
          <w:rPr>
            <w:rStyle w:val="Hyperlink"/>
          </w:rPr>
          <w:t xml:space="preserve">[19]</w:t>
        </w:r>
      </w:hyperlink>
    </w:p>
    <w:p>
      <w:pPr>
        <w:pStyle w:val="BodyText"/>
      </w:pPr>
      <w:r>
        <w:t xml:space="preserve">Conformal prediction provides distribution-free coverage guarantees only under exchangeability / same-distribution conditions; it explicitly does not guarantee coverage once the population shifts. That becomes a useful legal point: you can adopt tools with explicit assumptions and document when they apply.</w:t>
      </w:r>
      <w:r>
        <w:t xml:space="preserve"> </w:t>
      </w:r>
      <w:hyperlink r:id="rId45">
        <w:r>
          <w:rPr>
            <w:rStyle w:val="Hyperlink"/>
          </w:rPr>
          <w:t xml:space="preserve">[20]</w:t>
        </w:r>
      </w:hyperlink>
    </w:p>
    <w:bookmarkEnd w:id="46"/>
    <w:bookmarkStart w:id="47" w:name="Xefa620678d38a9e69cb33433b7384b9619f2182"/>
    <w:p>
      <w:pPr>
        <w:pStyle w:val="Heading3"/>
      </w:pPr>
      <w:r>
        <w:t xml:space="preserve">What a defensible thresholding regime looks like</w:t>
      </w:r>
    </w:p>
    <w:p>
      <w:pPr>
        <w:pStyle w:val="FirstParagraph"/>
      </w:pPr>
      <w:r>
        <w:t xml:space="preserve">A credible architecture separates:</w:t>
      </w:r>
    </w:p>
    <w:p>
      <w:pPr>
        <w:pStyle w:val="Compact"/>
        <w:numPr>
          <w:ilvl w:val="0"/>
          <w:numId w:val="1006"/>
        </w:numPr>
      </w:pPr>
      <w:r>
        <w:rPr>
          <w:b/>
          <w:bCs/>
        </w:rPr>
        <w:t xml:space="preserve">Positional conformance</w:t>
      </w:r>
      <w:r>
        <w:t xml:space="preserve">: RMSE/HVA/VVA reporting and checkpoint methodology (standards-driven).</w:t>
      </w:r>
      <w:r>
        <w:t xml:space="preserve"> </w:t>
      </w:r>
      <w:hyperlink r:id="rId41">
        <w:r>
          <w:rPr>
            <w:rStyle w:val="Hyperlink"/>
          </w:rPr>
          <w:t xml:space="preserve">[21]</w:t>
        </w:r>
      </w:hyperlink>
    </w:p>
    <w:p>
      <w:pPr>
        <w:pStyle w:val="Compact"/>
        <w:numPr>
          <w:ilvl w:val="0"/>
          <w:numId w:val="1006"/>
        </w:numPr>
      </w:pPr>
      <w:r>
        <w:rPr>
          <w:b/>
          <w:bCs/>
        </w:rPr>
        <w:t xml:space="preserve">Semantic conformance</w:t>
      </w:r>
      <w:r>
        <w:t xml:space="preserve">: confusion matrices by feature class and terrain class, stratified by regime (vegetated/non-vegetated, urban/rural, canyon/flat). The USGS document structure already pushes you to report land-cover-stratified accuracy (e.g., vegetated vs non-vegetated vertical accuracy).</w:t>
      </w:r>
      <w:r>
        <w:t xml:space="preserve"> </w:t>
      </w:r>
      <w:hyperlink r:id="rId41">
        <w:r>
          <w:rPr>
            <w:rStyle w:val="Hyperlink"/>
          </w:rPr>
          <w:t xml:space="preserve">[21]</w:t>
        </w:r>
      </w:hyperlink>
    </w:p>
    <w:p>
      <w:pPr>
        <w:pStyle w:val="FirstParagraph"/>
      </w:pPr>
      <w:r>
        <w:t xml:space="preserve">Then, tie thresholds to</w:t>
      </w:r>
      <w:r>
        <w:t xml:space="preserve"> </w:t>
      </w:r>
      <w:r>
        <w:rPr>
          <w:b/>
          <w:bCs/>
        </w:rPr>
        <w:t xml:space="preserve">ongoing revalidation</w:t>
      </w:r>
      <w:r>
        <w:t xml:space="preserve">, not to a one-time ROC:</w:t>
      </w:r>
    </w:p>
    <w:p>
      <w:pPr>
        <w:pStyle w:val="Compact"/>
        <w:numPr>
          <w:ilvl w:val="0"/>
          <w:numId w:val="1007"/>
        </w:numPr>
      </w:pPr>
      <w:r>
        <w:t xml:space="preserve">Maintain “threshold validity windows” by sensor model, season, region, and workflow configuration; formally treat older thresholds as expired under detected drift (the same “dataset shift” logic the literature warns about).</w:t>
      </w:r>
      <w:r>
        <w:t xml:space="preserve"> </w:t>
      </w:r>
      <w:hyperlink r:id="rId44">
        <w:r>
          <w:rPr>
            <w:rStyle w:val="Hyperlink"/>
          </w:rPr>
          <w:t xml:space="preserve">[19]</w:t>
        </w:r>
      </w:hyperlink>
    </w:p>
    <w:p>
      <w:pPr>
        <w:pStyle w:val="Compact"/>
        <w:numPr>
          <w:ilvl w:val="0"/>
          <w:numId w:val="1007"/>
        </w:numPr>
      </w:pPr>
      <w:r>
        <w:t xml:space="preserve">If you must map semantic confidence to positional tolerance (your original move), make that mapping an</w:t>
      </w:r>
      <w:r>
        <w:t xml:space="preserve"> </w:t>
      </w:r>
      <w:r>
        <w:rPr>
          <w:b/>
          <w:bCs/>
        </w:rPr>
        <w:t xml:space="preserve">empirical contract artifact</w:t>
      </w:r>
      <w:r>
        <w:t xml:space="preserve">: a field-validated calibration report referencing the specific equipment, terrain strata, and epochs used.</w:t>
      </w:r>
    </w:p>
    <w:bookmarkEnd w:id="47"/>
    <w:bookmarkEnd w:id="48"/>
    <w:bookmarkStart w:id="55" w:name="Xd6fe8bf0d9893c71fafa56fc6210d50323703df"/>
    <w:p>
      <w:pPr>
        <w:pStyle w:val="Heading2"/>
      </w:pPr>
      <w:r>
        <w:t xml:space="preserve">Adversarial reality: fingerprints raise the bar, but do not remove the threat</w:t>
      </w:r>
    </w:p>
    <w:bookmarkStart w:id="51" w:name="X3b64780c0bc842ce1f1e72541d042bc648869ea"/>
    <w:p>
      <w:pPr>
        <w:pStyle w:val="Heading3"/>
      </w:pPr>
      <w:r>
        <w:t xml:space="preserve">GNSS and PNT manipulation is a recognized critical-infrastructure risk</w:t>
      </w:r>
    </w:p>
    <w:p>
      <w:pPr>
        <w:pStyle w:val="FirstParagraph"/>
      </w:pPr>
      <w:r>
        <w:t xml:space="preserve">A foundational problem in surveying automation is that your entire geospatial truth chain depends on positioning/timing integrity.</w:t>
      </w:r>
      <w:r>
        <w:t xml:space="preserve"> </w:t>
      </w:r>
      <w:r>
        <w:rPr>
          <w:b/>
          <w:bCs/>
        </w:rPr>
        <w:t xml:space="preserve">GPS/GNSS jamming and spoofing</w:t>
      </w:r>
      <w:r>
        <w:t xml:space="preserve"> </w:t>
      </w:r>
      <w:r>
        <w:t xml:space="preserve">are explicitly treated as risks to critical infrastructure, with formal guidance focusing on detection and risk management rather than any promise of elimination.</w:t>
      </w:r>
      <w:r>
        <w:t xml:space="preserve"> </w:t>
      </w:r>
      <w:hyperlink r:id="rId49">
        <w:r>
          <w:rPr>
            <w:rStyle w:val="Hyperlink"/>
          </w:rPr>
          <w:t xml:space="preserve">[22]</w:t>
        </w:r>
      </w:hyperlink>
    </w:p>
    <w:p>
      <w:pPr>
        <w:pStyle w:val="BodyText"/>
      </w:pPr>
      <w:r>
        <w:t xml:space="preserve">Recent government work includes toolsets for testing resilience under spoofing scenarios—evidence that “signal simulation” is not speculative; it is an operational capability.</w:t>
      </w:r>
      <w:r>
        <w:t xml:space="preserve"> </w:t>
      </w:r>
      <w:hyperlink r:id="rId50">
        <w:r>
          <w:rPr>
            <w:rStyle w:val="Hyperlink"/>
          </w:rPr>
          <w:t xml:space="preserve">[23]</w:t>
        </w:r>
      </w:hyperlink>
    </w:p>
    <w:bookmarkEnd w:id="51"/>
    <w:bookmarkStart w:id="53" w:name="Xfa293aafee816ab0d0f4fe2a220a96ef7c45193"/>
    <w:p>
      <w:pPr>
        <w:pStyle w:val="Heading3"/>
      </w:pPr>
      <w:r>
        <w:t xml:space="preserve">Fingerprinting works—until the adversary targets the fingerprint</w:t>
      </w:r>
    </w:p>
    <w:p>
      <w:pPr>
        <w:pStyle w:val="FirstParagraph"/>
      </w:pPr>
      <w:r>
        <w:t xml:space="preserve">There is active research proposing GNSS receiver fingerprinting based on clock behavior/noise.</w:t>
      </w:r>
      <w:r>
        <w:t xml:space="preserve"> </w:t>
      </w:r>
      <w:hyperlink r:id="rId52">
        <w:r>
          <w:rPr>
            <w:rStyle w:val="Hyperlink"/>
          </w:rPr>
          <w:t xml:space="preserve">[24]</w:t>
        </w:r>
      </w:hyperlink>
    </w:p>
    <w:p>
      <w:pPr>
        <w:pStyle w:val="BodyText"/>
      </w:pPr>
      <w:r>
        <w:t xml:space="preserve">But there is also substantial security literature showing that</w:t>
      </w:r>
      <w:r>
        <w:t xml:space="preserve"> </w:t>
      </w:r>
      <w:r>
        <w:rPr>
          <w:b/>
          <w:bCs/>
        </w:rPr>
        <w:t xml:space="preserve">clock-skew-based fingerprints can be spoofed</w:t>
      </w:r>
      <w:r>
        <w:t xml:space="preserve"> </w:t>
      </w:r>
      <w:r>
        <w:t xml:space="preserve">and that naive approaches have known deficiencies that attackers can exploit. citeturn8search4turn8search3</w:t>
      </w:r>
    </w:p>
    <w:p>
      <w:pPr>
        <w:pStyle w:val="BodyText"/>
      </w:pPr>
      <w:r>
        <w:t xml:space="preserve">This is essentially your point: fingerprinting shifts the contest from “amateur fraud” to “adversary with capability,” unless you bind the fingerprint to something the attacker cannot emulate.</w:t>
      </w:r>
    </w:p>
    <w:bookmarkEnd w:id="53"/>
    <w:bookmarkStart w:id="54" w:name="X8a188fe1a7d132baf80ebfcfed075f1d6d4335b"/>
    <w:p>
      <w:pPr>
        <w:pStyle w:val="Heading3"/>
      </w:pPr>
      <w:r>
        <w:t xml:space="preserve">The defensible claim and the architecture implication</w:t>
      </w:r>
    </w:p>
    <w:p>
      <w:pPr>
        <w:pStyle w:val="FirstParagraph"/>
      </w:pPr>
      <w:r>
        <w:t xml:space="preserve">The defensible claim is:</w:t>
      </w:r>
      <w:r>
        <w:t xml:space="preserve"> </w:t>
      </w:r>
      <w:r>
        <w:rPr>
          <w:b/>
          <w:bCs/>
        </w:rPr>
        <w:t xml:space="preserve">fingerprinting is a tamper-evidence layer, not a proof of authenticity</w:t>
      </w:r>
      <w:r>
        <w:t xml:space="preserve">.</w:t>
      </w:r>
    </w:p>
    <w:p>
      <w:pPr>
        <w:pStyle w:val="BodyText"/>
      </w:pPr>
      <w:r>
        <w:t xml:space="preserve">A credible architecture layers:</w:t>
      </w:r>
    </w:p>
    <w:p>
      <w:pPr>
        <w:pStyle w:val="Compact"/>
        <w:numPr>
          <w:ilvl w:val="0"/>
          <w:numId w:val="1008"/>
        </w:numPr>
      </w:pPr>
      <w:r>
        <w:t xml:space="preserve">tamper-evidence (fingerprints, anomaly detection),</w:t>
      </w:r>
    </w:p>
    <w:p>
      <w:pPr>
        <w:pStyle w:val="Compact"/>
        <w:numPr>
          <w:ilvl w:val="0"/>
          <w:numId w:val="1008"/>
        </w:numPr>
      </w:pPr>
      <w:r>
        <w:t xml:space="preserve">signal integrity checks (PNT integrity libraries / validated test vectors), and</w:t>
      </w:r>
    </w:p>
    <w:p>
      <w:pPr>
        <w:pStyle w:val="Compact"/>
        <w:numPr>
          <w:ilvl w:val="0"/>
          <w:numId w:val="1008"/>
        </w:numPr>
      </w:pPr>
      <w:r>
        <w:t xml:space="preserve">cryptographic provenance (signing, attestation, key custody).</w:t>
      </w:r>
    </w:p>
    <w:p>
      <w:pPr>
        <w:pStyle w:val="FirstParagraph"/>
      </w:pPr>
      <w:r>
        <w:t xml:space="preserve">Government guidance explicitly frames the problem as risk management through detection and mitigation controls rather than a solved problem.</w:t>
      </w:r>
    </w:p>
    <w:bookmarkEnd w:id="54"/>
    <w:bookmarkEnd w:id="55"/>
    <w:bookmarkStart w:id="62" w:name="X61265f59ac62076be205c20ba4f4805dfaeff01"/>
    <w:p>
      <w:pPr>
        <w:pStyle w:val="Heading2"/>
      </w:pPr>
      <w:r>
        <w:t xml:space="preserve">Human telemetry, evidence risk, and governance as part of the “truth pipeline”</w:t>
      </w:r>
    </w:p>
    <w:bookmarkStart w:id="57" w:name="X12ede95d45cd90b2037bbe0035581a27632e182"/>
    <w:p>
      <w:pPr>
        <w:pStyle w:val="Heading3"/>
      </w:pPr>
      <w:r>
        <w:t xml:space="preserve">Why behavioral logging creates a new liability surface</w:t>
      </w:r>
    </w:p>
    <w:p>
      <w:pPr>
        <w:pStyle w:val="FirstParagraph"/>
      </w:pPr>
      <w:r>
        <w:t xml:space="preserve">Your point that “dwell time becomes prosecutorial evidence” is not paranoid; it is structurally plausible because telemetry is</w:t>
      </w:r>
      <w:r>
        <w:t xml:space="preserve"> </w:t>
      </w:r>
      <w:r>
        <w:rPr>
          <w:b/>
          <w:bCs/>
        </w:rPr>
        <w:t xml:space="preserve">electronically stored information</w:t>
      </w:r>
      <w:r>
        <w:t xml:space="preserve"> </w:t>
      </w:r>
      <w:r>
        <w:t xml:space="preserve">and discovery practice is built to compel production of relevant ESI that a party controls.</w:t>
      </w:r>
      <w:r>
        <w:t xml:space="preserve"> </w:t>
      </w:r>
      <w:hyperlink r:id="rId56">
        <w:r>
          <w:rPr>
            <w:rStyle w:val="Hyperlink"/>
          </w:rPr>
          <w:t xml:space="preserve">[25]</w:t>
        </w:r>
      </w:hyperlink>
    </w:p>
    <w:p>
      <w:pPr>
        <w:pStyle w:val="BodyText"/>
      </w:pPr>
      <w:r>
        <w:t xml:space="preserve">Once you collect per-user interaction traces, you are plausibly creating discoverable artifacts about professional diligence, even if you intended them as safety features.</w:t>
      </w:r>
    </w:p>
    <w:bookmarkEnd w:id="57"/>
    <w:bookmarkStart w:id="61" w:name="Xc1d77fd67624158972eb2d6682c96da2bdf74f9"/>
    <w:p>
      <w:pPr>
        <w:pStyle w:val="Heading3"/>
      </w:pPr>
      <w:r>
        <w:t xml:space="preserve">A governance pattern that keeps the benefits while reducing the blast radius</w:t>
      </w:r>
    </w:p>
    <w:p>
      <w:pPr>
        <w:pStyle w:val="FirstParagraph"/>
      </w:pPr>
      <w:r>
        <w:t xml:space="preserve">Two sets of controls line up with your governance-layer recommendation:</w:t>
      </w:r>
    </w:p>
    <w:p>
      <w:pPr>
        <w:pStyle w:val="Compact"/>
        <w:numPr>
          <w:ilvl w:val="0"/>
          <w:numId w:val="1009"/>
        </w:numPr>
      </w:pPr>
      <w:r>
        <w:t xml:space="preserve">NIST audit/accountability controls emphasize deliberate selection of logged events, rationales for adequacy, log protection, and retention planning. The “adequate to support after-the-fact investigations” logic is double-edged: it is what you want for defensibility, but it also expands what exists to be investigated.</w:t>
      </w:r>
      <w:r>
        <w:t xml:space="preserve"> </w:t>
      </w:r>
      <w:hyperlink r:id="rId58">
        <w:r>
          <w:rPr>
            <w:rStyle w:val="Hyperlink"/>
          </w:rPr>
          <w:t xml:space="preserve">[26]</w:t>
        </w:r>
      </w:hyperlink>
    </w:p>
    <w:p>
      <w:pPr>
        <w:pStyle w:val="Compact"/>
        <w:numPr>
          <w:ilvl w:val="0"/>
          <w:numId w:val="1009"/>
        </w:numPr>
      </w:pPr>
      <w:r>
        <w:t xml:space="preserve">Cross-organizational audit logging explicitly flags privacy ramifications and even describes disassociability measures, reflecting that identity-preserving logs can enable tracking/profiling.</w:t>
      </w:r>
      <w:r>
        <w:t xml:space="preserve"> </w:t>
      </w:r>
      <w:hyperlink r:id="rId59">
        <w:r>
          <w:rPr>
            <w:rStyle w:val="Hyperlink"/>
          </w:rPr>
          <w:t xml:space="preserve">[27]</w:t>
        </w:r>
      </w:hyperlink>
    </w:p>
    <w:p>
      <w:pPr>
        <w:pStyle w:val="FirstParagraph"/>
      </w:pPr>
      <w:r>
        <w:t xml:space="preserve">A defensible governance layer therefore treats UX telemetry as:</w:t>
      </w:r>
    </w:p>
    <w:p>
      <w:pPr>
        <w:pStyle w:val="Compact"/>
        <w:numPr>
          <w:ilvl w:val="0"/>
          <w:numId w:val="1010"/>
        </w:numPr>
      </w:pPr>
      <w:r>
        <w:rPr>
          <w:b/>
          <w:bCs/>
        </w:rPr>
        <w:t xml:space="preserve">minimized by design</w:t>
      </w:r>
      <w:r>
        <w:t xml:space="preserve"> </w:t>
      </w:r>
      <w:r>
        <w:t xml:space="preserve">(collect only what is necessary; avoid fine-grained behavioral surveillance unless required), and</w:t>
      </w:r>
    </w:p>
    <w:p>
      <w:pPr>
        <w:pStyle w:val="Compact"/>
        <w:numPr>
          <w:ilvl w:val="0"/>
          <w:numId w:val="1010"/>
        </w:numPr>
      </w:pPr>
      <w:r>
        <w:rPr>
          <w:b/>
          <w:bCs/>
        </w:rPr>
        <w:t xml:space="preserve">separated from evidentiary deliverable provenance</w:t>
      </w:r>
      <w:r>
        <w:t xml:space="preserve"> </w:t>
      </w:r>
      <w:r>
        <w:t xml:space="preserve">(deliverable lineage must be strong, but it can be strong without logging every micro-action).</w:t>
      </w:r>
    </w:p>
    <w:p>
      <w:pPr>
        <w:pStyle w:val="FirstParagraph"/>
      </w:pPr>
      <w:r>
        <w:t xml:space="preserve">NIST’s privacy tooling ecosystem explicitly foregrounds data minimization as an engineering practice rather than a policy slogan.</w:t>
      </w:r>
      <w:r>
        <w:t xml:space="preserve"> </w:t>
      </w:r>
      <w:hyperlink r:id="rId60">
        <w:r>
          <w:rPr>
            <w:rStyle w:val="Hyperlink"/>
          </w:rPr>
          <w:t xml:space="preserve">[28]</w:t>
        </w:r>
      </w:hyperlink>
    </w:p>
    <w:bookmarkEnd w:id="61"/>
    <w:bookmarkEnd w:id="62"/>
    <w:bookmarkStart w:id="66" w:name="X44d29673624e45025e1bc0de22a926b4747f510"/>
    <w:p>
      <w:pPr>
        <w:pStyle w:val="Heading2"/>
      </w:pPr>
      <w:r>
        <w:t xml:space="preserve">The trust anchor is institutional, not computational</w:t>
      </w:r>
    </w:p>
    <w:p>
      <w:pPr>
        <w:pStyle w:val="FirstParagraph"/>
      </w:pPr>
      <w:r>
        <w:t xml:space="preserve">Your “remaining hard problem” claim is directionally correct: if the last-mile trust anchor is compromised (key custody theft, compromised sensor firmware, spoofed base station), the epistemic chain degrades.</w:t>
      </w:r>
    </w:p>
    <w:p>
      <w:pPr>
        <w:pStyle w:val="BodyText"/>
      </w:pPr>
      <w:r>
        <w:t xml:space="preserve">Importantly, the best sources do not claim otherwise. They explicitly frame the supply chain and PNT problems as risk-management domains where it is</w:t>
      </w:r>
      <w:r>
        <w:t xml:space="preserve"> </w:t>
      </w:r>
      <w:r>
        <w:rPr>
          <w:b/>
          <w:bCs/>
        </w:rPr>
        <w:t xml:space="preserve">impossible to completely eliminate all risks</w:t>
      </w:r>
      <w:r>
        <w:t xml:space="preserve">.</w:t>
      </w:r>
      <w:r>
        <w:t xml:space="preserve"> </w:t>
      </w:r>
      <w:hyperlink r:id="rId63">
        <w:r>
          <w:rPr>
            <w:rStyle w:val="Hyperlink"/>
          </w:rPr>
          <w:t xml:space="preserve">[29]</w:t>
        </w:r>
      </w:hyperlink>
    </w:p>
    <w:p>
      <w:pPr>
        <w:pStyle w:val="BodyText"/>
      </w:pPr>
      <w:r>
        <w:t xml:space="preserve">Two governance pillars that map to your trust-anchor framing:</w:t>
      </w:r>
    </w:p>
    <w:p>
      <w:pPr>
        <w:pStyle w:val="Compact"/>
        <w:numPr>
          <w:ilvl w:val="0"/>
          <w:numId w:val="1011"/>
        </w:numPr>
      </w:pPr>
      <w:r>
        <w:rPr>
          <w:b/>
          <w:bCs/>
        </w:rPr>
        <w:t xml:space="preserve">Cyber supply chain risk management</w:t>
      </w:r>
      <w:r>
        <w:t xml:space="preserve"> </w:t>
      </w:r>
      <w:r>
        <w:t xml:space="preserve">is treated as a lifecycle discipline addressing counterfeit/tampering/malicious insertion threats that are hard to detect once embedded.</w:t>
      </w:r>
      <w:r>
        <w:t xml:space="preserve"> </w:t>
      </w:r>
      <w:hyperlink r:id="rId64">
        <w:r>
          <w:rPr>
            <w:rStyle w:val="Hyperlink"/>
          </w:rPr>
          <w:t xml:space="preserve">[30]</w:t>
        </w:r>
      </w:hyperlink>
    </w:p>
    <w:p>
      <w:pPr>
        <w:pStyle w:val="Compact"/>
        <w:numPr>
          <w:ilvl w:val="0"/>
          <w:numId w:val="1011"/>
        </w:numPr>
      </w:pPr>
      <w:r>
        <w:rPr>
          <w:b/>
          <w:bCs/>
        </w:rPr>
        <w:t xml:space="preserve">Key management</w:t>
      </w:r>
      <w:r>
        <w:t xml:space="preserve"> </w:t>
      </w:r>
      <w:r>
        <w:t xml:space="preserve">guidance treats trust anchors as distribution and custody problems, not just algorithm problems; the “trust anchor” concept is specifically discussed in key management literature.</w:t>
      </w:r>
      <w:r>
        <w:t xml:space="preserve"> </w:t>
      </w:r>
      <w:hyperlink r:id="rId65">
        <w:r>
          <w:rPr>
            <w:rStyle w:val="Hyperlink"/>
          </w:rPr>
          <w:t xml:space="preserve">[31]</w:t>
        </w:r>
      </w:hyperlink>
    </w:p>
    <w:p>
      <w:pPr>
        <w:pStyle w:val="FirstParagraph"/>
      </w:pPr>
      <w:r>
        <w:t xml:space="preserve">The practical implication is uncomfortable but clarifying: legal defensibility depends as much on</w:t>
      </w:r>
      <w:r>
        <w:t xml:space="preserve"> </w:t>
      </w:r>
      <w:r>
        <w:rPr>
          <w:b/>
          <w:bCs/>
        </w:rPr>
        <w:t xml:space="preserve">institutional controls</w:t>
      </w:r>
      <w:r>
        <w:t xml:space="preserve"> </w:t>
      </w:r>
      <w:r>
        <w:t xml:space="preserve">(access controls, separation of duties, auditable key custody, vendor qualification, sensor acceptance testing, incident playbooks) as on UT/MC/SoftFloat correctness.</w:t>
      </w:r>
    </w:p>
    <w:p>
      <w:pPr>
        <w:pStyle w:val="BodyText"/>
      </w:pPr>
      <w:r>
        <w:t xml:space="preserve">That is not a weakness. It is how high-stakes measurement systems actually become credible.</w:t>
      </w:r>
    </w:p>
    <w:bookmarkEnd w:id="66"/>
    <w:bookmarkStart w:id="70" w:name="sources-consulted"/>
    <w:p>
      <w:pPr>
        <w:pStyle w:val="Heading2"/>
      </w:pPr>
      <w:r>
        <w:t xml:space="preserve">Sources consulted</w:t>
      </w:r>
    </w:p>
    <w:p>
      <w:pPr>
        <w:pStyle w:val="FirstParagraph"/>
      </w:pPr>
      <w:r>
        <w:t xml:space="preserve">Key references used for this synthesis:</w:t>
      </w:r>
    </w:p>
    <w:p>
      <w:pPr>
        <w:pStyle w:val="Compact"/>
        <w:numPr>
          <w:ilvl w:val="0"/>
          <w:numId w:val="1012"/>
        </w:numPr>
      </w:pPr>
      <w:r>
        <w:t xml:space="preserve">ASPRS</w:t>
      </w:r>
      <w:hyperlink r:id="rId29">
        <w:r>
          <w:rPr>
            <w:rStyle w:val="Hyperlink"/>
          </w:rPr>
          <w:t xml:space="preserve">[32]</w:t>
        </w:r>
      </w:hyperlink>
      <w:r>
        <w:t xml:space="preserve"> </w:t>
      </w:r>
      <w:r>
        <w:t xml:space="preserve">positional accuracy standards page.</w:t>
      </w:r>
      <w:r>
        <w:t xml:space="preserve"> </w:t>
      </w:r>
      <w:hyperlink r:id="rId40">
        <w:r>
          <w:rPr>
            <w:rStyle w:val="Hyperlink"/>
          </w:rPr>
          <w:t xml:space="preserve">[33]</w:t>
        </w:r>
      </w:hyperlink>
    </w:p>
    <w:p>
      <w:pPr>
        <w:pStyle w:val="Compact"/>
        <w:numPr>
          <w:ilvl w:val="0"/>
          <w:numId w:val="1012"/>
        </w:numPr>
      </w:pPr>
      <w:r>
        <w:t xml:space="preserve">USGS</w:t>
      </w:r>
      <w:hyperlink r:id="rId21">
        <w:r>
          <w:rPr>
            <w:rStyle w:val="Hyperlink"/>
          </w:rPr>
          <w:t xml:space="preserve">[34]</w:t>
        </w:r>
      </w:hyperlink>
      <w:r>
        <w:t xml:space="preserve">: lidar base specification (processing/handling requirements, deliverables, revision history).</w:t>
      </w:r>
      <w:r>
        <w:t xml:space="preserve"> </w:t>
      </w:r>
      <w:hyperlink r:id="rId41">
        <w:r>
          <w:rPr>
            <w:rStyle w:val="Hyperlink"/>
          </w:rPr>
          <w:t xml:space="preserve">[17]</w:t>
        </w:r>
      </w:hyperlink>
    </w:p>
    <w:p>
      <w:pPr>
        <w:pStyle w:val="Compact"/>
        <w:numPr>
          <w:ilvl w:val="0"/>
          <w:numId w:val="1012"/>
        </w:numPr>
      </w:pPr>
      <w:r>
        <w:t xml:space="preserve">NOAA National Geodetic Survey</w:t>
      </w:r>
      <w:hyperlink r:id="rId52">
        <w:r>
          <w:rPr>
            <w:rStyle w:val="Hyperlink"/>
          </w:rPr>
          <w:t xml:space="preserve">[35]</w:t>
        </w:r>
      </w:hyperlink>
      <w:r>
        <w:t xml:space="preserve">: HTDP overview and related tooling materials (including HTDP cautions and NCAT).</w:t>
      </w:r>
      <w:r>
        <w:t xml:space="preserve"> </w:t>
      </w:r>
      <w:hyperlink r:id="rId67">
        <w:r>
          <w:rPr>
            <w:rStyle w:val="Hyperlink"/>
          </w:rPr>
          <w:t xml:space="preserve">[36]</w:t>
        </w:r>
      </w:hyperlink>
    </w:p>
    <w:p>
      <w:pPr>
        <w:pStyle w:val="Compact"/>
        <w:numPr>
          <w:ilvl w:val="0"/>
          <w:numId w:val="1012"/>
        </w:numPr>
      </w:pPr>
      <w:r>
        <w:t xml:space="preserve">NVIDIA</w:t>
      </w:r>
      <w:hyperlink r:id="rId43">
        <w:r>
          <w:rPr>
            <w:rStyle w:val="Hyperlink"/>
          </w:rPr>
          <w:t xml:space="preserve">[37]</w:t>
        </w:r>
      </w:hyperlink>
      <w:r>
        <w:t xml:space="preserve">: CUDA floating point guidance; TensorRT troubleshooting guidance on bitwise identity expectations.</w:t>
      </w:r>
      <w:r>
        <w:t xml:space="preserve"> </w:t>
      </w:r>
      <w:hyperlink r:id="rId32">
        <w:r>
          <w:rPr>
            <w:rStyle w:val="Hyperlink"/>
          </w:rPr>
          <w:t xml:space="preserve">[38]</w:t>
        </w:r>
      </w:hyperlink>
    </w:p>
    <w:p>
      <w:pPr>
        <w:pStyle w:val="Compact"/>
        <w:numPr>
          <w:ilvl w:val="0"/>
          <w:numId w:val="1012"/>
        </w:numPr>
      </w:pPr>
      <w:r>
        <w:t xml:space="preserve">WebAssembly</w:t>
      </w:r>
      <w:hyperlink r:id="rId21">
        <w:r>
          <w:rPr>
            <w:rStyle w:val="Hyperlink"/>
          </w:rPr>
          <w:t xml:space="preserve">[39]</w:t>
        </w:r>
      </w:hyperlink>
      <w:r>
        <w:t xml:space="preserve"> </w:t>
      </w:r>
      <w:r>
        <w:t xml:space="preserve">core specification discussion of NaN nondeterminism and deterministic profiles.</w:t>
      </w:r>
      <w:r>
        <w:t xml:space="preserve"> </w:t>
      </w:r>
      <w:hyperlink r:id="rId22">
        <w:r>
          <w:rPr>
            <w:rStyle w:val="Hyperlink"/>
          </w:rPr>
          <w:t xml:space="preserve">[12]</w:t>
        </w:r>
      </w:hyperlink>
    </w:p>
    <w:p>
      <w:pPr>
        <w:pStyle w:val="Compact"/>
        <w:numPr>
          <w:ilvl w:val="0"/>
          <w:numId w:val="1012"/>
        </w:numPr>
      </w:pPr>
      <w:r>
        <w:t xml:space="preserve">NIST</w:t>
      </w:r>
      <w:hyperlink r:id="rId68">
        <w:r>
          <w:rPr>
            <w:rStyle w:val="Hyperlink"/>
          </w:rPr>
          <w:t xml:space="preserve">[40]</w:t>
        </w:r>
      </w:hyperlink>
      <w:r>
        <w:t xml:space="preserve">: PNT profile (NISTIR 8323 Rev. 1), supply-chain risk management (SP 800-161 Rev. 1 updates), key management (SP 800-57), audit/privacy controls (SP 800-53), and privacy minimization resources.</w:t>
      </w:r>
      <w:r>
        <w:t xml:space="preserve"> </w:t>
      </w:r>
      <w:hyperlink r:id="rId49">
        <w:r>
          <w:rPr>
            <w:rStyle w:val="Hyperlink"/>
          </w:rPr>
          <w:t xml:space="preserve">[41]</w:t>
        </w:r>
      </w:hyperlink>
    </w:p>
    <w:p>
      <w:pPr>
        <w:pStyle w:val="Compact"/>
        <w:numPr>
          <w:ilvl w:val="0"/>
          <w:numId w:val="1012"/>
        </w:numPr>
      </w:pPr>
      <w:r>
        <w:t xml:space="preserve">CISA</w:t>
      </w:r>
      <w:hyperlink r:id="rId26">
        <w:r>
          <w:rPr>
            <w:rStyle w:val="Hyperlink"/>
          </w:rPr>
          <w:t xml:space="preserve">[42]</w:t>
        </w:r>
      </w:hyperlink>
      <w:r>
        <w:t xml:space="preserve">: critical-infrastructure GPS equipment guidance.</w:t>
      </w:r>
      <w:r>
        <w:t xml:space="preserve"> </w:t>
      </w:r>
      <w:hyperlink r:id="rId68">
        <w:r>
          <w:rPr>
            <w:rStyle w:val="Hyperlink"/>
          </w:rPr>
          <w:t xml:space="preserve">[43]</w:t>
        </w:r>
      </w:hyperlink>
    </w:p>
    <w:p>
      <w:pPr>
        <w:pStyle w:val="Compact"/>
        <w:numPr>
          <w:ilvl w:val="0"/>
          <w:numId w:val="1012"/>
        </w:numPr>
      </w:pPr>
      <w:r>
        <w:t xml:space="preserve">DHS Science and Technology Directorate</w:t>
      </w:r>
      <w:hyperlink r:id="rId26">
        <w:r>
          <w:rPr>
            <w:rStyle w:val="Hyperlink"/>
          </w:rPr>
          <w:t xml:space="preserve">[44]</w:t>
        </w:r>
      </w:hyperlink>
      <w:r>
        <w:t xml:space="preserve">: GNSS resilience test resources.</w:t>
      </w:r>
      <w:r>
        <w:t xml:space="preserve"> </w:t>
      </w:r>
      <w:hyperlink r:id="rId50">
        <w:r>
          <w:rPr>
            <w:rStyle w:val="Hyperlink"/>
          </w:rPr>
          <w:t xml:space="preserve">[23]</w:t>
        </w:r>
      </w:hyperlink>
    </w:p>
    <w:p>
      <w:pPr>
        <w:pStyle w:val="Compact"/>
        <w:numPr>
          <w:ilvl w:val="0"/>
          <w:numId w:val="1012"/>
        </w:numPr>
      </w:pPr>
      <w:r>
        <w:t xml:space="preserve">UT / Monte Carlo foundations and limitations: Julier (2004), UT overview notes, and Monte Carlo convergence/variance reduction references.</w:t>
      </w:r>
      <w:r>
        <w:t xml:space="preserve"> </w:t>
      </w:r>
      <w:hyperlink r:id="rId21">
        <w:r>
          <w:rPr>
            <w:rStyle w:val="Hyperlink"/>
          </w:rPr>
          <w:t xml:space="preserve">[45]</w:t>
        </w:r>
      </w:hyperlink>
    </w:p>
    <w:p>
      <w:pPr>
        <w:pStyle w:val="Compact"/>
        <w:numPr>
          <w:ilvl w:val="0"/>
          <w:numId w:val="1012"/>
        </w:numPr>
      </w:pPr>
      <w:r>
        <w:t xml:space="preserve">Calibration and dataset shift: Guo et al. (2017) and dataset shift references; conformal prediction validity conditions and limits under shift.</w:t>
      </w:r>
      <w:r>
        <w:t xml:space="preserve"> </w:t>
      </w:r>
      <w:hyperlink r:id="rId43">
        <w:r>
          <w:rPr>
            <w:rStyle w:val="Hyperlink"/>
          </w:rPr>
          <w:t xml:space="preserve">[46]</w:t>
        </w:r>
      </w:hyperlink>
    </w:p>
    <w:p>
      <w:pPr>
        <w:pStyle w:val="Compact"/>
        <w:numPr>
          <w:ilvl w:val="0"/>
          <w:numId w:val="1012"/>
        </w:numPr>
      </w:pPr>
      <w:r>
        <w:t xml:space="preserve">Fingerprinting spoofability: clock-skew spoofing critiques and reliability analysis.</w:t>
      </w:r>
      <w:r>
        <w:t xml:space="preserve"> </w:t>
      </w:r>
      <w:hyperlink r:id="rId69">
        <w:r>
          <w:rPr>
            <w:rStyle w:val="Hyperlink"/>
          </w:rPr>
          <w:t xml:space="preserve">[47]</w:t>
        </w:r>
      </w:hyperlink>
    </w:p>
    <w:p>
      <w:pPr>
        <w:pStyle w:val="Compact"/>
        <w:numPr>
          <w:ilvl w:val="0"/>
          <w:numId w:val="1012"/>
        </w:numPr>
      </w:pPr>
      <w:r>
        <w:t xml:space="preserve">ESI discovery context for telemetry risk: FRCP Rules 26 and 45 references.</w:t>
      </w:r>
      <w:r>
        <w:t xml:space="preserve"> </w:t>
      </w:r>
      <w:hyperlink r:id="rId56">
        <w:r>
          <w:rPr>
            <w:rStyle w:val="Hyperlink"/>
          </w:rPr>
          <w:t xml:space="preserve">[25]</w:t>
        </w:r>
      </w:hyperlink>
    </w:p>
    <w:bookmarkEnd w:id="70"/>
    <w:bookmarkEnd w:id="71"/>
    <w:bookmarkEnd w:id="72"/>
    <w:p>
      <w:r>
        <w:pict>
          <v:rect style="width:0;height:1.5pt" o:hralign="center" o:hrstd="t" o:hr="t"/>
        </w:pict>
      </w:r>
    </w:p>
    <w:bookmarkStart w:id="73" w:name="citations"/>
    <w:p>
      <w:pPr>
        <w:pStyle w:val="FirstParagraph"/>
      </w:pPr>
      <w:hyperlink r:id="rId21">
        <w:r>
          <w:rPr>
            <w:rStyle w:val="Hyperlink"/>
          </w:rPr>
          <w:t xml:space="preserve">[1]</w:t>
        </w:r>
      </w:hyperlink>
      <w:r>
        <w:t xml:space="preserve"> </w:t>
      </w:r>
      <w:hyperlink r:id="rId21">
        <w:r>
          <w:rPr>
            <w:rStyle w:val="Hyperlink"/>
          </w:rPr>
          <w:t xml:space="preserve">[3]</w:t>
        </w:r>
      </w:hyperlink>
      <w:r>
        <w:t xml:space="preserve"> </w:t>
      </w:r>
      <w:hyperlink r:id="rId21">
        <w:r>
          <w:rPr>
            <w:rStyle w:val="Hyperlink"/>
          </w:rPr>
          <w:t xml:space="preserve">[7]</w:t>
        </w:r>
      </w:hyperlink>
      <w:r>
        <w:t xml:space="preserve"> </w:t>
      </w:r>
      <w:hyperlink r:id="rId21">
        <w:r>
          <w:rPr>
            <w:rStyle w:val="Hyperlink"/>
          </w:rPr>
          <w:t xml:space="preserve">[34]</w:t>
        </w:r>
      </w:hyperlink>
      <w:r>
        <w:t xml:space="preserve"> </w:t>
      </w:r>
      <w:hyperlink r:id="rId21">
        <w:r>
          <w:rPr>
            <w:rStyle w:val="Hyperlink"/>
          </w:rPr>
          <w:t xml:space="preserve">[39]</w:t>
        </w:r>
      </w:hyperlink>
      <w:r>
        <w:t xml:space="preserve"> </w:t>
      </w:r>
      <w:hyperlink r:id="rId21">
        <w:r>
          <w:rPr>
            <w:rStyle w:val="Hyperlink"/>
          </w:rPr>
          <w:t xml:space="preserve">[45]</w:t>
        </w:r>
      </w:hyperlink>
      <w:r>
        <w:t xml:space="preserve"> </w:t>
      </w:r>
      <w:r>
        <w:t xml:space="preserve">https://www.bibsonomy.org/bibtex/1b4fd426a5a1b5b5dacbc88aaa19d3f31</w:t>
      </w:r>
    </w:p>
    <w:p>
      <w:pPr>
        <w:pStyle w:val="BodyText"/>
      </w:pPr>
      <w:hyperlink r:id="rId21">
        <w:r>
          <w:rPr>
            <w:rStyle w:val="Hyperlink"/>
          </w:rPr>
          <w:t xml:space="preserve">https://www.bibsonomy.org/bibtex/1b4fd426a5a1b5b5dacbc88aaa19d3f31</w:t>
        </w:r>
      </w:hyperlink>
    </w:p>
    <w:p>
      <w:pPr>
        <w:pStyle w:val="BodyText"/>
      </w:pPr>
      <w:hyperlink r:id="rId22">
        <w:r>
          <w:rPr>
            <w:rStyle w:val="Hyperlink"/>
          </w:rPr>
          <w:t xml:space="preserve">[2]</w:t>
        </w:r>
      </w:hyperlink>
      <w:r>
        <w:t xml:space="preserve"> </w:t>
      </w:r>
      <w:hyperlink r:id="rId22">
        <w:r>
          <w:rPr>
            <w:rStyle w:val="Hyperlink"/>
          </w:rPr>
          <w:t xml:space="preserve">[12]</w:t>
        </w:r>
      </w:hyperlink>
      <w:r>
        <w:t xml:space="preserve"> </w:t>
      </w:r>
      <w:r>
        <w:t xml:space="preserve">https://math.stackexchange.com/questions/796331/scaling-factor-and-weights-in-unscented-transform-ukf</w:t>
      </w:r>
    </w:p>
    <w:p>
      <w:pPr>
        <w:pStyle w:val="BodyText"/>
      </w:pPr>
      <w:hyperlink r:id="rId22">
        <w:r>
          <w:rPr>
            <w:rStyle w:val="Hyperlink"/>
          </w:rPr>
          <w:t xml:space="preserve">https://math.stackexchange.com/questions/796331/scaling-factor-and-weights-in-unscented-transform-ukf</w:t>
        </w:r>
      </w:hyperlink>
    </w:p>
    <w:p>
      <w:pPr>
        <w:pStyle w:val="BodyText"/>
      </w:pPr>
      <w:hyperlink r:id="rId24">
        <w:r>
          <w:rPr>
            <w:rStyle w:val="Hyperlink"/>
          </w:rPr>
          <w:t xml:space="preserve">[4]</w:t>
        </w:r>
      </w:hyperlink>
      <w:r>
        <w:t xml:space="preserve"> </w:t>
      </w:r>
      <w:r>
        <w:t xml:space="preserve">https://kalman-filter.com/unscented-kalman-filter/</w:t>
      </w:r>
    </w:p>
    <w:p>
      <w:pPr>
        <w:pStyle w:val="BodyText"/>
      </w:pPr>
      <w:hyperlink r:id="rId24">
        <w:r>
          <w:rPr>
            <w:rStyle w:val="Hyperlink"/>
          </w:rPr>
          <w:t xml:space="preserve">https://kalman-filter.com/unscented-kalman-filter/</w:t>
        </w:r>
      </w:hyperlink>
    </w:p>
    <w:p>
      <w:pPr>
        <w:pStyle w:val="BodyText"/>
      </w:pPr>
      <w:hyperlink r:id="rId26">
        <w:r>
          <w:rPr>
            <w:rStyle w:val="Hyperlink"/>
          </w:rPr>
          <w:t xml:space="preserve">[5]</w:t>
        </w:r>
      </w:hyperlink>
      <w:r>
        <w:t xml:space="preserve"> </w:t>
      </w:r>
      <w:hyperlink r:id="rId26">
        <w:r>
          <w:rPr>
            <w:rStyle w:val="Hyperlink"/>
          </w:rPr>
          <w:t xml:space="preserve">[42]</w:t>
        </w:r>
      </w:hyperlink>
      <w:r>
        <w:t xml:space="preserve"> </w:t>
      </w:r>
      <w:hyperlink r:id="rId26">
        <w:r>
          <w:rPr>
            <w:rStyle w:val="Hyperlink"/>
          </w:rPr>
          <w:t xml:space="preserve">[44]</w:t>
        </w:r>
      </w:hyperlink>
      <w:r>
        <w:t xml:space="preserve"> </w:t>
      </w:r>
      <w:r>
        <w:t xml:space="preserve">https://www.ngs.noaa.gov/TOOLS/Htdp/HTDP-user-guide.pdf</w:t>
      </w:r>
    </w:p>
    <w:p>
      <w:pPr>
        <w:pStyle w:val="BodyText"/>
      </w:pPr>
      <w:hyperlink r:id="rId26">
        <w:r>
          <w:rPr>
            <w:rStyle w:val="Hyperlink"/>
          </w:rPr>
          <w:t xml:space="preserve">https://www.ngs.noaa.gov/TOOLS/Htdp/HTDP-user-guide.pdf</w:t>
        </w:r>
      </w:hyperlink>
    </w:p>
    <w:p>
      <w:pPr>
        <w:pStyle w:val="BodyText"/>
      </w:pPr>
      <w:hyperlink r:id="rId27">
        <w:r>
          <w:rPr>
            <w:rStyle w:val="Hyperlink"/>
          </w:rPr>
          <w:t xml:space="preserve">[6]</w:t>
        </w:r>
      </w:hyperlink>
      <w:r>
        <w:t xml:space="preserve"> </w:t>
      </w:r>
      <w:hyperlink r:id="rId27">
        <w:r>
          <w:rPr>
            <w:rStyle w:val="Hyperlink"/>
          </w:rPr>
          <w:t xml:space="preserve">[9]</w:t>
        </w:r>
      </w:hyperlink>
      <w:r>
        <w:t xml:space="preserve"> </w:t>
      </w:r>
      <w:r>
        <w:t xml:space="preserve">https://www.usgs.gov/programs/earthquake-hazards/science/national-seismic-hazard-model</w:t>
      </w:r>
    </w:p>
    <w:p>
      <w:pPr>
        <w:pStyle w:val="BodyText"/>
      </w:pPr>
      <w:hyperlink r:id="rId27">
        <w:r>
          <w:rPr>
            <w:rStyle w:val="Hyperlink"/>
          </w:rPr>
          <w:t xml:space="preserve">https://www.usgs.gov/programs/earthquake-hazards/science/national-seismic-hazard-model</w:t>
        </w:r>
      </w:hyperlink>
    </w:p>
    <w:p>
      <w:pPr>
        <w:pStyle w:val="BodyText"/>
      </w:pPr>
      <w:hyperlink r:id="rId29">
        <w:r>
          <w:rPr>
            <w:rStyle w:val="Hyperlink"/>
          </w:rPr>
          <w:t xml:space="preserve">[8]</w:t>
        </w:r>
      </w:hyperlink>
      <w:r>
        <w:t xml:space="preserve"> </w:t>
      </w:r>
      <w:hyperlink r:id="rId29">
        <w:r>
          <w:rPr>
            <w:rStyle w:val="Hyperlink"/>
          </w:rPr>
          <w:t xml:space="preserve">[32]</w:t>
        </w:r>
      </w:hyperlink>
      <w:r>
        <w:t xml:space="preserve"> </w:t>
      </w:r>
      <w:r>
        <w:t xml:space="preserve">https://content.govdelivery.com/accounts/USNOAANOS/bulletins/2f82e09</w:t>
      </w:r>
    </w:p>
    <w:p>
      <w:pPr>
        <w:pStyle w:val="BodyText"/>
      </w:pPr>
      <w:hyperlink r:id="rId29">
        <w:r>
          <w:rPr>
            <w:rStyle w:val="Hyperlink"/>
          </w:rPr>
          <w:t xml:space="preserve">https://content.govdelivery.com/accounts/USNOAANOS/bulletins/2f82e09</w:t>
        </w:r>
      </w:hyperlink>
    </w:p>
    <w:p>
      <w:pPr>
        <w:pStyle w:val="BodyText"/>
      </w:pPr>
      <w:hyperlink r:id="rId32">
        <w:r>
          <w:rPr>
            <w:rStyle w:val="Hyperlink"/>
          </w:rPr>
          <w:t xml:space="preserve">[10]</w:t>
        </w:r>
      </w:hyperlink>
      <w:r>
        <w:t xml:space="preserve"> </w:t>
      </w:r>
      <w:hyperlink r:id="rId32">
        <w:r>
          <w:rPr>
            <w:rStyle w:val="Hyperlink"/>
          </w:rPr>
          <w:t xml:space="preserve">[38]</w:t>
        </w:r>
      </w:hyperlink>
      <w:r>
        <w:t xml:space="preserve"> </w:t>
      </w:r>
      <w:r>
        <w:t xml:space="preserve">https://docs.nvidia.com/cuda/archive/11.4.4/floating-point/index.html</w:t>
      </w:r>
    </w:p>
    <w:p>
      <w:pPr>
        <w:pStyle w:val="BodyText"/>
      </w:pPr>
      <w:hyperlink r:id="rId32">
        <w:r>
          <w:rPr>
            <w:rStyle w:val="Hyperlink"/>
          </w:rPr>
          <w:t xml:space="preserve">https://docs.nvidia.com/cuda/archive/11.4.4/floating-point/index.html</w:t>
        </w:r>
      </w:hyperlink>
    </w:p>
    <w:p>
      <w:pPr>
        <w:pStyle w:val="BodyText"/>
      </w:pPr>
      <w:hyperlink r:id="rId33">
        <w:r>
          <w:rPr>
            <w:rStyle w:val="Hyperlink"/>
          </w:rPr>
          <w:t xml:space="preserve">[11]</w:t>
        </w:r>
      </w:hyperlink>
      <w:r>
        <w:t xml:space="preserve"> </w:t>
      </w:r>
      <w:hyperlink r:id="rId33">
        <w:r>
          <w:rPr>
            <w:rStyle w:val="Hyperlink"/>
          </w:rPr>
          <w:t xml:space="preserve">[14]</w:t>
        </w:r>
      </w:hyperlink>
      <w:r>
        <w:t xml:space="preserve"> </w:t>
      </w:r>
      <w:r>
        <w:t xml:space="preserve">https://developer.nvidia.com/docs/drive/drive-os/7.0.3/public/drive-os-tensorrt-developer-guide/troubleshooting.html</w:t>
      </w:r>
    </w:p>
    <w:p>
      <w:pPr>
        <w:pStyle w:val="BodyText"/>
      </w:pPr>
      <w:hyperlink r:id="rId33">
        <w:r>
          <w:rPr>
            <w:rStyle w:val="Hyperlink"/>
          </w:rPr>
          <w:t xml:space="preserve">https://developer.nvidia.com/docs/drive/drive-os/7.0.3/public/drive-os-tensorrt-developer-guide/troubleshooting.html</w:t>
        </w:r>
      </w:hyperlink>
    </w:p>
    <w:p>
      <w:pPr>
        <w:pStyle w:val="BodyText"/>
      </w:pPr>
      <w:hyperlink r:id="rId35">
        <w:r>
          <w:rPr>
            <w:rStyle w:val="Hyperlink"/>
          </w:rPr>
          <w:t xml:space="preserve">[13]</w:t>
        </w:r>
      </w:hyperlink>
      <w:r>
        <w:t xml:space="preserve"> </w:t>
      </w:r>
      <w:r>
        <w:t xml:space="preserve">https://www.sciencedirect.com/science/article/pii/S0167278908004247</w:t>
      </w:r>
    </w:p>
    <w:p>
      <w:pPr>
        <w:pStyle w:val="BodyText"/>
      </w:pPr>
      <w:hyperlink r:id="rId35">
        <w:r>
          <w:rPr>
            <w:rStyle w:val="Hyperlink"/>
          </w:rPr>
          <w:t xml:space="preserve">https://www.sciencedirect.com/science/article/pii/S0167278908004247</w:t>
        </w:r>
      </w:hyperlink>
    </w:p>
    <w:p>
      <w:pPr>
        <w:pStyle w:val="BodyText"/>
      </w:pPr>
      <w:hyperlink r:id="rId37">
        <w:r>
          <w:rPr>
            <w:rStyle w:val="Hyperlink"/>
          </w:rPr>
          <w:t xml:space="preserve">[15]</w:t>
        </w:r>
      </w:hyperlink>
      <w:r>
        <w:t xml:space="preserve"> </w:t>
      </w:r>
      <w:r>
        <w:t xml:space="preserve">https://www.nist.gov/publications/recommendation-random-number-generation-using-deterministic-random-bit-generators-2</w:t>
      </w:r>
    </w:p>
    <w:p>
      <w:pPr>
        <w:pStyle w:val="BodyText"/>
      </w:pPr>
      <w:hyperlink r:id="rId37">
        <w:r>
          <w:rPr>
            <w:rStyle w:val="Hyperlink"/>
          </w:rPr>
          <w:t xml:space="preserve">https://www.nist.gov/publications/recommendation-random-number-generation-using-deterministic-random-bit-generators-2</w:t>
        </w:r>
      </w:hyperlink>
    </w:p>
    <w:p>
      <w:pPr>
        <w:pStyle w:val="BodyText"/>
      </w:pPr>
      <w:hyperlink r:id="rId40">
        <w:r>
          <w:rPr>
            <w:rStyle w:val="Hyperlink"/>
          </w:rPr>
          <w:t xml:space="preserve">[16]</w:t>
        </w:r>
      </w:hyperlink>
      <w:r>
        <w:t xml:space="preserve"> </w:t>
      </w:r>
      <w:hyperlink r:id="rId40">
        <w:r>
          <w:rPr>
            <w:rStyle w:val="Hyperlink"/>
          </w:rPr>
          <w:t xml:space="preserve">[33]</w:t>
        </w:r>
      </w:hyperlink>
      <w:r>
        <w:t xml:space="preserve"> </w:t>
      </w:r>
      <w:r>
        <w:t xml:space="preserve">https://www.asprs.org/news-resources/asprs-positional-accuracy-standards-for-digital-geospatial-data</w:t>
      </w:r>
    </w:p>
    <w:p>
      <w:pPr>
        <w:pStyle w:val="BodyText"/>
      </w:pPr>
      <w:hyperlink r:id="rId40">
        <w:r>
          <w:rPr>
            <w:rStyle w:val="Hyperlink"/>
          </w:rPr>
          <w:t xml:space="preserve">https://www.asprs.org/news-resources/asprs-positional-accuracy-standards-for-digital-geospatial-data</w:t>
        </w:r>
      </w:hyperlink>
    </w:p>
    <w:p>
      <w:pPr>
        <w:pStyle w:val="BodyText"/>
      </w:pPr>
      <w:hyperlink r:id="rId41">
        <w:r>
          <w:rPr>
            <w:rStyle w:val="Hyperlink"/>
          </w:rPr>
          <w:t xml:space="preserve">[17]</w:t>
        </w:r>
      </w:hyperlink>
      <w:r>
        <w:t xml:space="preserve"> </w:t>
      </w:r>
      <w:hyperlink r:id="rId41">
        <w:r>
          <w:rPr>
            <w:rStyle w:val="Hyperlink"/>
          </w:rPr>
          <w:t xml:space="preserve">[21]</w:t>
        </w:r>
      </w:hyperlink>
      <w:r>
        <w:t xml:space="preserve"> </w:t>
      </w:r>
      <w:r>
        <w:t xml:space="preserve">https://www.usgs.gov/ngp-standards-and-specifications/lidar-base-specification-data-processing-and-handling-requirements</w:t>
      </w:r>
    </w:p>
    <w:p>
      <w:pPr>
        <w:pStyle w:val="BodyText"/>
      </w:pPr>
      <w:hyperlink r:id="rId41">
        <w:r>
          <w:rPr>
            <w:rStyle w:val="Hyperlink"/>
          </w:rPr>
          <w:t xml:space="preserve">https://www.usgs.gov/ngp-standards-and-specifications/lidar-base-specification-data-processing-and-handling-requirements</w:t>
        </w:r>
      </w:hyperlink>
    </w:p>
    <w:p>
      <w:pPr>
        <w:pStyle w:val="BodyText"/>
      </w:pPr>
      <w:hyperlink r:id="rId43">
        <w:r>
          <w:rPr>
            <w:rStyle w:val="Hyperlink"/>
          </w:rPr>
          <w:t xml:space="preserve">[18]</w:t>
        </w:r>
      </w:hyperlink>
      <w:r>
        <w:t xml:space="preserve"> </w:t>
      </w:r>
      <w:hyperlink r:id="rId43">
        <w:r>
          <w:rPr>
            <w:rStyle w:val="Hyperlink"/>
          </w:rPr>
          <w:t xml:space="preserve">[37]</w:t>
        </w:r>
      </w:hyperlink>
      <w:r>
        <w:t xml:space="preserve"> </w:t>
      </w:r>
      <w:hyperlink r:id="rId43">
        <w:r>
          <w:rPr>
            <w:rStyle w:val="Hyperlink"/>
          </w:rPr>
          <w:t xml:space="preserve">[46]</w:t>
        </w:r>
      </w:hyperlink>
      <w:r>
        <w:t xml:space="preserve"> </w:t>
      </w:r>
      <w:r>
        <w:t xml:space="preserve">https://proceedings.mlr.press/v70/guo17a</w:t>
      </w:r>
    </w:p>
    <w:p>
      <w:pPr>
        <w:pStyle w:val="BodyText"/>
      </w:pPr>
      <w:hyperlink r:id="rId43">
        <w:r>
          <w:rPr>
            <w:rStyle w:val="Hyperlink"/>
          </w:rPr>
          <w:t xml:space="preserve">https://proceedings.mlr.press/v70/guo17a</w:t>
        </w:r>
      </w:hyperlink>
    </w:p>
    <w:p>
      <w:pPr>
        <w:pStyle w:val="BodyText"/>
      </w:pPr>
      <w:hyperlink r:id="rId44">
        <w:r>
          <w:rPr>
            <w:rStyle w:val="Hyperlink"/>
          </w:rPr>
          <w:t xml:space="preserve">[19]</w:t>
        </w:r>
      </w:hyperlink>
      <w:r>
        <w:t xml:space="preserve"> </w:t>
      </w:r>
      <w:r>
        <w:t xml:space="preserve">https://mitpressbookstore.mit.edu/book/9780262170055</w:t>
      </w:r>
    </w:p>
    <w:p>
      <w:pPr>
        <w:pStyle w:val="BodyText"/>
      </w:pPr>
      <w:hyperlink r:id="rId44">
        <w:r>
          <w:rPr>
            <w:rStyle w:val="Hyperlink"/>
          </w:rPr>
          <w:t xml:space="preserve">https://mitpressbookstore.mit.edu/book/9780262170055</w:t>
        </w:r>
      </w:hyperlink>
    </w:p>
    <w:p>
      <w:pPr>
        <w:pStyle w:val="BodyText"/>
      </w:pPr>
      <w:hyperlink r:id="rId45">
        <w:r>
          <w:rPr>
            <w:rStyle w:val="Hyperlink"/>
          </w:rPr>
          <w:t xml:space="preserve">[20]</w:t>
        </w:r>
      </w:hyperlink>
      <w:r>
        <w:t xml:space="preserve"> </w:t>
      </w:r>
      <w:r>
        <w:t xml:space="preserve">https://academic.oup.com/jrsssb/article/87/2/549/7889096</w:t>
      </w:r>
    </w:p>
    <w:p>
      <w:pPr>
        <w:pStyle w:val="BodyText"/>
      </w:pPr>
      <w:hyperlink r:id="rId45">
        <w:r>
          <w:rPr>
            <w:rStyle w:val="Hyperlink"/>
          </w:rPr>
          <w:t xml:space="preserve">https://academic.oup.com/jrsssb/article/87/2/549/7889096</w:t>
        </w:r>
      </w:hyperlink>
    </w:p>
    <w:p>
      <w:pPr>
        <w:pStyle w:val="BodyText"/>
      </w:pPr>
      <w:hyperlink r:id="rId49">
        <w:r>
          <w:rPr>
            <w:rStyle w:val="Hyperlink"/>
          </w:rPr>
          <w:t xml:space="preserve">[22]</w:t>
        </w:r>
      </w:hyperlink>
      <w:r>
        <w:t xml:space="preserve"> </w:t>
      </w:r>
      <w:hyperlink r:id="rId49">
        <w:r>
          <w:rPr>
            <w:rStyle w:val="Hyperlink"/>
          </w:rPr>
          <w:t xml:space="preserve">[41]</w:t>
        </w:r>
      </w:hyperlink>
      <w:r>
        <w:t xml:space="preserve"> </w:t>
      </w:r>
      <w:r>
        <w:t xml:space="preserve">https://www.nist.gov/publications/foundational-pnt-profile-applying-cybersecurity-framework-responsible-use-positioning</w:t>
      </w:r>
    </w:p>
    <w:p>
      <w:pPr>
        <w:pStyle w:val="BodyText"/>
      </w:pPr>
      <w:hyperlink r:id="rId49">
        <w:r>
          <w:rPr>
            <w:rStyle w:val="Hyperlink"/>
          </w:rPr>
          <w:t xml:space="preserve">https://www.nist.gov/publications/foundational-pnt-profile-applying-cybersecurity-framework-responsible-use-positioning</w:t>
        </w:r>
      </w:hyperlink>
    </w:p>
    <w:p>
      <w:pPr>
        <w:pStyle w:val="BodyText"/>
      </w:pPr>
      <w:hyperlink r:id="rId50">
        <w:r>
          <w:rPr>
            <w:rStyle w:val="Hyperlink"/>
          </w:rPr>
          <w:t xml:space="preserve">[23]</w:t>
        </w:r>
      </w:hyperlink>
      <w:r>
        <w:t xml:space="preserve"> </w:t>
      </w:r>
      <w:r>
        <w:t xml:space="preserve">https://www.dhs.gov/science-and-technology/news/2025/05/19/st-releases-new-tool-strengthen-global-navigation-satellite-systems</w:t>
      </w:r>
    </w:p>
    <w:p>
      <w:pPr>
        <w:pStyle w:val="BodyText"/>
      </w:pPr>
      <w:hyperlink r:id="rId50">
        <w:r>
          <w:rPr>
            <w:rStyle w:val="Hyperlink"/>
          </w:rPr>
          <w:t xml:space="preserve">https://www.dhs.gov/science-and-technology/news/2025/05/19/st-releases-new-tool-strengthen-global-navigation-satellite-systems</w:t>
        </w:r>
      </w:hyperlink>
    </w:p>
    <w:p>
      <w:pPr>
        <w:pStyle w:val="BodyText"/>
      </w:pPr>
      <w:hyperlink r:id="rId52">
        <w:r>
          <w:rPr>
            <w:rStyle w:val="Hyperlink"/>
          </w:rPr>
          <w:t xml:space="preserve">[24]</w:t>
        </w:r>
      </w:hyperlink>
      <w:r>
        <w:t xml:space="preserve"> </w:t>
      </w:r>
      <w:hyperlink r:id="rId52">
        <w:r>
          <w:rPr>
            <w:rStyle w:val="Hyperlink"/>
          </w:rPr>
          <w:t xml:space="preserve">[35]</w:t>
        </w:r>
      </w:hyperlink>
      <w:r>
        <w:t xml:space="preserve"> </w:t>
      </w:r>
      <w:r>
        <w:t xml:space="preserve">https://www.mdpi.com/1424-8220/24/15/4897</w:t>
      </w:r>
    </w:p>
    <w:p>
      <w:pPr>
        <w:pStyle w:val="BodyText"/>
      </w:pPr>
      <w:hyperlink r:id="rId52">
        <w:r>
          <w:rPr>
            <w:rStyle w:val="Hyperlink"/>
          </w:rPr>
          <w:t xml:space="preserve">https://www.mdpi.com/1424-8220/24/15/4897</w:t>
        </w:r>
      </w:hyperlink>
    </w:p>
    <w:p>
      <w:pPr>
        <w:pStyle w:val="BodyText"/>
      </w:pPr>
      <w:hyperlink r:id="rId56">
        <w:r>
          <w:rPr>
            <w:rStyle w:val="Hyperlink"/>
          </w:rPr>
          <w:t xml:space="preserve">[25]</w:t>
        </w:r>
      </w:hyperlink>
      <w:r>
        <w:t xml:space="preserve"> </w:t>
      </w:r>
      <w:r>
        <w:t xml:space="preserve">https://www.law.cornell.edu/rules/frcp/rule_26</w:t>
      </w:r>
    </w:p>
    <w:p>
      <w:pPr>
        <w:pStyle w:val="BodyText"/>
      </w:pPr>
      <w:hyperlink r:id="rId56">
        <w:r>
          <w:rPr>
            <w:rStyle w:val="Hyperlink"/>
          </w:rPr>
          <w:t xml:space="preserve">https://www.law.cornell.edu/rules/frcp/rule_26</w:t>
        </w:r>
      </w:hyperlink>
    </w:p>
    <w:p>
      <w:pPr>
        <w:pStyle w:val="BodyText"/>
      </w:pPr>
      <w:hyperlink r:id="rId58">
        <w:r>
          <w:rPr>
            <w:rStyle w:val="Hyperlink"/>
          </w:rPr>
          <w:t xml:space="preserve">[26]</w:t>
        </w:r>
      </w:hyperlink>
      <w:r>
        <w:t xml:space="preserve"> </w:t>
      </w:r>
      <w:r>
        <w:t xml:space="preserve">https://nist-sp-800-53-r5.bsafes.com/docs/3-3-audit-and-accountability/au-2-event-logging/</w:t>
      </w:r>
    </w:p>
    <w:p>
      <w:pPr>
        <w:pStyle w:val="BodyText"/>
      </w:pPr>
      <w:hyperlink r:id="rId58">
        <w:r>
          <w:rPr>
            <w:rStyle w:val="Hyperlink"/>
          </w:rPr>
          <w:t xml:space="preserve">https://nist-sp-800-53-r5.bsafes.com/docs/3-3-audit-and-accountability/au-2-event-logging/</w:t>
        </w:r>
      </w:hyperlink>
    </w:p>
    <w:p>
      <w:pPr>
        <w:pStyle w:val="BodyText"/>
      </w:pPr>
      <w:hyperlink r:id="rId59">
        <w:r>
          <w:rPr>
            <w:rStyle w:val="Hyperlink"/>
          </w:rPr>
          <w:t xml:space="preserve">[27]</w:t>
        </w:r>
      </w:hyperlink>
      <w:r>
        <w:t xml:space="preserve"> </w:t>
      </w:r>
      <w:r>
        <w:t xml:space="preserve">https://nist-sp-800-53-r5.bsafes.com/docs/3-3-audit-and-accountability/au-16-cross-organizational-audit-logging/</w:t>
      </w:r>
    </w:p>
    <w:p>
      <w:pPr>
        <w:pStyle w:val="BodyText"/>
      </w:pPr>
      <w:hyperlink r:id="rId59">
        <w:r>
          <w:rPr>
            <w:rStyle w:val="Hyperlink"/>
          </w:rPr>
          <w:t xml:space="preserve">https://nist-sp-800-53-r5.bsafes.com/docs/3-3-audit-and-accountability/au-16-cross-organizational-audit-logging/</w:t>
        </w:r>
      </w:hyperlink>
    </w:p>
    <w:p>
      <w:pPr>
        <w:pStyle w:val="BodyText"/>
      </w:pPr>
      <w:hyperlink r:id="rId60">
        <w:r>
          <w:rPr>
            <w:rStyle w:val="Hyperlink"/>
          </w:rPr>
          <w:t xml:space="preserve">[28]</w:t>
        </w:r>
      </w:hyperlink>
      <w:r>
        <w:t xml:space="preserve"> </w:t>
      </w:r>
      <w:r>
        <w:t xml:space="preserve">https://www.nist.gov/privacy-framework/resource-repository/browse/guidelines-and-tools/ai-minimization-toolkit</w:t>
      </w:r>
    </w:p>
    <w:p>
      <w:pPr>
        <w:pStyle w:val="BodyText"/>
      </w:pPr>
      <w:hyperlink r:id="rId60">
        <w:r>
          <w:rPr>
            <w:rStyle w:val="Hyperlink"/>
          </w:rPr>
          <w:t xml:space="preserve">https://www.nist.gov/privacy-framework/resource-repository/browse/guidelines-and-tools/ai-minimization-toolkit</w:t>
        </w:r>
      </w:hyperlink>
    </w:p>
    <w:p>
      <w:pPr>
        <w:pStyle w:val="BodyText"/>
      </w:pPr>
      <w:hyperlink r:id="rId63">
        <w:r>
          <w:rPr>
            <w:rStyle w:val="Hyperlink"/>
          </w:rPr>
          <w:t xml:space="preserve">[29]</w:t>
        </w:r>
      </w:hyperlink>
      <w:r>
        <w:t xml:space="preserve"> </w:t>
      </w:r>
      <w:r>
        <w:t xml:space="preserve">https://nvlpubs.nist.gov/nistpubs/SpecialPublications/NIST.SP.800-161.pdf</w:t>
      </w:r>
    </w:p>
    <w:p>
      <w:pPr>
        <w:pStyle w:val="BodyText"/>
      </w:pPr>
      <w:hyperlink r:id="rId63">
        <w:r>
          <w:rPr>
            <w:rStyle w:val="Hyperlink"/>
          </w:rPr>
          <w:t xml:space="preserve">https://nvlpubs.nist.gov/nistpubs/SpecialPublications/NIST.SP.800-161.pdf</w:t>
        </w:r>
      </w:hyperlink>
    </w:p>
    <w:p>
      <w:pPr>
        <w:pStyle w:val="BodyText"/>
      </w:pPr>
      <w:hyperlink r:id="rId64">
        <w:r>
          <w:rPr>
            <w:rStyle w:val="Hyperlink"/>
          </w:rPr>
          <w:t xml:space="preserve">[30]</w:t>
        </w:r>
      </w:hyperlink>
      <w:r>
        <w:t xml:space="preserve"> </w:t>
      </w:r>
      <w:r>
        <w:t xml:space="preserve">https://csrc.nist.gov/pubs/sp/800/161/r1/upd1/final</w:t>
      </w:r>
    </w:p>
    <w:p>
      <w:pPr>
        <w:pStyle w:val="BodyText"/>
      </w:pPr>
      <w:hyperlink r:id="rId64">
        <w:r>
          <w:rPr>
            <w:rStyle w:val="Hyperlink"/>
          </w:rPr>
          <w:t xml:space="preserve">https://csrc.nist.gov/pubs/sp/800/161/r1/upd1/final</w:t>
        </w:r>
      </w:hyperlink>
    </w:p>
    <w:p>
      <w:pPr>
        <w:pStyle w:val="BodyText"/>
      </w:pPr>
      <w:hyperlink r:id="rId65">
        <w:r>
          <w:rPr>
            <w:rStyle w:val="Hyperlink"/>
          </w:rPr>
          <w:t xml:space="preserve">[31]</w:t>
        </w:r>
      </w:hyperlink>
      <w:r>
        <w:t xml:space="preserve"> </w:t>
      </w:r>
      <w:r>
        <w:t xml:space="preserve">https://nvlpubs.nist.gov/nistpubs/SpecialPublications/NIST.SP.800-57pt1r5.pdf</w:t>
      </w:r>
    </w:p>
    <w:p>
      <w:pPr>
        <w:pStyle w:val="BodyText"/>
      </w:pPr>
      <w:hyperlink r:id="rId65">
        <w:r>
          <w:rPr>
            <w:rStyle w:val="Hyperlink"/>
          </w:rPr>
          <w:t xml:space="preserve">https://nvlpubs.nist.gov/nistpubs/SpecialPublications/NIST.SP.800-57pt1r5.pdf</w:t>
        </w:r>
      </w:hyperlink>
    </w:p>
    <w:p>
      <w:pPr>
        <w:pStyle w:val="BodyText"/>
      </w:pPr>
      <w:hyperlink r:id="rId67">
        <w:r>
          <w:rPr>
            <w:rStyle w:val="Hyperlink"/>
          </w:rPr>
          <w:t xml:space="preserve">[36]</w:t>
        </w:r>
      </w:hyperlink>
      <w:r>
        <w:t xml:space="preserve"> </w:t>
      </w:r>
      <w:r>
        <w:t xml:space="preserve">https://geodesy.noaa.gov/TOOLS/Htdp/warning.html</w:t>
      </w:r>
    </w:p>
    <w:p>
      <w:pPr>
        <w:pStyle w:val="BodyText"/>
      </w:pPr>
      <w:hyperlink r:id="rId67">
        <w:r>
          <w:rPr>
            <w:rStyle w:val="Hyperlink"/>
          </w:rPr>
          <w:t xml:space="preserve">https://geodesy.noaa.gov/TOOLS/Htdp/warning.html</w:t>
        </w:r>
      </w:hyperlink>
    </w:p>
    <w:p>
      <w:pPr>
        <w:pStyle w:val="BodyText"/>
      </w:pPr>
      <w:hyperlink r:id="rId68">
        <w:r>
          <w:rPr>
            <w:rStyle w:val="Hyperlink"/>
          </w:rPr>
          <w:t xml:space="preserve">[40]</w:t>
        </w:r>
      </w:hyperlink>
      <w:r>
        <w:t xml:space="preserve"> </w:t>
      </w:r>
      <w:hyperlink r:id="rId68">
        <w:r>
          <w:rPr>
            <w:rStyle w:val="Hyperlink"/>
          </w:rPr>
          <w:t xml:space="preserve">[43]</w:t>
        </w:r>
      </w:hyperlink>
      <w:r>
        <w:t xml:space="preserve"> </w:t>
      </w:r>
      <w:r>
        <w:t xml:space="preserve">https://www.cisa.gov/sites/default/files/documents/Improving_the_Operation_and_Development_of_Global_Positioning_System_%28GPS%29_Equipment_Used_by_Critical_Infrastructure_S508C.pdf</w:t>
      </w:r>
    </w:p>
    <w:p>
      <w:pPr>
        <w:pStyle w:val="BodyText"/>
      </w:pPr>
      <w:hyperlink r:id="rId68">
        <w:r>
          <w:rPr>
            <w:rStyle w:val="Hyperlink"/>
          </w:rPr>
          <w:t xml:space="preserve">https://www.cisa.gov/sites/default/files/documents/Improving_the_Operation_and_Development_of_Global_Positioning_System_%28GPS%29_Equipment_Used_by_Critical_Infrastructure_S508C.pdf</w:t>
        </w:r>
      </w:hyperlink>
    </w:p>
    <w:p>
      <w:pPr>
        <w:pStyle w:val="BodyText"/>
      </w:pPr>
      <w:hyperlink r:id="rId69">
        <w:r>
          <w:rPr>
            <w:rStyle w:val="Hyperlink"/>
          </w:rPr>
          <w:t xml:space="preserve">[47]</w:t>
        </w:r>
      </w:hyperlink>
      <w:r>
        <w:t xml:space="preserve"> </w:t>
      </w:r>
      <w:r>
        <w:t xml:space="preserve">https://www.cs.dartmouth.edu/dfk/research/arackaparambil-clock-skew-tr/index.html</w:t>
      </w:r>
    </w:p>
    <w:p>
      <w:pPr>
        <w:pStyle w:val="BodyText"/>
      </w:pPr>
      <w:hyperlink r:id="rId69">
        <w:r>
          <w:rPr>
            <w:rStyle w:val="Hyperlink"/>
          </w:rPr>
          <w:t xml:space="preserve">https://www.cs.dartmouth.edu/dfk/research/arackaparambil-clock-skew-tr/index.html</w:t>
        </w:r>
      </w:hyperlink>
    </w:p>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5" Target="https://academic.oup.com/jrsssb/article/87/2/549/7889096" TargetMode="External" /><Relationship Type="http://schemas.openxmlformats.org/officeDocument/2006/relationships/hyperlink" Id="rId29" Target="https://content.govdelivery.com/accounts/USNOAANOS/bulletins/2f82e09" TargetMode="External" /><Relationship Type="http://schemas.openxmlformats.org/officeDocument/2006/relationships/hyperlink" Id="rId64" Target="https://csrc.nist.gov/pubs/sp/800/161/r1/upd1/final" TargetMode="External" /><Relationship Type="http://schemas.openxmlformats.org/officeDocument/2006/relationships/hyperlink" Id="rId33" Target="https://developer.nvidia.com/docs/drive/drive-os/7.0.3/public/drive-os-tensorrt-developer-guide/troubleshooting.html" TargetMode="External" /><Relationship Type="http://schemas.openxmlformats.org/officeDocument/2006/relationships/hyperlink" Id="rId32" Target="https://docs.nvidia.com/cuda/archive/11.4.4/floating-point/index.html" TargetMode="External" /><Relationship Type="http://schemas.openxmlformats.org/officeDocument/2006/relationships/hyperlink" Id="rId67" Target="https://geodesy.noaa.gov/TOOLS/Htdp/warning.html" TargetMode="External" /><Relationship Type="http://schemas.openxmlformats.org/officeDocument/2006/relationships/hyperlink" Id="rId24" Target="https://kalman-filter.com/unscented-kalman-filter/" TargetMode="External" /><Relationship Type="http://schemas.openxmlformats.org/officeDocument/2006/relationships/hyperlink" Id="rId22" Target="https://math.stackexchange.com/questions/796331/scaling-factor-and-weights-in-unscented-transform-ukf" TargetMode="External" /><Relationship Type="http://schemas.openxmlformats.org/officeDocument/2006/relationships/hyperlink" Id="rId44" Target="https://mitpressbookstore.mit.edu/book/9780262170055" TargetMode="External" /><Relationship Type="http://schemas.openxmlformats.org/officeDocument/2006/relationships/hyperlink" Id="rId59" Target="https://nist-sp-800-53-r5.bsafes.com/docs/3-3-audit-and-accountability/au-16-cross-organizational-audit-logging/" TargetMode="External" /><Relationship Type="http://schemas.openxmlformats.org/officeDocument/2006/relationships/hyperlink" Id="rId58" Target="https://nist-sp-800-53-r5.bsafes.com/docs/3-3-audit-and-accountability/au-2-event-logging/" TargetMode="External" /><Relationship Type="http://schemas.openxmlformats.org/officeDocument/2006/relationships/hyperlink" Id="rId63" Target="https://nvlpubs.nist.gov/nistpubs/SpecialPublications/NIST.SP.800-161.pdf" TargetMode="External" /><Relationship Type="http://schemas.openxmlformats.org/officeDocument/2006/relationships/hyperlink" Id="rId65" Target="https://nvlpubs.nist.gov/nistpubs/SpecialPublications/NIST.SP.800-57pt1r5.pdf" TargetMode="External" /><Relationship Type="http://schemas.openxmlformats.org/officeDocument/2006/relationships/hyperlink" Id="rId43" Target="https://proceedings.mlr.press/v70/guo17a" TargetMode="External" /><Relationship Type="http://schemas.openxmlformats.org/officeDocument/2006/relationships/hyperlink" Id="rId40" Target="https://www.asprs.org/news-resources/asprs-positional-accuracy-standards-for-digital-geospatial-data" TargetMode="External" /><Relationship Type="http://schemas.openxmlformats.org/officeDocument/2006/relationships/hyperlink" Id="rId21" Target="https://www.bibsonomy.org/bibtex/1b4fd426a5a1b5b5dacbc88aaa19d3f31" TargetMode="External" /><Relationship Type="http://schemas.openxmlformats.org/officeDocument/2006/relationships/hyperlink" Id="rId68" Target="https://www.cisa.gov/sites/default/files/documents/Improving_the_Operation_and_Development_of_Global_Positioning_System_%28GPS%29_Equipment_Used_by_Critical_Infrastructure_S508C.pdf" TargetMode="External" /><Relationship Type="http://schemas.openxmlformats.org/officeDocument/2006/relationships/hyperlink" Id="rId69" Target="https://www.cs.dartmouth.edu/dfk/research/arackaparambil-clock-skew-tr/index.html" TargetMode="External" /><Relationship Type="http://schemas.openxmlformats.org/officeDocument/2006/relationships/hyperlink" Id="rId50" Target="https://www.dhs.gov/science-and-technology/news/2025/05/19/st-releases-new-tool-strengthen-global-navigation-satellite-systems" TargetMode="External" /><Relationship Type="http://schemas.openxmlformats.org/officeDocument/2006/relationships/hyperlink" Id="rId56" Target="https://www.law.cornell.edu/rules/frcp/rule_26" TargetMode="External" /><Relationship Type="http://schemas.openxmlformats.org/officeDocument/2006/relationships/hyperlink" Id="rId52" Target="https://www.mdpi.com/1424-8220/24/15/4897" TargetMode="External" /><Relationship Type="http://schemas.openxmlformats.org/officeDocument/2006/relationships/hyperlink" Id="rId26" Target="https://www.ngs.noaa.gov/TOOLS/Htdp/HTDP-user-guide.pdf" TargetMode="External" /><Relationship Type="http://schemas.openxmlformats.org/officeDocument/2006/relationships/hyperlink" Id="rId60" Target="https://www.nist.gov/privacy-framework/resource-repository/browse/guidelines-and-tools/ai-minimization-toolkit" TargetMode="External" /><Relationship Type="http://schemas.openxmlformats.org/officeDocument/2006/relationships/hyperlink" Id="rId49" Target="https://www.nist.gov/publications/foundational-pnt-profile-applying-cybersecurity-framework-responsible-use-positioning" TargetMode="External" /><Relationship Type="http://schemas.openxmlformats.org/officeDocument/2006/relationships/hyperlink" Id="rId37" Target="https://www.nist.gov/publications/recommendation-random-number-generation-using-deterministic-random-bit-generators-2" TargetMode="External" /><Relationship Type="http://schemas.openxmlformats.org/officeDocument/2006/relationships/hyperlink" Id="rId35" Target="https://www.sciencedirect.com/science/article/pii/S0167278908004247" TargetMode="External" /><Relationship Type="http://schemas.openxmlformats.org/officeDocument/2006/relationships/hyperlink" Id="rId41" Target="https://www.usgs.gov/ngp-standards-and-specifications/lidar-base-specification-data-processing-and-handling-requirements" TargetMode="External" /><Relationship Type="http://schemas.openxmlformats.org/officeDocument/2006/relationships/hyperlink" Id="rId27" Target="https://www.usgs.gov/programs/earthquake-hazards/science/national-seismic-hazard-model" TargetMode="External" /></Relationships>
</file>

<file path=word/_rels/footnotes.xml.rels><?xml version="1.0" encoding="UTF-8"?><Relationships xmlns="http://schemas.openxmlformats.org/package/2006/relationships"><Relationship Type="http://schemas.openxmlformats.org/officeDocument/2006/relationships/hyperlink" Id="rId45" Target="https://academic.oup.com/jrsssb/article/87/2/549/7889096" TargetMode="External" /><Relationship Type="http://schemas.openxmlformats.org/officeDocument/2006/relationships/hyperlink" Id="rId29" Target="https://content.govdelivery.com/accounts/USNOAANOS/bulletins/2f82e09" TargetMode="External" /><Relationship Type="http://schemas.openxmlformats.org/officeDocument/2006/relationships/hyperlink" Id="rId64" Target="https://csrc.nist.gov/pubs/sp/800/161/r1/upd1/final" TargetMode="External" /><Relationship Type="http://schemas.openxmlformats.org/officeDocument/2006/relationships/hyperlink" Id="rId33" Target="https://developer.nvidia.com/docs/drive/drive-os/7.0.3/public/drive-os-tensorrt-developer-guide/troubleshooting.html" TargetMode="External" /><Relationship Type="http://schemas.openxmlformats.org/officeDocument/2006/relationships/hyperlink" Id="rId32" Target="https://docs.nvidia.com/cuda/archive/11.4.4/floating-point/index.html" TargetMode="External" /><Relationship Type="http://schemas.openxmlformats.org/officeDocument/2006/relationships/hyperlink" Id="rId67" Target="https://geodesy.noaa.gov/TOOLS/Htdp/warning.html" TargetMode="External" /><Relationship Type="http://schemas.openxmlformats.org/officeDocument/2006/relationships/hyperlink" Id="rId24" Target="https://kalman-filter.com/unscented-kalman-filter/" TargetMode="External" /><Relationship Type="http://schemas.openxmlformats.org/officeDocument/2006/relationships/hyperlink" Id="rId22" Target="https://math.stackexchange.com/questions/796331/scaling-factor-and-weights-in-unscented-transform-ukf" TargetMode="External" /><Relationship Type="http://schemas.openxmlformats.org/officeDocument/2006/relationships/hyperlink" Id="rId44" Target="https://mitpressbookstore.mit.edu/book/9780262170055" TargetMode="External" /><Relationship Type="http://schemas.openxmlformats.org/officeDocument/2006/relationships/hyperlink" Id="rId59" Target="https://nist-sp-800-53-r5.bsafes.com/docs/3-3-audit-and-accountability/au-16-cross-organizational-audit-logging/" TargetMode="External" /><Relationship Type="http://schemas.openxmlformats.org/officeDocument/2006/relationships/hyperlink" Id="rId58" Target="https://nist-sp-800-53-r5.bsafes.com/docs/3-3-audit-and-accountability/au-2-event-logging/" TargetMode="External" /><Relationship Type="http://schemas.openxmlformats.org/officeDocument/2006/relationships/hyperlink" Id="rId63" Target="https://nvlpubs.nist.gov/nistpubs/SpecialPublications/NIST.SP.800-161.pdf" TargetMode="External" /><Relationship Type="http://schemas.openxmlformats.org/officeDocument/2006/relationships/hyperlink" Id="rId65" Target="https://nvlpubs.nist.gov/nistpubs/SpecialPublications/NIST.SP.800-57pt1r5.pdf" TargetMode="External" /><Relationship Type="http://schemas.openxmlformats.org/officeDocument/2006/relationships/hyperlink" Id="rId43" Target="https://proceedings.mlr.press/v70/guo17a" TargetMode="External" /><Relationship Type="http://schemas.openxmlformats.org/officeDocument/2006/relationships/hyperlink" Id="rId40" Target="https://www.asprs.org/news-resources/asprs-positional-accuracy-standards-for-digital-geospatial-data" TargetMode="External" /><Relationship Type="http://schemas.openxmlformats.org/officeDocument/2006/relationships/hyperlink" Id="rId21" Target="https://www.bibsonomy.org/bibtex/1b4fd426a5a1b5b5dacbc88aaa19d3f31" TargetMode="External" /><Relationship Type="http://schemas.openxmlformats.org/officeDocument/2006/relationships/hyperlink" Id="rId68" Target="https://www.cisa.gov/sites/default/files/documents/Improving_the_Operation_and_Development_of_Global_Positioning_System_%28GPS%29_Equipment_Used_by_Critical_Infrastructure_S508C.pdf" TargetMode="External" /><Relationship Type="http://schemas.openxmlformats.org/officeDocument/2006/relationships/hyperlink" Id="rId69" Target="https://www.cs.dartmouth.edu/dfk/research/arackaparambil-clock-skew-tr/index.html" TargetMode="External" /><Relationship Type="http://schemas.openxmlformats.org/officeDocument/2006/relationships/hyperlink" Id="rId50" Target="https://www.dhs.gov/science-and-technology/news/2025/05/19/st-releases-new-tool-strengthen-global-navigation-satellite-systems" TargetMode="External" /><Relationship Type="http://schemas.openxmlformats.org/officeDocument/2006/relationships/hyperlink" Id="rId56" Target="https://www.law.cornell.edu/rules/frcp/rule_26" TargetMode="External" /><Relationship Type="http://schemas.openxmlformats.org/officeDocument/2006/relationships/hyperlink" Id="rId52" Target="https://www.mdpi.com/1424-8220/24/15/4897" TargetMode="External" /><Relationship Type="http://schemas.openxmlformats.org/officeDocument/2006/relationships/hyperlink" Id="rId26" Target="https://www.ngs.noaa.gov/TOOLS/Htdp/HTDP-user-guide.pdf" TargetMode="External" /><Relationship Type="http://schemas.openxmlformats.org/officeDocument/2006/relationships/hyperlink" Id="rId60" Target="https://www.nist.gov/privacy-framework/resource-repository/browse/guidelines-and-tools/ai-minimization-toolkit" TargetMode="External" /><Relationship Type="http://schemas.openxmlformats.org/officeDocument/2006/relationships/hyperlink" Id="rId49" Target="https://www.nist.gov/publications/foundational-pnt-profile-applying-cybersecurity-framework-responsible-use-positioning" TargetMode="External" /><Relationship Type="http://schemas.openxmlformats.org/officeDocument/2006/relationships/hyperlink" Id="rId37" Target="https://www.nist.gov/publications/recommendation-random-number-generation-using-deterministic-random-bit-generators-2" TargetMode="External" /><Relationship Type="http://schemas.openxmlformats.org/officeDocument/2006/relationships/hyperlink" Id="rId35" Target="https://www.sciencedirect.com/science/article/pii/S0167278908004247" TargetMode="External" /><Relationship Type="http://schemas.openxmlformats.org/officeDocument/2006/relationships/hyperlink" Id="rId41" Target="https://www.usgs.gov/ngp-standards-and-specifications/lidar-base-specification-data-processing-and-handling-requirements" TargetMode="External" /><Relationship Type="http://schemas.openxmlformats.org/officeDocument/2006/relationships/hyperlink" Id="rId27" Target="https://www.usgs.gov/programs/earthquake-hazards/science/national-seismic-hazard-mode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2026-02-25T21:47:34Z</dcterms:created>
  <dcterms:modified xsi:type="dcterms:W3CDTF">2026-02-25T21:47:34Z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