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160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合同段落变更类型识别服务</w:t>
      </w:r>
    </w:p>
    <w:p>
      <w:pPr>
        <w:spacing w:after="560"/>
        <w:jc w:val="center"/>
      </w:pPr>
      <w:r>
        <w:rPr>
          <w:rFonts w:ascii="Calibri" w:hAnsi="Calibri" w:eastAsia="Microsoft YaHei"/>
          <w:b/>
          <w:i w:val="0"/>
          <w:color w:val="2E74B5"/>
          <w:sz w:val="40"/>
        </w:rPr>
        <w:t>接口调用说明书</w:t>
      </w:r>
    </w:p>
    <w:p>
      <w:pPr>
        <w:spacing w:after="128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4"/>
        </w:rPr>
        <w:t>历史样本导入 · 段落预测 · 向量索引运维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文档版本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V1.1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编制日期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2026年8月24日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适用版本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glxt-service-contract-change 1.0.0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技术栈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Java 8 / Spring Boot 2.1.5 / Oracle / 内网统一Embedding网关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读者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前端开发、后端集成、测试、运维及业务验收人员</w:t>
            </w:r>
          </w:p>
        </w:tc>
      </w:tr>
    </w:tbl>
    <w:p>
      <w:pPr>
        <w:spacing w:before="7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内部技术文档</w:t>
      </w:r>
    </w:p>
    <w:p>
      <w:r>
        <w:br w:type="page"/>
      </w:r>
    </w:p>
    <w:p>
      <w:pPr>
        <w:pStyle w:val="Heading1"/>
      </w:pPr>
      <w:r>
        <w:t>文档使用说明</w:t>
      </w:r>
    </w:p>
    <w:p>
      <w:pPr>
        <w:spacing w:before="100" w:after="140"/>
        <w:ind w:left="173" w:right="115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适用范围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本文档依据当前工程源码和配置编制，覆盖第一版全部对外业务接口及联调注意事项。</w:t>
      </w: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本文档描述的核心接口共4个：历史样本Excel导入、新段落预测、索引重载和索引状态查询。接口不负责解析整份PDF或Word，不负责维护变更类型名称，也不保存预测结果。</w:t>
      </w:r>
    </w:p>
    <w:p>
      <w:pPr>
        <w:pStyle w:val="Heading2"/>
      </w:pPr>
      <w:r>
        <w:t>快速目录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章节</w:t>
            </w:r>
          </w:p>
        </w:tc>
        <w:tc>
          <w:tcPr>
            <w:tcW w:type="dxa" w:w="8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服务概览与调用前提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统一请求与响应约定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历史样本Excel导入接口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新合同段落预测接口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向量索引重载接口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向量索引状态接口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完整业务流程与判定规则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错误处理与排查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联调步骤与配置清单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附录</w:t>
            </w:r>
          </w:p>
        </w:tc>
        <w:tc>
          <w:tcPr>
            <w:tcW w:type="dxa" w:w="8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字段字典、术语和示例</w:t>
            </w:r>
          </w:p>
        </w:tc>
      </w:tr>
    </w:tbl>
    <w:p>
      <w:pPr>
        <w:spacing w:after="40"/>
      </w:pPr>
    </w:p>
    <w:p>
      <w:pPr>
        <w:pStyle w:val="Heading1"/>
      </w:pPr>
      <w:r>
        <w:t>1. 服务概览与调用前提</w:t>
      </w:r>
    </w:p>
    <w:p>
      <w:pPr>
        <w:pStyle w:val="Heading2"/>
      </w:pPr>
      <w:r>
        <w:t>1.1 服务职责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将历史合同段落及其已确认的变更类型编码从Excel导入Oracle。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调用公司内网统一Embedding网关生成向量，并将历史向量加载到JVM内存索引。</w:t>
      </w:r>
    </w:p>
    <w:p>
      <w:pPr>
        <w:pStyle w:val="ListBullet"/>
      </w:pPr>
      <w:r>
        <w:t>将新段落与历史段落进行语义相似度比较，通过前10条相似记录加权投票返回类型。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提供索引重载及状态查询能力，便于部署和运维检查。</w:t>
      </w:r>
    </w:p>
    <w:p>
      <w:pPr>
        <w:pStyle w:val="Heading2"/>
      </w:pPr>
      <w:r>
        <w:t>1.2 调用前提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050"/>
        <w:gridCol w:w="381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依赖</w:t>
            </w:r>
          </w:p>
        </w:tc>
        <w:tc>
          <w:tcPr>
            <w:tcW w:type="dxa" w:w="40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要求</w:t>
            </w:r>
          </w:p>
        </w:tc>
        <w:tc>
          <w:tcPr>
            <w:tcW w:type="dxa" w:w="38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不满足时的影响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Oracle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已执行01_schema.sql，TPIF_HTDLYB可读写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导入、启动加载和索引重载失败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统一Embedding网关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完整接口URL、API Key、模型名称、模型版本和向量维度均已由平台确认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导入和非精确预测失败；关键配置缺失时应用启动失败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模型版本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历史向量与当前MODEL_VERSION及VECTOR_DIM一致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旧模型数据不会进入当前索引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历史数据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至少有一条SFSX=1的有效样本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预测只能返回NO_RELIABLE_MATCH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上游切分</w:t>
            </w:r>
          </w:p>
        </w:tc>
        <w:tc>
          <w:tcPr>
            <w:tcW w:type="dxa" w:w="4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请求内容已经是单个段落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超长或混合主题文本会降低匹配质量</w:t>
            </w:r>
          </w:p>
        </w:tc>
      </w:tr>
    </w:tbl>
    <w:p>
      <w:pPr>
        <w:spacing w:after="40"/>
      </w:pPr>
    </w:p>
    <w:p>
      <w:pPr>
        <w:pStyle w:val="Heading2"/>
      </w:pPr>
      <w:r>
        <w:t>1.3 服务地址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场景</w:t>
            </w:r>
          </w:p>
        </w:tc>
        <w:tc>
          <w:tcPr>
            <w:tcW w:type="dxa" w:w="3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基础地址示例</w:t>
            </w:r>
          </w:p>
        </w:tc>
        <w:tc>
          <w:tcPr>
            <w:tcW w:type="dxa" w:w="3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完整预测地址示例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独立模块默认配置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http://localhost:8080/glxt-service-contract-change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http://localhost:8080/glxt-service-contract-change/service/contract-change/predict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当前集成环境示例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http://localhost:15006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http://localhost:15006/service/contract-change/predict</w:t>
            </w:r>
          </w:p>
        </w:tc>
      </w:tr>
    </w:tbl>
    <w:p>
      <w:pPr>
        <w:spacing w:after="40"/>
      </w:pPr>
    </w:p>
    <w:p>
      <w:pPr>
        <w:spacing w:before="100" w:after="140"/>
        <w:ind w:left="173" w:right="115"/>
        <w:shd w:fill="FFF8E8"/>
        <w:pBdr>
          <w:left w:val="single" w:sz="18" w:color="7A5A00" w:space="8"/>
        </w:pBdr>
      </w:pPr>
      <w:r>
        <w:rPr>
          <w:rFonts w:ascii="Calibri" w:hAnsi="Calibri" w:eastAsia="Microsoft YaHei"/>
          <w:b/>
          <w:i w:val="0"/>
          <w:color w:val="7A5A00"/>
          <w:sz w:val="22"/>
        </w:rPr>
        <w:t xml:space="preserve">注意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最终地址由端口、context-path、网关路由共同决定。若工程被合入已有服务，通常使用集成服务的端口和上下文，以实际Swagger或部署路由为准。</w:t>
      </w:r>
    </w:p>
    <w:p>
      <w:pPr>
        <w:pStyle w:val="Heading2"/>
      </w:pPr>
      <w:r>
        <w:t>1.4 统一Embedding网关调用约定</w:t>
      </w:r>
    </w:p>
    <w:p>
      <w:r>
        <w:t>Java服务通过平台确认的完整Embedding URL调用统一模型网关，不拼接路径，也不再部署Hugging Face、Python服务或模型Docker容器。</w:t>
      </w:r>
    </w:p>
    <w:p>
      <w:r>
        <w:t>网关请求使用Authorization: Bearer &lt;API Key&gt;和UserId请求头；请求体明确发送model、input、dimensions和encoding_format=float，响应按data[].index还原输入顺序后读取embedding。</w:t>
      </w:r>
    </w:p>
    <w:p>
      <w:r>
        <w:t>API Key只从服务端环境变量EMBEDDING_API_KEY读取，不接收或转发业务接口Authorization。当前默认模型为gen-studio-Qwen3-Embedding-8B、维度1024；模型版本用于隔离历史向量，切换模型或维度时必须同步修改并重新生成历史向量。</w:t>
      </w:r>
    </w:p>
    <w:p>
      <w:r>
        <w:t>批量能力尚未确认时EMBEDDING_BATCH_SIZE保持为1；平台确认input数组和单批上限后，只修改环境变量即可。</w:t>
      </w:r>
    </w:p>
    <w:p>
      <w:pPr>
        <w:pStyle w:val="Heading1"/>
      </w:pPr>
      <w:r>
        <w:t>2. 统一请求与响应约定</w:t>
      </w:r>
    </w:p>
    <w:p>
      <w:pPr>
        <w:pStyle w:val="Heading2"/>
      </w:pPr>
      <w:r>
        <w:t>2.1 通用请求头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请求头</w:t>
            </w:r>
          </w:p>
        </w:tc>
        <w:tc>
          <w:tcPr>
            <w:tcW w:type="dxa" w:w="1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是否必需</w:t>
            </w:r>
          </w:p>
        </w:tc>
        <w:tc>
          <w:tcPr>
            <w:tcW w:type="dxa" w:w="5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Content-Type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是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导入、预测及运维接口均使用application/json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Accept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建议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application/json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Authorization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视集成环境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业务接口鉴权令牌不会转发给模型平台；模型平台使用服务端API Key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UserId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预测必需；导入改为JSON userId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实际操作人工号；只透传模型平台审计，不写库、不记录日志；反向代理必须允许并转发下划线请求头</w:t>
            </w:r>
          </w:p>
        </w:tc>
      </w:tr>
      <w:tr>
        <w:tc>
          <w:tcPr>
            <w:tcW w:type="dxa" w:w="2200"/>
          </w:tcPr>
          <w:p>
            <w:r>
              <w:t>Trace-Id等</w:t>
            </w:r>
          </w:p>
        </w:tc>
        <w:tc>
          <w:tcPr>
            <w:tcW w:type="dxa" w:w="1600"/>
          </w:tcPr>
          <w:p>
            <w:r>
              <w:t>视集成环境</w:t>
            </w:r>
          </w:p>
        </w:tc>
        <w:tc>
          <w:tcPr>
            <w:tcW w:type="dxa" w:w="5560"/>
          </w:tcPr>
          <w:p>
            <w:r>
              <w:t>由网关或现有系统链路追踪规范决定</w:t>
            </w:r>
          </w:p>
        </w:tc>
      </w:tr>
    </w:tbl>
    <w:p>
      <w:pPr>
        <w:spacing w:after="40"/>
      </w:pPr>
    </w:p>
    <w:p>
      <w:pPr>
        <w:pStyle w:val="Heading2"/>
      </w:pPr>
      <w:r>
        <w:t>2.2 统一响应外壳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"code": 200,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"message": "操作成功",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"data": { ... 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55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2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5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code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Integer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业务响应码。独立模块：200成功、400参数/业务校验、503模型不可用、500未预期异常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message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String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面向调用方的结果说明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data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Object/null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具体接口数据；异常时通常为null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success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Boolean（集成环境可能存在）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若宿主系统统一响应增加该字段，true表示响应外壳成功</w:t>
            </w:r>
          </w:p>
        </w:tc>
      </w:tr>
    </w:tbl>
    <w:p>
      <w:pPr>
        <w:spacing w:after="40"/>
      </w:pPr>
    </w:p>
    <w:p>
      <w:pPr>
        <w:spacing w:before="100" w:after="140"/>
        <w:ind w:left="173" w:right="115"/>
        <w:shd w:fill="FFF8E8"/>
        <w:pBdr>
          <w:left w:val="single" w:sz="18" w:color="7A5A00" w:space="8"/>
        </w:pBdr>
      </w:pPr>
      <w:r>
        <w:rPr>
          <w:rFonts w:ascii="Calibri" w:hAnsi="Calibri" w:eastAsia="Microsoft YaHei"/>
          <w:b/>
          <w:i w:val="0"/>
          <w:color w:val="7A5A00"/>
          <w:sz w:val="22"/>
        </w:rPr>
        <w:t xml:space="preserve">集成差异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截图中的宿主项目使用code=0、success=true表示成功；独立模块源码使用code=200。调用方应按最终集成项目的统一响应规范判断，data内部字段不受影响。</w:t>
      </w:r>
    </w:p>
    <w:p>
      <w:pPr>
        <w:spacing w:before="100" w:after="140"/>
        <w:ind w:left="173" w:right="115"/>
        <w:shd w:fill="FFF1F0"/>
        <w:pBdr>
          <w:left w:val="single" w:sz="18" w:color="9B1C1C" w:space="8"/>
        </w:pBdr>
      </w:pPr>
      <w:r>
        <w:rPr>
          <w:rFonts w:ascii="Calibri" w:hAnsi="Calibri" w:eastAsia="Microsoft YaHei"/>
          <w:b/>
          <w:i w:val="0"/>
          <w:color w:val="9B1C1C"/>
          <w:sz w:val="22"/>
        </w:rPr>
        <w:t xml:space="preserve">HTTP状态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当前异常处理器主要通过响应体code表达业务状态，实际HTTP状态可能仍为200。客户端不要只判断HTTP 200，应同时判断响应体code或宿主系统success字段。</w:t>
      </w:r>
    </w:p>
    <w:p>
      <w:pPr>
        <w:pStyle w:val="Heading2"/>
      </w:pPr>
      <w:r>
        <w:t>2.3 数值精度</w:t>
      </w: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接口中的maxSimilarity、changeTypes[].score和references[].similarity最多返回4位小数，例如0.879620385984689返回为0.8796。四舍五入只发生在JSON输出阶段，内部排序、阈值判断和投票使用完整精度。</w:t>
      </w:r>
    </w:p>
    <w:p>
      <w:pPr>
        <w:pStyle w:val="Heading1"/>
      </w:pPr>
      <w:r>
        <w:t>3. 历史样本Excel导入接口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值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接口名称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导入历史合同段落Excel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方法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POST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路径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/service/contract-change/samples/import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Content-Type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application/json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JSON字段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fileGetPath：SFTP服务器xlsx路径；userId：实际操作人工号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执行方式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同步；请求会等待解析、向量化、入库和索引刷新全部完成</w:t>
            </w:r>
          </w:p>
        </w:tc>
      </w:tr>
      <w:tr>
        <w:tc>
          <w:tcPr>
            <w:tcW w:type="dxa" w:w="1900"/>
          </w:tcPr>
          <w:p>
            <w:r>
              <w:t>文件读取</w:t>
            </w:r>
          </w:p>
        </w:tc>
        <w:tc>
          <w:tcPr>
            <w:tcW w:type="dxa" w:w="7460"/>
          </w:tcPr>
          <w:p>
            <w:r>
              <w:t>主备SFTP下载；不需要UserId请求头，最大20MB</w:t>
            </w:r>
          </w:p>
        </w:tc>
      </w:tr>
    </w:tbl>
    <w:p>
      <w:pPr>
        <w:spacing w:after="40"/>
      </w:pPr>
    </w:p>
    <w:p>
      <w:pPr>
        <w:pStyle w:val="Heading2"/>
      </w:pPr>
      <w:r>
        <w:t>3.1 Excel格式</w:t>
      </w: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仅支持.xlsx。只读取第一张Sheet，前两列表头必须完全为“合同段落”和“变更类型编码”。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</w:trPr>
        <w:tc>
          <w:tcPr>
            <w:tcW w:type="dxa" w:w="6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合同段落</w:t>
            </w:r>
          </w:p>
        </w:tc>
        <w:tc>
          <w:tcPr>
            <w:tcW w:type="dxa" w:w="3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变更类型编码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基金管理人应当向投资者充分揭示相关风险。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20;25;28</w:t>
            </w:r>
          </w:p>
        </w:tc>
      </w:tr>
      <w:tr>
        <w:tc>
          <w:tcPr>
            <w:tcW w:type="dxa" w:w="6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基金管理人应按规定履行信息披露义务。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26;54;76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多个编码使用英文分号分隔；编码自动去空格、去重并排序。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单个编码最长64字符，编码自身不得包含英文分号或空白字符，总长度不超过4000字符。</w:t>
      </w:r>
    </w:p>
    <w:p>
      <w:pPr>
        <w:pStyle w:val="ListBullet"/>
      </w:pPr>
      <w:r>
        <w:t>单个文件不超过20MB；默认最多1000条非空数据行；当前版本有效样本最多10000条；规范化后的段落不超过2000字符。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整行为空时跳过，不计入totalRows。</w:t>
      </w:r>
    </w:p>
    <w:p>
      <w:pPr>
        <w:pStyle w:val="Heading2"/>
      </w:pPr>
      <w:r>
        <w:t>3.2 调用示例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curl -X POST "http://localhost:15006/service/contract-change/samples/import" \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-H "Accept: application/json" \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-H "Content-Type: application/json" \</w:t>
      </w:r>
    </w:p>
    <w:p>
      <w:pPr>
        <w:spacing w:after="80"/>
      </w:pPr>
      <w:r>
        <w:t xml:space="preserve">  -d '{"fileGetPath":"/data/samples.xlsx","userId":"employee-001"}'</w:t>
      </w: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Postman：Body选择raw/JSON，填写fileGetPath和userId。服务通过主备SFTP读取xlsx，最大20MB。</w:t>
      </w:r>
    </w:p>
    <w:p>
      <w:pPr>
        <w:pStyle w:val="Heading2"/>
      </w:pPr>
      <w:r>
        <w:t>3.3 成功响应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"code": 200,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"message": "操作成功",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"data": 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"success": true,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"totalRows": 10,</w:t>
      </w:r>
    </w:p>
    <w:p>
      <w:pPr>
        <w:spacing w:before="0" w:after="0" w:line="240" w:lineRule="auto"/>
        <w:ind w:left="173" w:right="173"/>
        <w:shd w:fill="F7F8FA"/>
      </w:pPr>
      <w:r>
        <w:t xml:space="preserve">    "inserted": 7,</w:t>
        <w:br/>
        <w:t xml:space="preserve">    "updated": 1,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"skipped": 2,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"indexReloaded": true,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"errors": []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58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5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success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Boolean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本批是否通过校验并完成数据库写入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totalRows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Integer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Excel中实际读取的非空数据行数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inserted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Integer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本批实际新增的数据库记录数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updated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Integer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本批重新启用或按当前模型重新生成向量的记录数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skipped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Integer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文件内或数据库中“段落相同且类型相同”的幂等跳过数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indexReloaded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Boolean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入库后是否成功切换到新内存索引</w:t>
            </w:r>
          </w:p>
        </w:tc>
      </w:tr>
      <w:tr>
        <w:tc>
          <w:tcPr>
            <w:tcW w:type="dxa" w:w="1800"/>
          </w:tcPr>
          <w:p>
            <w:r>
              <w:t>errors</w:t>
            </w:r>
          </w:p>
        </w:tc>
        <w:tc>
          <w:tcPr>
            <w:tcW w:type="dxa" w:w="1700"/>
          </w:tcPr>
          <w:p>
            <w:r>
              <w:t>Array</w:t>
            </w:r>
          </w:p>
        </w:tc>
        <w:tc>
          <w:tcPr>
            <w:tcW w:type="dxa" w:w="5860"/>
          </w:tcPr>
          <w:p>
            <w:r>
              <w:t>逐行校验或标签冲突错误；成功时为空数组</w:t>
            </w:r>
          </w:p>
        </w:tc>
      </w:tr>
    </w:tbl>
    <w:p>
      <w:pPr>
        <w:spacing w:after="40"/>
      </w:pPr>
    </w:p>
    <w:p>
      <w:pPr>
        <w:pStyle w:val="Heading2"/>
      </w:pPr>
      <w:r>
        <w:t>3.4 校验失败响应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"code": 200,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"message": "操作成功",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"data": 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"success": false,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"totalRows": 3,</w:t>
      </w:r>
    </w:p>
    <w:p>
      <w:pPr>
        <w:spacing w:before="0" w:after="0" w:line="240" w:lineRule="auto"/>
        <w:ind w:left="173" w:right="173"/>
        <w:shd w:fill="F7F8FA"/>
      </w:pPr>
      <w:r>
        <w:t xml:space="preserve">    "inserted": 0,</w:t>
        <w:br/>
        <w:t xml:space="preserve">    "updated": 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"skipped": 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"indexReloaded": false,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"errors": [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  {"row": 3, "message": "合同段落不能为空"}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]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p>
      <w:pPr>
        <w:spacing w:before="100" w:after="140"/>
        <w:ind w:left="173" w:right="115"/>
        <w:shd w:fill="FFF8E8"/>
        <w:pBdr>
          <w:left w:val="single" w:sz="18" w:color="7A5A00" w:space="8"/>
        </w:pBdr>
      </w:pPr>
      <w:r>
        <w:t>校验失败状态  导入业务校验未通过时，外层code=400、message=Excel导入校验失败，同时data.success=false并在data.errors中返回逐行原因。调用方应同时读取外层code和data.errors。</w:t>
      </w:r>
    </w:p>
    <w:p>
      <w:pPr>
        <w:pStyle w:val="Heading2"/>
      </w:pPr>
      <w:r>
        <w:t>3.5 导入处理顺序与事务边界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校验文件是否存在、是否为.xlsx、是否超过上传限制。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读取第一张Sheet并校验固定表头、行数、段落和类型编码。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规范化段落，计算SHA-256；文件内相同Hash同标签跳过，不同标签报冲突。</w:t>
      </w:r>
    </w:p>
    <w:p>
      <w:pPr>
        <w:pStyle w:val="ListNumber"/>
      </w:pPr>
      <w:r>
        <w:t>按当前版本分批查询Oracle Hash；当前模型、维度、生效状态和标签均一致时跳过；只有类型编码相同的停用记录才重新启用；模型版本变化时合并有效历史与Excel，全量生成新版本行；任何相同段落不同标签均报冲突。</w:t>
      </w:r>
    </w:p>
    <w:p>
      <w:pPr>
        <w:pStyle w:val="ListNumber"/>
      </w:pPr>
      <w:r>
        <w:t>将全部待新增或待更新段落按batch-size分批调用统一Embedding网关。</w:t>
      </w:r>
    </w:p>
    <w:p>
      <w:pPr>
        <w:pStyle w:val="ListNumber"/>
      </w:pPr>
      <w:r>
        <w:t>全部向量成功后才开启数据库事务；任何新增或更新失败整批回滚。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普通增量导入提交后刷新索引，失败仅保留兼容旧快照并返回indexReloaded=false；升级重建索引失败返回503，等待恢复。</w:t>
      </w:r>
    </w:p>
    <w:p>
      <w:pPr>
        <w:spacing w:before="100" w:after="140"/>
        <w:ind w:left="173" w:right="115"/>
        <w:shd w:fill="FFF8E8"/>
        <w:pBdr>
          <w:left w:val="single" w:sz="18" w:color="7A5A00" w:space="8"/>
        </w:pBdr>
      </w:pPr>
      <w:r>
        <w:rPr>
          <w:rFonts w:ascii="Calibri" w:hAnsi="Calibri" w:eastAsia="Microsoft YaHei"/>
          <w:b/>
          <w:i w:val="0"/>
          <w:color w:val="7A5A00"/>
          <w:sz w:val="22"/>
        </w:rPr>
        <w:t>同步等待  导入接口不是异步任务。默认每批最多16条调用模型网关，1000条数据可能等待较长时间，并受浏览器、业务网关或Nginx超时影响。平台确认批量能力后可通过配置提高批量大小。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</w:r>
    </w:p>
    <w:p>
      <w:pPr>
        <w:spacing w:before="100" w:after="140"/>
        <w:ind w:left="173" w:right="115"/>
        <w:shd w:fill="FFF1F0"/>
        <w:pBdr>
          <w:left w:val="single" w:sz="18" w:color="9B1C1C" w:space="8"/>
        </w:pBdr>
      </w:pPr>
      <w:r>
        <w:t>批量限制  EMBEDDING_BATCH_SIZE默认16，上限16。只有平台确认模型支持input数组及单批上限后才允许调大；超过网关限制通常会返回HTTP 400或422。</w:t>
      </w:r>
    </w:p>
    <w:p>
      <w:pPr>
        <w:pStyle w:val="Heading1"/>
      </w:pPr>
      <w:r>
        <w:t>4. 新合同段落预测接口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值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接口名称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预测新合同段落的变更类型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方法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POST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路径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/service/contract-change/predict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Content-Type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application/json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是否写库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否；预测结果不入库</w:t>
            </w:r>
          </w:p>
        </w:tc>
      </w:tr>
      <w:tr>
        <w:tc>
          <w:tcPr>
            <w:tcW w:type="dxa" w:w="1900"/>
          </w:tcPr>
          <w:p>
            <w:r>
              <w:t>请求头</w:t>
            </w:r>
          </w:p>
        </w:tc>
        <w:tc>
          <w:tcPr>
            <w:tcW w:type="dxa" w:w="7460"/>
          </w:tcPr>
          <w:p>
            <w:r>
              <w:t>UserId：实际操作人工号，必填</w:t>
            </w:r>
          </w:p>
        </w:tc>
      </w:tr>
    </w:tbl>
    <w:p>
      <w:pPr>
        <w:spacing w:after="40"/>
      </w:pPr>
      <w:r>
        <w:t>调用该接口必须携带UserId请求头，值为实际操作人工号。</w:t>
      </w:r>
    </w:p>
    <w:p>
      <w:pPr>
        <w:pStyle w:val="Heading2"/>
      </w:pPr>
      <w:r>
        <w:t>4.1 请求参数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"paragraph": "基金管理人应当向投资者充分揭示相关风险。"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100"/>
        <w:gridCol w:w="5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必填</w:t>
            </w:r>
          </w:p>
        </w:tc>
        <w:tc>
          <w:tcPr>
            <w:tcW w:type="dxa" w:w="5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约束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paragraph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String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是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已经切分好的单个合同段落；规范化后非空；默认不超过2000字符</w:t>
            </w:r>
          </w:p>
        </w:tc>
      </w:tr>
    </w:tbl>
    <w:p>
      <w:pPr>
        <w:spacing w:after="40"/>
      </w:pPr>
    </w:p>
    <w:p>
      <w:pPr>
        <w:spacing w:before="100" w:after="140"/>
        <w:ind w:left="173" w:right="115"/>
        <w:shd w:fill="F4F6F9"/>
        <w:pBdr>
          <w:left w:val="single" w:sz="18" w:color="2E74B5" w:space="8"/>
        </w:pBdr>
      </w:pPr>
      <w:r>
        <w:t>长文本说明  2000字符是当前业务上限，不等同于新模型Token上限。服务明确拒绝超长段落且不自动截断，避免丢失金额、比例、否定词和权利义务；平台确认上下文长度后可调整配置。若段落混合多个主题，建议上游按条款或语义段落切分。</w:t>
      </w:r>
    </w:p>
    <w:p>
      <w:pPr>
        <w:pStyle w:val="Heading2"/>
      </w:pPr>
      <w:r>
        <w:t>4.2 响应字段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56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5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matchType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String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EXACT、SEMANTIC或NO_RELIABLE_MATCH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modelVersion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String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本次预测使用的模型版本标识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maxSimilarity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Number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新段落与最相似历史段落的相似度；最多4位小数；不是正确率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changeTypes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Array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最终认可并返回的变更类型结果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references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Array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按相似度倒序的历史参考段落，默认最多5条</w:t>
            </w:r>
          </w:p>
        </w:tc>
      </w:tr>
    </w:tbl>
    <w:p>
      <w:pPr>
        <w:spacing w:after="40"/>
      </w:pPr>
    </w:p>
    <w:p>
      <w:pPr>
        <w:pStyle w:val="Heading2"/>
      </w:pPr>
      <w:r>
        <w:t>4.3 changeTypes字段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56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5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code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String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变更类型编码；第一版不查询类型名称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score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Number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类型支持得分：EXACT为1；语义匹配为该类型支持权重占全部投票权重的比例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supportCount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Integer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参与投票的Top-K样本中包含该类型的样本数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level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String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HIGH或CANDIDATE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000"/>
        <w:gridCol w:w="57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level</w:t>
            </w:r>
          </w:p>
        </w:tc>
        <w:tc>
          <w:tcPr>
            <w:tcW w:type="dxa" w:w="2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含义</w:t>
            </w:r>
          </w:p>
        </w:tc>
        <w:tc>
          <w:tcPr>
            <w:tcW w:type="dxa" w:w="5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判定规则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HIGH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高可信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精确命中；或语义投票score&gt;=0.80且supportCount&gt;=2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CANDIDATE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候选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score&gt;=0.55但未满足HIGH；或触发强单条兜底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不返回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证据不足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score&lt;0.55且未触发强单条兜底</w:t>
            </w:r>
          </w:p>
        </w:tc>
      </w:tr>
    </w:tbl>
    <w:p>
      <w:pPr>
        <w:spacing w:after="40"/>
      </w:pPr>
    </w:p>
    <w:p>
      <w:pPr>
        <w:pStyle w:val="Heading2"/>
      </w:pPr>
      <w:r>
        <w:t>4.4 references字段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54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类型</w:t>
            </w:r>
          </w:p>
        </w:tc>
        <w:tc>
          <w:tcPr>
            <w:tcW w:type="dxa" w:w="5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sampleId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Long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历史样本主键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paragraph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String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历史段落原文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similarity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Number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新段落与该历史段落的最终余弦相似度，最多4位小数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changeTypeCodes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Array&lt;String&gt;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该历史段落导入时已有的变更类型编码</w:t>
            </w:r>
          </w:p>
        </w:tc>
      </w:tr>
    </w:tbl>
    <w:p>
      <w:pPr>
        <w:spacing w:after="40"/>
      </w:pPr>
    </w:p>
    <w:p>
      <w:pPr>
        <w:spacing w:before="100" w:after="140"/>
        <w:ind w:left="173" w:right="115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核心关系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系统只比较“新段落”和“历史段落”。变更类型不会直接与新段落做向量比较，而是作为历史段落已有标签参与后续投票。</w:t>
      </w:r>
    </w:p>
    <w:p>
      <w:pPr>
        <w:pStyle w:val="Heading2"/>
      </w:pPr>
      <w:r>
        <w:t>4.5 EXACT响应示例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"code": 200,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"message": "操作成功",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"data": {</w:t>
      </w:r>
    </w:p>
    <w:p>
      <w:pPr>
        <w:spacing w:before="0" w:after="0" w:line="240" w:lineRule="auto"/>
        <w:ind w:left="173" w:right="173"/>
        <w:shd w:fill="F7F8FA"/>
      </w:pPr>
      <w:r>
        <w:t xml:space="preserve">    "matchType": "EXACT",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"modelVersion": "embedding-model-v1",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"maxSimilarity": 1.0,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"changeTypes": [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  {"code": "20", "score": 1.0, "supportCount": 1, "level": "HIGH"}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],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"references": [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  {"sampleId": 3, "paragraph": "历史段落", "similarity": 1.0,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   "changeTypeCodes": ["20"]}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]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p>
      <w:pPr>
        <w:pStyle w:val="Heading2"/>
      </w:pPr>
      <w:r>
        <w:t>4.6 SEMANTIC加权投票响应示例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"code": 200,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"message": "操作成功",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"data": {</w:t>
      </w:r>
    </w:p>
    <w:p>
      <w:pPr>
        <w:spacing w:before="0" w:after="0" w:line="240" w:lineRule="auto"/>
        <w:ind w:left="173" w:right="173"/>
        <w:shd w:fill="F7F8FA"/>
      </w:pPr>
      <w:r>
        <w:t xml:space="preserve">    "matchType": "SEMANTIC",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"modelVersion": "embedding-model-v1",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"maxSimilarity": 0.9213,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"changeTypes": [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  {"code": "35", "score": 0.8642, "supportCount": 3, "level": "HIGH"},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  {"code": "40", "score": 0.6128, "supportCount": 1, "level": "CANDIDATE"}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],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"references": [ ... ]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p>
      <w:pPr>
        <w:pStyle w:val="Heading2"/>
      </w:pPr>
      <w:r>
        <w:t>4.7 强单条匹配兜底示例</w:t>
      </w:r>
    </w:p>
    <w:p>
      <w:r>
        <w:t>当最相似的10条历史样本投票没有类型达到0.55，但第一名相似度不低于0.80时，返回第一名历史段落的类型，全部标记为CANDIDATE。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t xml:space="preserve">  "matchType": "SEMANTIC",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"maxSimilarity": 0.8397,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"changeTypes": [</w:t>
      </w:r>
    </w:p>
    <w:p>
      <w:pPr>
        <w:spacing w:before="0" w:after="0" w:line="240" w:lineRule="auto"/>
        <w:ind w:left="173" w:right="173"/>
        <w:shd w:fill="F7F8FA"/>
      </w:pPr>
      <w:r>
        <w:t xml:space="preserve">    {"code": "35", "score": 0.3821, "supportCount": 1, "level": "CANDIDATE"},</w:t>
      </w:r>
    </w:p>
    <w:p>
      <w:pPr>
        <w:spacing w:before="0" w:after="0" w:line="240" w:lineRule="auto"/>
        <w:ind w:left="173" w:right="173"/>
        <w:shd w:fill="F7F8FA"/>
      </w:pPr>
      <w:r>
        <w:t xml:space="preserve">    {"code": "40", "score": 0.3821, "supportCount": 1, "level": "CANDIDATE"}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],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"references": [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{"sampleId": 6, "similarity": 0.8397, "changeTypeCodes": ["35", "40"]},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{"sampleId": 9, "similarity": 0.7439, "changeTypeCodes": ["26", "54"]}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]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p>
      <w:pPr>
        <w:spacing w:before="100" w:after="140"/>
        <w:ind w:left="173" w:right="115"/>
        <w:shd w:fill="FFF8E8"/>
        <w:pBdr>
          <w:left w:val="single" w:sz="18" w:color="7A5A00" w:space="8"/>
        </w:pBdr>
      </w:pPr>
      <w:r>
        <w:rPr>
          <w:rFonts w:ascii="Calibri" w:hAnsi="Calibri" w:eastAsia="Microsoft YaHei"/>
          <w:b/>
          <w:i w:val="0"/>
          <w:color w:val="7A5A00"/>
          <w:sz w:val="22"/>
        </w:rPr>
        <w:t xml:space="preserve">为什么不是HIGH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强单条兜底主要依赖一条历史证据，即使相似度很高，也不能等同于多条样本形成的标签共识。</w:t>
      </w:r>
    </w:p>
    <w:p>
      <w:pPr>
        <w:pStyle w:val="Heading2"/>
      </w:pPr>
      <w:r>
        <w:t>4.8 NO_RELIABLE_MATCH响应</w:t>
      </w: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可能存在两种情况：没有任何历史段落达到最低召回相似度；或者找到了相似段落，但类型冲突、投票不足且不满足强单条兜底。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t xml:space="preserve">  "matchType": "NO_RELIABLE_MATCH",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"modelVersion": "embedding-model-v1",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"maxSimilarity": 0.84,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"changeTypes": [],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"references": [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{"sampleId": 11, "similarity": 0.84, "changeTypeCodes": ["35", "40"]},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{"sampleId": 12, "similarity": 0.81, "changeTypeCodes": ["20", "25"]}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]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表现</w:t>
            </w:r>
          </w:p>
        </w:tc>
        <w:tc>
          <w:tcPr>
            <w:tcW w:type="dxa" w:w="6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业务含义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references为空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仅正常空库时为空；低于0.60仍保留真实Top参考段落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references不为空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找到了相似证据，但无法可靠确定最终类型，建议人工判断</w:t>
            </w:r>
          </w:p>
        </w:tc>
      </w:tr>
    </w:tbl>
    <w:p>
      <w:pPr>
        <w:spacing w:after="40"/>
      </w:pPr>
    </w:p>
    <w:p>
      <w:pPr>
        <w:pStyle w:val="Heading1"/>
      </w:pPr>
      <w:r>
        <w:t>5. 向量索引重载接口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值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方法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POST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路径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/service/contract-change/index/reload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请求体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作用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从Oracle重建当前模型版本/维度的内存索引，不重新生成向量</w:t>
            </w:r>
          </w:p>
        </w:tc>
      </w:tr>
    </w:tbl>
    <w:p>
      <w:pPr>
        <w:spacing w:after="40"/>
      </w:pP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curl -X POST "http://localhost:15006/service/contract-change/index/reload" \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-H "Accept: application/json"</w:t>
      </w:r>
    </w:p>
    <w:p>
      <w:pPr>
        <w:spacing w:after="80"/>
      </w:pP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"code": 200,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"message": "操作成功",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"data": {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"status": "READY",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"sampleCount": 1000,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"modelVersion": "embedding-model-v1",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"vectorDimension": 1024,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"loadedAt": 1786530000000,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  "errorCount": 0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 xml:space="preserve">  }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}</w:t>
      </w:r>
    </w:p>
    <w:p>
      <w:pPr>
        <w:spacing w:after="80"/>
      </w:pPr>
    </w:p>
    <w:p>
      <w:pPr>
        <w:spacing w:before="100" w:after="140"/>
        <w:ind w:left="173" w:right="115"/>
        <w:shd w:fill="F0F9F4"/>
        <w:pBdr>
          <w:left w:val="single" w:sz="18" w:color="247A4D" w:space="8"/>
        </w:pBdr>
      </w:pPr>
      <w:r>
        <w:rPr>
          <w:rFonts w:ascii="Calibri" w:hAnsi="Calibri" w:eastAsia="Microsoft YaHei"/>
          <w:b/>
          <w:i w:val="0"/>
          <w:color w:val="247A4D"/>
          <w:sz w:val="22"/>
        </w:rPr>
        <w:t xml:space="preserve">原子切换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重载期间预测继续使用旧快照。只有新索引完整构建后才一次性替换；查询或构建异常时仅兼容的旧快照可继续服务；模型不兼容或升级已提交时识别不可用。</w:t>
      </w:r>
    </w:p>
    <w:p>
      <w:pPr>
        <w:spacing w:before="100" w:after="140"/>
        <w:ind w:left="173" w:right="115"/>
        <w:shd w:fill="FFF8E8"/>
        <w:pBdr>
          <w:left w:val="single" w:sz="18" w:color="7A5A00" w:space="8"/>
        </w:pBdr>
      </w:pPr>
      <w:r>
        <w:t>使用场景  人工直接修改SFSX、恢复数据库、服务启动加载失败后恢复、或需要重新同步Oracle有效记录时调用。模型升级后不能仅调用reload；导入Excel会合并当前有效历史并同步全量重建新版本，然后验收索引数量。</w:t>
      </w:r>
    </w:p>
    <w:p>
      <w:pPr>
        <w:pStyle w:val="Heading1"/>
      </w:pPr>
      <w:r>
        <w:t>6. 向量索引状态接口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值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方法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GET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路径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/service/contract-change/index/status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请求体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无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作用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查询当前实际提供预测服务的JVM内存快照状态</w:t>
            </w:r>
          </w:p>
        </w:tc>
      </w:tr>
    </w:tbl>
    <w:p>
      <w:pPr>
        <w:spacing w:after="40"/>
      </w:pP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curl "http://localhost:15006/service/contract-change/index/status"</w:t>
      </w:r>
    </w:p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字段/状态</w:t>
            </w:r>
          </w:p>
        </w:tc>
        <w:tc>
          <w:tcPr>
            <w:tcW w:type="dxa" w:w="6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READY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存在有效样本，且本次加载没有损坏记录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EMPTY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当前模型版本和维度下没有有效样本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DEGRADED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数据库存在记录但部分或全部记录损坏；sampleCount可能为0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sampleCount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成功加载且实际参与检索的样本数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modelVersion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当前索引绑定的模型版本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vectorDimension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当前索引要求的向量维度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loadedAt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快照生成时间；表现形式受宿主Jackson日期配置影响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errorCount</w:t>
            </w:r>
          </w:p>
        </w:tc>
        <w:tc>
          <w:tcPr>
            <w:tcW w:type="dxa" w:w="6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重载时跳过的损坏记录数</w:t>
            </w:r>
          </w:p>
        </w:tc>
      </w:tr>
      <w:tr>
        <w:tc>
          <w:tcPr>
            <w:tcW w:type="dxa" w:w="2400"/>
          </w:tcPr>
          <w:p>
            <w:r>
              <w:t>NOT_READY</w:t>
            </w:r>
          </w:p>
        </w:tc>
        <w:tc>
          <w:tcPr>
            <w:tcW w:type="dxa" w:w="6960"/>
          </w:tcPr>
          <w:p>
            <w:r>
              <w:t>应用尚未完成首次Oracle索引加载，预测不可用</w:t>
            </w:r>
          </w:p>
        </w:tc>
      </w:tr>
      <w:tr>
        <w:tc>
          <w:tcPr>
            <w:tcW w:type="dxa" w:w="2400"/>
          </w:tcPr>
          <w:p>
            <w:r>
              <w:t>LOAD_FAILED</w:t>
            </w:r>
          </w:p>
        </w:tc>
        <w:tc>
          <w:tcPr>
            <w:tcW w:type="dxa" w:w="6960"/>
          </w:tcPr>
          <w:p>
            <w:r>
              <w:t>首次加载或空快照重载失败，预测不可用</w:t>
            </w:r>
          </w:p>
        </w:tc>
      </w:tr>
    </w:tbl>
    <w:p>
      <w:pPr>
        <w:spacing w:after="40"/>
      </w:pPr>
      <w:r/>
    </w:p>
    <w:p>
      <w:pPr>
        <w:pStyle w:val="Heading1"/>
      </w:pPr>
      <w:r>
        <w:t>7. 完整比较流程与判定规则</w:t>
      </w:r>
    </w:p>
    <w:p>
      <w:pPr>
        <w:pStyle w:val="Heading2"/>
      </w:pPr>
      <w:r>
        <w:t>7.1 新段落与历史段落如何比较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对新段落执行与导入时相同的文本规范化，并计算SHA-256。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若Hash完全命中历史样本，直接返回该样本类型，matchType=EXACT，不调用模型。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未精确命中时，调用统一Embedding网关生成配置维度的向量，并在Java侧执行L2归一化。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将新向量与所有内存历史向量计算点积；因双方均已归一化，点积等于余弦相似度。</w:t>
      </w:r>
    </w:p>
    <w:p>
      <w:pPr>
        <w:pStyle w:val="ListNumber"/>
      </w:pPr>
      <w:r>
        <w:t>使用最小堆保留最相似的10条记录，再按0.60判断可靠候选；即使全部低于阈值，也保留真实最高相似度和参考段落。</w:t>
      </w:r>
    </w:p>
    <w:p>
      <w:pPr>
        <w:pStyle w:val="ListNumber"/>
      </w:pPr>
      <w:r>
        <w:t>最相似的10条记录参与类型平方加权投票，其中最多返回5条参考段落。</w:t>
      </w:r>
    </w:p>
    <w:p>
      <w:pPr>
        <w:pStyle w:val="ListNumber"/>
      </w:pPr>
      <w:r>
        <w:t>投票无类型且第一名相似度达到0.80时，返回第一名类型作为候选；否则返回NO_RELIABLE_MATCH。</w:t>
      </w:r>
    </w:p>
    <w:p>
      <w:pPr>
        <w:pStyle w:val="Heading2"/>
      </w:pPr>
      <w:r>
        <w:t>7.2 加权投票公式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历史样本权重 = similarity²</w:t>
      </w:r>
    </w:p>
    <w:p>
      <w:pPr>
        <w:spacing w:before="0" w:after="0" w:line="240" w:lineRule="auto"/>
        <w:ind w:left="173" w:right="173"/>
        <w:shd w:fill="F7F8FA"/>
      </w:pPr>
      <w:r>
        <w:rPr>
          <w:rFonts w:ascii="Consolas" w:hAnsi="Consolas" w:eastAsia="Microsoft YaHei"/>
          <w:b w:val="0"/>
          <w:i w:val="0"/>
          <w:color w:val="273142"/>
          <w:sz w:val="17"/>
        </w:rPr>
        <w:t>类型得分 = 支持该类型的历史样本权重之和 / 全部投票样本权重之和</w:t>
      </w:r>
    </w:p>
    <w:p>
      <w:pPr>
        <w:spacing w:after="80"/>
      </w:pPr>
    </w:p>
    <w:p>
      <w:r>
        <w:rPr>
          <w:rFonts w:ascii="Calibri" w:hAnsi="Calibri" w:eastAsia="Microsoft YaHei"/>
          <w:b w:val="0"/>
          <w:i w:val="0"/>
          <w:color w:val="1F2937"/>
          <w:sz w:val="22"/>
        </w:rPr>
        <w:t>多标签历史样本中的每个标签都获得该样本完整权重。score表示综合支持度，不是段落相似度；references[].similarity才是段落之间的相似度。</w:t>
      </w:r>
    </w:p>
    <w:p>
      <w:pPr>
        <w:pStyle w:val="Heading2"/>
      </w:pPr>
      <w:r>
        <w:t>7.3 判定总表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500"/>
        <w:gridCol w:w="3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优先级</w:t>
            </w:r>
          </w:p>
        </w:tc>
        <w:tc>
          <w:tcPr>
            <w:tcW w:type="dxa" w:w="4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条件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规范化文本Hash完全相同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EXACT；历史类型全部HIGH；相似度/得分1.0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Top-K投票存在score&gt;=0.55的类型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SEMANTIC；按规则返回HIGH或CANDIDATE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投票无结果；第一名相似度&gt;=0.80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SEMANTIC；第一名类型作为CANDIDATE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召回存在但类型冲突/证据不足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NO_RELIABLE_MATCH；保留references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无样本达到0.60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NO_RELIABLE_MATCH；保留真实maxSimilarity和参考段落</w:t>
            </w:r>
          </w:p>
        </w:tc>
      </w:tr>
    </w:tbl>
    <w:p>
      <w:pPr>
        <w:spacing w:after="40"/>
      </w:pPr>
    </w:p>
    <w:p>
      <w:pPr>
        <w:pStyle w:val="Heading1"/>
      </w:pPr>
      <w:r>
        <w:t>8. 错误处理与常见问题</w:t>
      </w:r>
    </w:p>
    <w:p>
      <w:pPr>
        <w:pStyle w:val="Heading2"/>
      </w:pPr>
      <w:r>
        <w:t>8.1 业务响应码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80"/>
        <w:gridCol w:w="418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code</w:t>
            </w:r>
          </w:p>
        </w:tc>
        <w:tc>
          <w:tcPr>
            <w:tcW w:type="dxa" w:w="39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场景</w:t>
            </w:r>
          </w:p>
        </w:tc>
        <w:tc>
          <w:tcPr>
            <w:tcW w:type="dxa" w:w="41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处理建议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200</w:t>
            </w:r>
          </w:p>
        </w:tc>
        <w:tc>
          <w:tcPr>
            <w:tcW w:type="dxa" w:w="3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正常处理；导入仍需检查data.success</w:t>
            </w:r>
          </w:p>
        </w:tc>
        <w:tc>
          <w:tcPr>
            <w:tcW w:type="dxa" w:w="4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继续解析data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400</w:t>
            </w:r>
          </w:p>
        </w:tc>
        <w:tc>
          <w:tcPr>
            <w:tcW w:type="dxa" w:w="3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空参数、格式错误、段落超长、xlsx不合法等</w:t>
            </w:r>
          </w:p>
        </w:tc>
        <w:tc>
          <w:tcPr>
            <w:tcW w:type="dxa" w:w="4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修正请求或文件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503</w:t>
            </w:r>
          </w:p>
        </w:tc>
        <w:tc>
          <w:tcPr>
            <w:tcW w:type="dxa" w:w="3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Embedding网关连接/超时、4xx/5xx、限流、维度或响应格式异常</w:t>
            </w:r>
          </w:p>
        </w:tc>
        <w:tc>
          <w:tcPr>
            <w:tcW w:type="dxa" w:w="4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根据错误信息检查URL、API Key、权限、模型名、输入、批量和维度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500</w:t>
            </w:r>
          </w:p>
        </w:tc>
        <w:tc>
          <w:tcPr>
            <w:tcW w:type="dxa" w:w="3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数据库、程序或其他未预期异常</w:t>
            </w:r>
          </w:p>
        </w:tc>
        <w:tc>
          <w:tcPr>
            <w:tcW w:type="dxa" w:w="4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结合服务日志和trace-id排查</w:t>
            </w:r>
          </w:p>
        </w:tc>
      </w:tr>
    </w:tbl>
    <w:p>
      <w:pPr>
        <w:spacing w:after="40"/>
      </w:pPr>
      <w:r/>
    </w:p>
    <w:p>
      <w:pPr>
        <w:pStyle w:val="Heading2"/>
      </w:pPr>
      <w:r>
        <w:t>8.2 常见问题对照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2820"/>
        <w:gridCol w:w="3440"/>
      </w:tblGrid>
      <w:tr>
        <w:trPr>
          <w:tblHeader w:val="true"/>
        </w:trPr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现象/日志</w:t>
            </w:r>
          </w:p>
        </w:tc>
        <w:tc>
          <w:tcPr>
            <w:tcW w:type="dxa" w:w="282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原因</w:t>
            </w:r>
          </w:p>
        </w:tc>
        <w:tc>
          <w:tcPr>
            <w:tcW w:type="dxa" w:w="344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解决办法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Invalid bound statement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Mapper XML未加载或namespace/id不一致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检查mapper-locations、XML打包和namespace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 xml:space="preserve">CLOB字段读取类型不匹配或向量JSON解析失败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VECTOR_DATA实际为CLOB或SQL取错列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 xml:space="preserve">新建测试环境按初始化脚本定义CLOB；查询、新增、更新显式使用ClobTypeHandler，不执行现有表变更或迁移。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HTTP 400/422：请求被拒绝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请求格式、文本长度或批量参数不符合模型网关要求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默认将EMBEDDING_BATCH_SIZE设为1；向平台确认输入和批量限制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Embedding向量维度不一致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模型实际输出维度与Java配置不一致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使用平台确认维度，并统一VECTOR_DIM和EMBEDDING_DIMENSION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matchType=SEMANTIC但类型为空（旧版本）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旧逻辑仅因召回存在即返回SEMANTIC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使用已优化版本；无类型时返回NO_RELIABLE_MATCH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最高相似度高但无类型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标签分散、类型冲突或前两名过近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检查references；满足强匹配条件时新版会返回第一名候选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indexReloaded=false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入库成功但索引刷新失败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数据无需重导；修复原因后调用/index/reload</w:t>
            </w:r>
          </w:p>
        </w:tc>
      </w:tr>
      <w:tr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请求耗时很长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默认逐条网关调用、批次多或长文本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确认平台批量能力、拆分Excel并调整调用链超时</w:t>
            </w:r>
          </w:p>
        </w:tc>
      </w:tr>
    </w:tbl>
    <w:p>
      <w:pPr>
        <w:spacing w:after="40"/>
      </w:pPr>
      <w:r/>
    </w:p>
    <w:p>
      <w:pPr>
        <w:pStyle w:val="Heading1"/>
      </w:pPr>
      <w:r>
        <w:t>9. 推荐联调顺序</w:t>
      </w:r>
    </w:p>
    <w:p>
      <w:pPr>
        <w:pStyle w:val="ListNumber"/>
      </w:pPr>
      <w:r>
        <w:t>确认Oracle脚本已执行；确认测试网络可访问10.63.36.231:80，并取得平台确认的完整Embedding URL、API Key、模型名称、版本、维度和输入限制。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使用平台测试环境完成一条Embedding请求，确认data[].embedding数量和维度正确；Actuator不主动调用模型推理接口。</w:t>
      </w:r>
    </w:p>
    <w:p>
      <w:pPr>
        <w:pStyle w:val="ListNumber"/>
      </w:pPr>
      <w:r>
        <w:t>调用GET /index/status，首次成功加载应看到EMPTY、READY或DEGRADED；NOT_READY或LOAD_FAILED表示索引不可用。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准备2～10条格式正确的服务器Excel，JSON传入fileGetPath和userId调用导入接口，确认success=true、indexReloaded=true。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再次查询/index/status，确认sampleCount与数据库有效样本数量一致。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携带UserId，用完全相同的历史段落调用/predict，验证EXACT且不会额外调用模型。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携带UserId，对历史段落改写后调用/predict，验证SEMANTIC、references、score和level。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使用无关文本验证NO_RELIABLE_MATCH，并检查类型不会被强行返回。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进行100～1000条同步导入压测；批量未确认时保持为1，确认平台数组上限后再调整批量及调用链超时。</w:t>
      </w:r>
    </w:p>
    <w:p>
      <w:pPr>
        <w:pStyle w:val="Heading2"/>
      </w:pPr>
      <w:r>
        <w:t>9.1 Postman检查清单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请求URL包含正确的端口、context-path和接口路径。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预测使用UserId请求头；导入JSON填写fileGetPath和userId，两者Body均选择raw/JSON。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不要只看HTTP 200；同时检查外层code以及导入data.success。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保存环境变量baseUrl，避免开发、测试、生产地址手工替换错误。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不要在日志、截图、代码或Git中泄露完整合同正文、数据库密码、API Key、UserId或Authorization令牌。</w:t>
      </w:r>
    </w:p>
    <w:p>
      <w:pPr>
        <w:pStyle w:val="Heading2"/>
      </w:pPr>
      <w:r>
        <w:t>9.2 关键配置清单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2500"/>
        <w:gridCol w:w="3460"/>
      </w:tblGrid>
      <w:tr>
        <w:trPr>
          <w:tblHeader w:val="true"/>
        </w:trPr>
        <w:tc>
          <w:tcPr>
            <w:tcW w:type="dxa" w:w="3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环境变量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默认值</w:t>
            </w:r>
          </w:p>
        </w:tc>
        <w:tc>
          <w:tcPr>
            <w:tcW w:type="dxa" w:w="3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作用</w:t>
            </w:r>
          </w:p>
        </w:tc>
      </w:tr>
      <w:tr>
        <w:tc>
          <w:tcPr>
            <w:tcW w:type="dxa" w:w="3400"/>
          </w:tcPr>
          <w:p>
            <w:r>
              <w:t>SERVER_PORT</w:t>
            </w:r>
          </w:p>
        </w:tc>
        <w:tc>
          <w:tcPr>
            <w:tcW w:type="dxa" w:w="2500"/>
          </w:tcPr>
          <w:p>
            <w:r>
              <w:t>8080</w:t>
            </w:r>
          </w:p>
        </w:tc>
        <w:tc>
          <w:tcPr>
            <w:tcW w:type="dxa" w:w="3460"/>
          </w:tcPr>
          <w:p>
            <w:r>
              <w:t>Java服务端口</w:t>
            </w:r>
          </w:p>
        </w:tc>
      </w:tr>
      <w:tr>
        <w:tc>
          <w:tcPr>
            <w:tcW w:type="dxa" w:w="3400"/>
          </w:tcPr>
          <w:p>
            <w:r>
              <w:t>ORACLE_URL/USERNAME/PASSWORD</w:t>
            </w:r>
          </w:p>
        </w:tc>
        <w:tc>
          <w:tcPr>
            <w:tcW w:type="dxa" w:w="2500"/>
          </w:tcPr>
          <w:p>
            <w:r>
              <w:t>开发占位</w:t>
            </w:r>
          </w:p>
        </w:tc>
        <w:tc>
          <w:tcPr>
            <w:tcW w:type="dxa" w:w="3460"/>
          </w:tcPr>
          <w:p>
            <w:r>
              <w:t>Oracle连接</w:t>
            </w:r>
          </w:p>
        </w:tc>
      </w:tr>
      <w:tr>
        <w:tc>
          <w:tcPr>
            <w:tcW w:type="dxa" w:w="3400"/>
          </w:tcPr>
          <w:p>
            <w:r>
              <w:t>EMBEDDING_URL</w:t>
            </w:r>
          </w:p>
        </w:tc>
        <w:tc>
          <w:tcPr>
            <w:tcW w:type="dxa" w:w="2500"/>
          </w:tcPr>
          <w:p>
            <w:r>
              <w:t>无</w:t>
            </w:r>
          </w:p>
        </w:tc>
        <w:tc>
          <w:tcPr>
            <w:tcW w:type="dxa" w:w="3460"/>
          </w:tcPr>
          <w:p>
            <w:r>
              <w:t>平台确认的完整Embedding接口地址</w:t>
            </w:r>
          </w:p>
        </w:tc>
      </w:tr>
      <w:tr>
        <w:tc>
          <w:tcPr>
            <w:tcW w:type="dxa" w:w="3400"/>
          </w:tcPr>
          <w:p>
            <w:r>
              <w:t>EMBEDDING_API_KEY</w:t>
            </w:r>
          </w:p>
        </w:tc>
        <w:tc>
          <w:tcPr>
            <w:tcW w:type="dxa" w:w="2500"/>
          </w:tcPr>
          <w:p>
            <w:r>
              <w:t>无</w:t>
            </w:r>
          </w:p>
        </w:tc>
        <w:tc>
          <w:tcPr>
            <w:tcW w:type="dxa" w:w="3460"/>
          </w:tcPr>
          <w:p>
            <w:r>
              <w:t>模型平台密钥；禁止提交Git或输出日志</w:t>
            </w:r>
          </w:p>
        </w:tc>
      </w:tr>
      <w:tr>
        <w:tc>
          <w:tcPr>
            <w:tcW w:type="dxa" w:w="3400"/>
          </w:tcPr>
          <w:p>
            <w:r>
              <w:t>EMBEDDING_MODEL_NAME</w:t>
            </w:r>
          </w:p>
        </w:tc>
        <w:tc>
          <w:tcPr>
            <w:tcW w:type="dxa" w:w="2500"/>
          </w:tcPr>
          <w:p>
            <w:r>
              <w:t>无</w:t>
            </w:r>
          </w:p>
        </w:tc>
        <w:tc>
          <w:tcPr>
            <w:tcW w:type="dxa" w:w="3460"/>
          </w:tcPr>
          <w:p>
            <w:r>
              <w:t>请求体model字段</w:t>
            </w:r>
          </w:p>
        </w:tc>
      </w:tr>
      <w:tr>
        <w:tc>
          <w:tcPr>
            <w:tcW w:type="dxa" w:w="3400"/>
          </w:tcPr>
          <w:p>
            <w:r>
              <w:t>EMBEDDING_MODEL_VERSION</w:t>
            </w:r>
          </w:p>
        </w:tc>
        <w:tc>
          <w:tcPr>
            <w:tcW w:type="dxa" w:w="2500"/>
          </w:tcPr>
          <w:p>
            <w:r>
              <w:t>无</w:t>
            </w:r>
          </w:p>
        </w:tc>
        <w:tc>
          <w:tcPr>
            <w:tcW w:type="dxa" w:w="3460"/>
          </w:tcPr>
          <w:p>
            <w:r>
              <w:t>数据隔离和向量兼容版本</w:t>
            </w:r>
          </w:p>
        </w:tc>
      </w:tr>
      <w:tr>
        <w:tc>
          <w:tcPr>
            <w:tcW w:type="dxa" w:w="3400"/>
          </w:tcPr>
          <w:p>
            <w:r>
              <w:t>EMBEDDING_DIMENSION</w:t>
            </w:r>
          </w:p>
        </w:tc>
        <w:tc>
          <w:tcPr>
            <w:tcW w:type="dxa" w:w="2500"/>
          </w:tcPr>
          <w:p>
            <w:r>
              <w:t>无</w:t>
            </w:r>
          </w:p>
        </w:tc>
        <w:tc>
          <w:tcPr>
            <w:tcW w:type="dxa" w:w="3460"/>
          </w:tcPr>
          <w:p>
            <w:r>
              <w:t>平台确认的实际向量维度</w:t>
            </w:r>
          </w:p>
        </w:tc>
      </w:tr>
      <w:tr>
        <w:tc>
          <w:tcPr>
            <w:tcW w:type="dxa" w:w="3400"/>
          </w:tcPr>
          <w:p>
            <w:r>
              <w:t>EMBEDDING_BATCH_SIZE</w:t>
            </w:r>
          </w:p>
        </w:tc>
        <w:tc>
          <w:tcPr>
            <w:tcW w:type="dxa" w:w="2500"/>
          </w:tcPr>
          <w:p>
            <w:r>
              <w:t>16</w:t>
            </w:r>
          </w:p>
        </w:tc>
        <w:tc>
          <w:tcPr>
            <w:tcW w:type="dxa" w:w="3460"/>
          </w:tcPr>
          <w:p>
            <w:r>
              <w:t>单次网关调用文本数；确认平台上限后再调大</w:t>
            </w:r>
          </w:p>
        </w:tc>
      </w:tr>
      <w:tr>
        <w:tc>
          <w:tcPr>
            <w:tcW w:type="dxa" w:w="3400"/>
          </w:tcPr>
          <w:p>
            <w:r>
              <w:t>IMPORT_MAX_ROWS</w:t>
            </w:r>
          </w:p>
        </w:tc>
        <w:tc>
          <w:tcPr>
            <w:tcW w:type="dxa" w:w="2500"/>
          </w:tcPr>
          <w:p>
            <w:r>
              <w:t>1000</w:t>
            </w:r>
          </w:p>
        </w:tc>
        <w:tc>
          <w:tcPr>
            <w:tcW w:type="dxa" w:w="3460"/>
          </w:tcPr>
          <w:p>
            <w:r>
              <w:t>单个Excel最大非空行数</w:t>
            </w:r>
          </w:p>
        </w:tc>
      </w:tr>
      <w:tr>
        <w:tc>
          <w:tcPr>
            <w:tcW w:type="dxa" w:w="3400"/>
          </w:tcPr>
          <w:p>
            <w:r>
              <w:t>IMPORT_MAX_TOTAL_SAMPLES</w:t>
            </w:r>
          </w:p>
        </w:tc>
        <w:tc>
          <w:tcPr>
            <w:tcW w:type="dxa" w:w="2500"/>
          </w:tcPr>
          <w:p>
            <w:r>
              <w:t>10000</w:t>
            </w:r>
          </w:p>
        </w:tc>
        <w:tc>
          <w:tcPr>
            <w:tcW w:type="dxa" w:w="3460"/>
          </w:tcPr>
          <w:p>
            <w:r>
              <w:t>当前版本有效样本数量上限</w:t>
            </w:r>
          </w:p>
        </w:tc>
      </w:tr>
      <w:tr>
        <w:tc>
          <w:tcPr>
            <w:tcW w:type="dxa" w:w="3400"/>
          </w:tcPr>
          <w:p>
            <w:r>
              <w:t>SEARCH_MAX_PARAGRAPH_LENGTH</w:t>
            </w:r>
          </w:p>
        </w:tc>
        <w:tc>
          <w:tcPr>
            <w:tcW w:type="dxa" w:w="2500"/>
          </w:tcPr>
          <w:p>
            <w:r>
              <w:t>2000</w:t>
            </w:r>
          </w:p>
        </w:tc>
        <w:tc>
          <w:tcPr>
            <w:tcW w:type="dxa" w:w="3460"/>
          </w:tcPr>
          <w:p>
            <w:r>
              <w:t>业务字符上限；不自动截断</w:t>
            </w:r>
          </w:p>
        </w:tc>
      </w:tr>
      <w:tr>
        <w:tc>
          <w:tcPr>
            <w:tcW w:type="dxa" w:w="3400"/>
          </w:tcPr>
          <w:p>
            <w:r>
              <w:t>SEARCH_MIN_SIMILARITY</w:t>
            </w:r>
          </w:p>
        </w:tc>
        <w:tc>
          <w:tcPr>
            <w:tcW w:type="dxa" w:w="2500"/>
          </w:tcPr>
          <w:p>
            <w:r>
              <w:t>0.60</w:t>
            </w:r>
          </w:p>
        </w:tc>
        <w:tc>
          <w:tcPr>
            <w:tcW w:type="dxa" w:w="3460"/>
          </w:tcPr>
          <w:p>
            <w:r>
              <w:t>历史样本进入召回的最低相似度</w:t>
            </w:r>
          </w:p>
        </w:tc>
      </w:tr>
      <w:tr>
        <w:tc>
          <w:tcPr>
            <w:tcW w:type="dxa" w:w="3400"/>
          </w:tcPr>
          <w:p>
            <w:r>
              <w:t>SEARCH_CANDIDATE_THRESHOLD</w:t>
            </w:r>
          </w:p>
        </w:tc>
        <w:tc>
          <w:tcPr>
            <w:tcW w:type="dxa" w:w="2500"/>
          </w:tcPr>
          <w:p>
            <w:r>
              <w:t>0.55</w:t>
            </w:r>
          </w:p>
        </w:tc>
        <w:tc>
          <w:tcPr>
            <w:tcW w:type="dxa" w:w="3460"/>
          </w:tcPr>
          <w:p>
            <w:r>
              <w:t>类型可返回的最低投票得分</w:t>
            </w:r>
          </w:p>
        </w:tc>
      </w:tr>
      <w:tr>
        <w:tc>
          <w:tcPr>
            <w:tcW w:type="dxa" w:w="3400"/>
          </w:tcPr>
          <w:p>
            <w:r>
              <w:t>SEARCH_HIGH_THRESHOLD</w:t>
            </w:r>
          </w:p>
        </w:tc>
        <w:tc>
          <w:tcPr>
            <w:tcW w:type="dxa" w:w="2500"/>
          </w:tcPr>
          <w:p>
            <w:r>
              <w:t>0.80</w:t>
            </w:r>
          </w:p>
        </w:tc>
        <w:tc>
          <w:tcPr>
            <w:tcW w:type="dxa" w:w="3460"/>
          </w:tcPr>
          <w:p>
            <w:r>
              <w:t>高可信类型得分阈值</w:t>
            </w:r>
          </w:p>
        </w:tc>
      </w:tr>
      <w:tr>
        <w:tc>
          <w:tcPr>
            <w:tcW w:type="dxa" w:w="3400"/>
          </w:tcPr>
          <w:p>
            <w:r>
              <w:t>SEARCH_MIN_SUPPORT_COUNT</w:t>
            </w:r>
          </w:p>
        </w:tc>
        <w:tc>
          <w:tcPr>
            <w:tcW w:type="dxa" w:w="2500"/>
          </w:tcPr>
          <w:p>
            <w:r>
              <w:t>2</w:t>
            </w:r>
          </w:p>
        </w:tc>
        <w:tc>
          <w:tcPr>
            <w:tcW w:type="dxa" w:w="3460"/>
          </w:tcPr>
          <w:p>
            <w:r>
              <w:t>HIGH所需最少支持样本数</w:t>
            </w:r>
          </w:p>
        </w:tc>
      </w:tr>
      <w:tr>
        <w:tc>
          <w:tcPr>
            <w:tcW w:type="dxa" w:w="3400"/>
          </w:tcPr>
          <w:p>
            <w:r>
              <w:t>SEARCH_STRONG_MATCH_THRESHOLD</w:t>
            </w:r>
          </w:p>
        </w:tc>
        <w:tc>
          <w:tcPr>
            <w:tcW w:type="dxa" w:w="2500"/>
          </w:tcPr>
          <w:p>
            <w:r>
              <w:t>0.80</w:t>
            </w:r>
          </w:p>
        </w:tc>
        <w:tc>
          <w:tcPr>
            <w:tcW w:type="dxa" w:w="3460"/>
          </w:tcPr>
          <w:p>
            <w:r>
              <w:t>强单条兜底第一名最低相似度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附录A：接口一览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00"/>
        <w:gridCol w:w="2700"/>
        <w:gridCol w:w="1660"/>
      </w:tblGrid>
      <w:tr>
        <w:trPr>
          <w:tblHeader w:val="true"/>
          <w:cantSplit/>
        </w:trPr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方法</w:t>
            </w:r>
          </w:p>
        </w:tc>
        <w:tc>
          <w:tcPr>
            <w:tcW w:type="dxa" w:w="3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路径</w:t>
            </w:r>
          </w:p>
        </w:tc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用途</w:t>
            </w:r>
          </w:p>
        </w:tc>
        <w:tc>
          <w:tcPr>
            <w:tcW w:type="dxa" w:w="1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请求体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/service/contract-change/samples/import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导入历史样本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JSON：fileGetPath、userId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/service/contract-change/predict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预测新段落类型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JSON paragraph；UserId头必填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POST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/service/contract-change/index/reload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从Oracle重载索引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GET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/service/contract-change/index/status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查询索引状态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无</w:t>
            </w:r>
          </w:p>
        </w:tc>
      </w:tr>
    </w:tbl>
    <w:p>
      <w:pPr>
        <w:spacing w:after="40"/>
      </w:pPr>
      <w:r/>
    </w:p>
    <w:p>
      <w:pPr>
        <w:pStyle w:val="Heading1"/>
      </w:pPr>
      <w:r>
        <w:t>附录B：术语说明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术语</w:t>
            </w:r>
          </w:p>
        </w:tc>
        <w:tc>
          <w:tcPr>
            <w:tcW w:type="dxa" w:w="7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历史样本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已确认“合同段落—变更类型编码”关系并已生成向量的数据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规范化文本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统一空白和换行后的段落；用于Hash和向量生成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TEXT_HASH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规范化段落的SHA-256，用于幂等去重和精确命中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Embedding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将一段文本转换为固定维度语义向量的模型过程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余弦相似度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新段落向量与历史段落向量的接近程度；不是准确率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Top-K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按相似度选择的前K条历史样本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加权投票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按similarity²为历史样本赋权，再聚合其类型标签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强单条兜底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投票无结果且第一名达到强匹配阈值时，返回第一名类型作为CANDIDATE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内存索引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Oracle有效样本在当前JVM中的只读向量快照</w:t>
            </w:r>
          </w:p>
        </w:tc>
      </w:tr>
    </w:tbl>
    <w:p>
      <w:pPr>
        <w:spacing w:after="40"/>
      </w:pPr>
    </w:p>
    <w:p>
      <w:pPr>
        <w:pStyle w:val="Heading1"/>
      </w:pPr>
      <w:r>
        <w:t>附录C：上线验收建议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开发和生产使用同一Java制品；只通过环境变量切换统一网关地址、API Key、Oracle和容量参数。</w:t>
      </w:r>
    </w:p>
    <w:p>
      <w:pPr>
        <w:pStyle w:val="ListBullet"/>
      </w:pPr>
      <w:r>
        <w:t>模型升级后更新完整MODEL_VERSION及实际模型配置并重启，再导入Excel同步重建；无需重新提供所有历史Excel，不得混用向量版本。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准备人工确认的合同段落测试集，分别统计EXACT、SEMANTIC、候选和无可靠匹配。</w:t>
      </w:r>
    </w:p>
    <w:p>
      <w:pPr>
        <w:pStyle w:val="ListBullet"/>
      </w:pPr>
      <w:r>
        <w:t>基于实际测试集调整0.60、0.55和0.80等阈值，不以少量个案直接调参。</w:t>
      </w:r>
    </w:p>
    <w:p>
      <w:pPr>
        <w:pStyle w:val="ListBullet"/>
      </w:pPr>
      <w:r>
        <w:t>生产监控模型调用耗时、HTTP 400/401/403/404/422/429/5xx、导入失败率、索引DEGRADED及sampleCount异常。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业务网关超时必须覆盖最大同步导入耗时；平台确认批量能力后优先调大批量，第一版不增加异步任务。</w:t>
      </w:r>
    </w:p>
    <w:p>
      <w:pPr>
        <w:spacing w:before="100" w:after="140"/>
        <w:ind w:left="173" w:right="115"/>
        <w:shd w:fill="F4F6F9"/>
        <w:pBdr>
          <w:left w:val="single" w:sz="18" w:color="2E74B5" w:space="8"/>
        </w:pBdr>
      </w:pPr>
      <w:r>
        <w:rPr>
          <w:rFonts w:ascii="Calibri" w:hAnsi="Calibri" w:eastAsia="Microsoft YaHei"/>
          <w:b/>
          <w:i w:val="0"/>
          <w:color w:val="2E74B5"/>
          <w:sz w:val="22"/>
        </w:rPr>
        <w:t xml:space="preserve">文档结束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接口行为以部署版本源码、Swagger及运行配置为最终依据。</w:t>
      </w:r>
    </w:p>
    <w:p>
      <w:pPr>
        <w:pStyle w:val="Heading1"/>
      </w:pPr>
      <w:r>
        <w:rPr>
          <w:color w:val="000000"/>
        </w:rPr>
        <w:t>模型升级同步重建</w:t>
      </w:r>
    </w:p>
    <w:p>
      <w:r>
        <w:t>当前历史样本约几百条且模型升级低频，普通导入和模型升级均同步执行，不使用后台执行器，也不返回异步受理202。MODEL_VERSION按完整兼容标识比较，同版本实际模型名称或维度变化时拒绝导入及识别，要求更新版本标识。</w:t>
      </w:r>
    </w:p>
    <w:p>
      <w:r>
        <w:t>升级时合并当前有效历史样本与本次Excel，按规范化Hash去重，同标签优先Excel原文、标签冲突整批拒绝。人工停用及历史失效记录不自动恢复；源文本、Hash、标签、版本异常时拒绝重建。所有合并样本都重新调用新模型，旧向量不复制。</w:t>
      </w:r>
    </w:p>
    <w:p>
      <w:r>
        <w:t>全部新向量生成成功后，一个事务插入新版本、停用旧有效行并切换有效版本。唯一约束为MODEL_VERSION与TEXT_HASH组合，旧ID、正文、标签、向量及创建时间保留。容量只计当前版本有效样本，默认10000条；Excel单次1000行限制保持。</w:t>
      </w:r>
    </w:p>
    <w:p>
      <w:r>
        <w:t>只新增HT_SAMPLE_LIBRARY一张控制表，保存有效模型身份、修订号、操作ID、状态及待恢复样本数。状态为IDLE、RUNNING、DB_COMMITTED；所有导入和人工重载通过控制行互斥，模型调用在事务外。重建成功响应code=200，含rebuild、operationId及全量入库统计。索引状态包含有效版本、配置版本、操作状态及recognitionAvailable，不提供历史任务查询。</w:t>
      </w:r>
    </w:p>
    <w:p>
      <w:r>
        <w:t>提交前失败整批回滚，旧有效版本不变并释放占用；提交后索引失败保持DB_COMMITTED并暂停识别，通过重载或重启校验数量并恢复，不再生成或重复插入。进程提交前中断时重启释放RUNNING占用；提交后中断则加载新索引后回到IDLE。精确匹配也不能绕过模型兼容检查，合同比对保留基础差异并标记识别失败。</w:t>
      </w:r>
    </w:p>
    <w:p>
      <w:r>
        <w:t>仍按单实例部署，模型配置修改后重启生效；不提供热切换或多实例广播，不保存历史重建任务。本次不执行已有库迁移或清库。请求超时后先查索引状态及有效版本，确认结果再决定重试。向量CLOB JSON、余弦相似度、Top K、加权投票及合同级汇总规则不变。详细字段和响应示例见technical-guides下的模型升级同步重建说明。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>合同段落变更类型识别服务  |  接口调用说明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