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合同段落变更类型识别服务</w:t>
      </w:r>
    </w:p>
    <w:p>
      <w:pPr>
        <w:jc w:val="center"/>
      </w:pPr>
      <w:r>
        <w:rPr>
          <w:rFonts w:ascii="Calibri" w:hAnsi="Calibri" w:eastAsia="微软雅黑"/>
          <w:color w:val="5B6472"/>
          <w:sz w:val="28"/>
        </w:rPr>
        <w:t>汇报讲稿与线上演示手册</w:t>
      </w:r>
    </w:p>
    <w:p>
      <w:r>
        <w:t>适用场景：业务 + 技术混合听众，线上会议投屏，预计 25-30 分钟。</w:t>
      </w:r>
    </w:p>
    <w:p>
      <w:r>
        <w:t>材料口径：本轮只准备演示材料，不修改业务代码；当前已知编译 P0 问题必须在正式演示前修复并保存验证证据。</w:t>
      </w:r>
    </w:p>
    <w:p>
      <w:pPr>
        <w:pStyle w:val="Heading1"/>
      </w:pPr>
      <w:r>
        <w:t>一、建议时间分配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环节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建议时长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开场与背景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 分钟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说明为什么需要该能力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从人工识别慢、历史经验难复用切入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方案与边界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 分钟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讲清楚系统做什么、不做什么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强调第一版简单可用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算法与解释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 分钟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解释 similarity、score、HIGH/CANDIDATE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避免把 score 说成概率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现场演示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8-10 分钟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展示可用流程和可观测证据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Swagger/Postman + Oracle 只读查询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风险与下一步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 分钟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讲清楚编译修复、真实测试集和知识库完善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用事实建立可信度</w:t>
            </w:r>
          </w:p>
        </w:tc>
      </w:tr>
    </w:tbl>
    <w:p>
      <w:pPr>
        <w:pStyle w:val="Heading1"/>
      </w:pPr>
      <w:r>
        <w:t>二、逐页讲稿</w:t>
      </w:r>
    </w:p>
    <w:p>
      <w:pPr>
        <w:pStyle w:val="Heading2"/>
      </w:pPr>
      <w:r>
        <w:t>1. 标题页</w:t>
      </w:r>
    </w:p>
    <w:p>
      <w:r>
        <w:t>本次汇报的是合同段落变更类型识别服务第一版。它不是替代人工审查，而是把历史段落和变更类型经验沉淀下来，在新段落出现时给出候选类型和参考证据。</w:t>
      </w:r>
    </w:p>
    <w:p>
      <w:pPr>
        <w:pStyle w:val="Heading2"/>
      </w:pPr>
      <w:r>
        <w:t>2. 背景价值</w:t>
      </w:r>
    </w:p>
    <w:p>
      <w:r>
        <w:t>合同文档比对完成后会产生大量变化段落。过去依赖人工逐段判断，耗时且口径不稳定。系统的目标是复用历史经验，提升初筛效率。</w:t>
      </w:r>
    </w:p>
    <w:p>
      <w:pPr>
        <w:pStyle w:val="Heading2"/>
      </w:pPr>
      <w:r>
        <w:t>3. 第一版边界</w:t>
      </w:r>
    </w:p>
    <w:p>
      <w:r>
        <w:t>第一版刻意保持轻量：历史 Excel 导入、统一模型网关向量化、Oracle 持久化、JVM 内存检索。不引入向量数据库、Rerank或后台执行器；保留一张版本控制表。</w:t>
      </w:r>
    </w:p>
    <w:p>
      <w:pPr>
        <w:pStyle w:val="Heading2"/>
      </w:pPr>
      <w:r>
        <w:t>4. 核心闭环</w:t>
      </w:r>
    </w:p>
    <w:p>
      <w:r>
        <w:t>历史样本先进入知识库，新段落预测时匹配历史样本。文档比对产生的新段落，只有经过人工确认类型后才补充回历史库，这样系统能持续完善，同时避免误判自我放大。</w:t>
      </w:r>
    </w:p>
    <w:p>
      <w:pPr>
        <w:pStyle w:val="Heading2"/>
      </w:pPr>
      <w:r>
        <w:t>5. 接口结构</w:t>
      </w:r>
    </w:p>
    <w:p>
      <w:r>
        <w:t>导入、预测、索引状态和索引重载四类接口覆盖第一版核心使用场景。导入JSON传入userId，预测携带UserId请求头，用于模型平台审计透传，不入库也不输出日志。</w:t>
      </w:r>
    </w:p>
    <w:p>
      <w:pPr>
        <w:pStyle w:val="Heading2"/>
      </w:pPr>
      <w:r>
        <w:t>6. 预测算法</w:t>
      </w:r>
    </w:p>
    <w:p>
      <w:r>
        <w:t>系统先做规范化和 Hash 精确匹配；未命中才调用模型生成向量。语义匹配时取 Top 10 历史样本，过滤低相似度后做 similarity 平方加权投票。</w:t>
      </w:r>
    </w:p>
    <w:p>
      <w:pPr>
        <w:pStyle w:val="Heading2"/>
      </w:pPr>
      <w:r>
        <w:t>7. 分数解释</w:t>
      </w:r>
    </w:p>
    <w:p>
      <w:r>
        <w:t>similarity 是新段落和某条历史段落有多像；score 是历史证据对某个类型的综合支持度。score 不是概率，多标签分数之和不要求等于 1。</w:t>
      </w:r>
    </w:p>
    <w:p>
      <w:pPr>
        <w:pStyle w:val="Heading2"/>
      </w:pPr>
      <w:r>
        <w:t>8. 技术选型</w:t>
      </w:r>
    </w:p>
    <w:p>
      <w:r>
        <w:t>当前样本规模最多 1 万条，JVM 内存精确点积足够。1024 维能把网络、存储、内存和计算压力控制在合理范围。Oracle 保留业务可审计数据。</w:t>
      </w:r>
    </w:p>
    <w:p>
      <w:pPr>
        <w:pStyle w:val="Heading2"/>
      </w:pPr>
      <w:r>
        <w:t>9. 模型与安全</w:t>
      </w:r>
    </w:p>
    <w:p>
      <w:r>
        <w:t>模型通过公司统一网关接入。API Key 从环境变量读取，不进入代码、Git 或日志。对异常重试也做了控制，避免无意义重试和敏感信息泄露。</w:t>
      </w:r>
    </w:p>
    <w:p>
      <w:pPr>
        <w:pStyle w:val="Heading2"/>
      </w:pPr>
      <w:r>
        <w:t>10. 知识库完善</w:t>
      </w:r>
    </w:p>
    <w:p>
      <w:r>
        <w:t>这一页回应后续演进：文档比对后的候选段落可以导出为待确认样本，人工确认后再入库。近期可复用 Excel 导入，后续再考虑确认接口和审计字段。</w:t>
      </w:r>
    </w:p>
    <w:p>
      <w:pPr>
        <w:pStyle w:val="Heading2"/>
      </w:pPr>
      <w:r>
        <w:t>11. 演示顺序</w:t>
      </w:r>
    </w:p>
    <w:p>
      <w:r>
        <w:t>现场按可用性、证据、边界推进。先看索引状态，再导入样本，再查 Oracle，再分别演示 EXACT、HIGH、CANDIDATE、NO_RELIABLE_MATCH 和 reload。</w:t>
      </w:r>
    </w:p>
    <w:p>
      <w:pPr>
        <w:pStyle w:val="Heading2"/>
      </w:pPr>
      <w:r>
        <w:t>12. 演示前风险</w:t>
      </w:r>
    </w:p>
    <w:p>
      <w:r>
        <w:t>这里要如实说明：目前 Java 8 下 mvn test 编译失败，主因是缺少 util 包 import。正式演示前必须修复、测试和打包成功。</w:t>
      </w:r>
    </w:p>
    <w:p>
      <w:pPr>
        <w:pStyle w:val="Heading2"/>
      </w:pPr>
      <w:r>
        <w:t>13. 准确性验证</w:t>
      </w:r>
    </w:p>
    <w:p>
      <w:r>
        <w:t>目前没有真实测试数据，因此不能宣称准确率。建议准备 30-100 条人工标注段落，统计覆盖率、准确率、召回率、F1、HIGH 准确率和无可靠匹配比例。</w:t>
      </w:r>
    </w:p>
    <w:p>
      <w:pPr>
        <w:pStyle w:val="Heading2"/>
      </w:pPr>
      <w:r>
        <w:t>14. 收尾结论</w:t>
      </w:r>
    </w:p>
    <w:p>
      <w:r>
        <w:t>第一版适合先上线试用，用人工确认样本持续完善知识库。上线前关键工作是修复编译、准备匿名样本、完成独立验证表和备用录屏。</w:t>
      </w:r>
    </w:p>
    <w:p>
      <w:pPr>
        <w:pStyle w:val="Heading1"/>
      </w:pPr>
      <w:r>
        <w:t>三、现场演示操作脚本</w:t>
      </w:r>
    </w:p>
    <w:p>
      <w:r>
        <w:rPr>
          <w:b/>
        </w:rPr>
        <w:t>准备窗口：</w:t>
      </w:r>
      <w:r>
        <w:t>打开 PPT、Swagger 或 Postman、Oracle 查询窗口、服务日志窗口。确认不要展示 API Key、真实合同正文和真实 UserId。</w:t>
      </w:r>
    </w:p>
    <w:p>
      <w:r>
        <w:rPr>
          <w:b/>
        </w:rPr>
        <w:t>index/status：</w:t>
      </w:r>
      <w:r>
        <w:t>调用 GET /glxt-service-contract-change/service/contract-change/index/status。说明 status、sampleCount、modelVersion、vectorDimension、loadedAt、errorCount。</w:t>
      </w:r>
    </w:p>
    <w:p>
      <w:r>
        <w:rPr>
          <w:b/>
        </w:rPr>
        <w:t>导入匿名小 Excel：</w:t>
      </w:r>
      <w:r>
        <w:t>调用 POST /samples/import，JSON传入服务器Excel路径fileGetPath及userId。观察 totalRows、inserted、updated、skipped、indexReloaded。</w:t>
      </w:r>
    </w:p>
    <w:p>
      <w:r>
        <w:rPr>
          <w:b/>
        </w:rPr>
        <w:t>Oracle 只读查询：</w:t>
      </w:r>
      <w:r>
        <w:t xml:space="preserve">查询 TEXT_HASH、BGLX_CODES、VECTOR_DIM、MODEL_VERSION、DBMS_LOB.GETLENGTH(VECTOR_DATA)。向量为CLOB JSON数字数组，GETLENGTH返回字符数且不固定；JSON和维度由应用严格校验。</w:t>
      </w:r>
    </w:p>
    <w:p>
      <w:r>
        <w:rPr>
          <w:b/>
        </w:rPr>
        <w:t>EXACT 预测：</w:t>
      </w:r>
      <w:r>
        <w:t>用已导入段落原文预测。预期 matchType=EXACT，score=1，similarity=1，不调用模型。</w:t>
      </w:r>
    </w:p>
    <w:p>
      <w:r>
        <w:rPr>
          <w:b/>
        </w:rPr>
        <w:t>HIGH 语义预测：</w:t>
      </w:r>
      <w:r>
        <w:t>用语义相近但文字不同的段落预测。解释相似历史段落、supportCount 和 HIGH 条件。</w:t>
      </w:r>
    </w:p>
    <w:p>
      <w:r>
        <w:rPr>
          <w:b/>
        </w:rPr>
        <w:t>CANDIDATE/兜底：</w:t>
      </w:r>
      <w:r>
        <w:t>用强相似但标签分散的段落预测。解释第一名 similarity 足够高时触发候选兜底，score 仍是真实投票占比。</w:t>
      </w:r>
    </w:p>
    <w:p>
      <w:r>
        <w:rPr>
          <w:b/>
        </w:rPr>
        <w:t>NO_RELIABLE_MATCH：</w:t>
      </w:r>
      <w:r>
        <w:t>用明显不相关段落预测。说明没有足够可靠历史证据时系统不强行给结论。</w:t>
      </w:r>
    </w:p>
    <w:p>
      <w:r>
        <w:rPr>
          <w:b/>
        </w:rPr>
        <w:t>index/reload：</w:t>
      </w:r>
      <w:r>
        <w:t>调用 POST /index/reload。说明用于模型版本切换、手工恢复或数据库样本变更后的索引刷新。</w:t>
      </w:r>
    </w:p>
    <w:p>
      <w:pPr>
        <w:pStyle w:val="Heading1"/>
      </w:pPr>
      <w:r>
        <w:t>四、常见追问回答</w:t>
      </w:r>
    </w:p>
    <w:p>
      <w:r>
        <w:rPr>
          <w:b/>
        </w:rPr>
        <w:t>问：为什么不用向量数据库？</w:t>
      </w:r>
    </w:p>
    <w:p>
      <w:r>
        <w:t>答：第一版样本上限 1 万条，JVM 内存精确检索足够。少一个组件，部署、备份、权限和故障定位都更简单。</w:t>
      </w:r>
    </w:p>
    <w:p>
      <w:r>
        <w:rPr>
          <w:b/>
        </w:rPr>
        <w:t>问：为什么类型编码不做向量？</w:t>
      </w:r>
    </w:p>
    <w:p>
      <w:r>
        <w:t>答：类型编码不是自然语言证据，本项目要判断的是段落和历史段落是否相似，再由历史段落标签投票。</w:t>
      </w:r>
    </w:p>
    <w:p>
      <w:r>
        <w:rPr>
          <w:b/>
        </w:rPr>
        <w:t>问：为什么不自动把预测结果入库？</w:t>
      </w:r>
    </w:p>
    <w:p>
      <w:r>
        <w:t>答：预测结果未经人工确认会污染历史标签。系统支持人工确认后入库，保证知识库越用越准，而不是越用越偏。</w:t>
      </w:r>
    </w:p>
    <w:p>
      <w:r>
        <w:rPr>
          <w:b/>
        </w:rPr>
        <w:t>问：没有真实测试数据怎么证明效果？</w:t>
      </w:r>
    </w:p>
    <w:p>
      <w:r>
        <w:t>答：现场演示证明流程可用；准确性要通过 30-100 条独立人工标注段落统计指标后再给结论。</w:t>
      </w:r>
    </w:p>
    <w:p>
      <w:r>
        <w:rPr>
          <w:b/>
        </w:rPr>
        <w:t>问：如果模型版本变化怎么办？</w:t>
      </w:r>
    </w:p>
    <w:p>
      <w:r>
        <w:t>答：MODEL_VERSION 和 VECTOR_DIM 用于隔离向量。模型或维度变化后需要重新生成历史向量，不能混合检索。</w:t>
      </w:r>
    </w:p>
    <w:p>
      <w:r>
        <w:rPr>
          <w:b/>
        </w:rPr>
        <w:t>问：强相似兜底为什么还是 CANDIDATE？</w:t>
      </w:r>
    </w:p>
    <w:p>
      <w:r>
        <w:t>答：因为它只是说明第一条历史样本很像，不代表多条历史证据形成稳定共识，所以不能直接给 HIGH。</w:t>
      </w:r>
    </w:p>
    <w:p>
      <w:pPr>
        <w:pStyle w:val="Heading1"/>
      </w:pPr>
      <w:r>
        <w:t>五、演示前硬性检查</w:t>
      </w:r>
    </w:p>
    <w:p>
      <w:pPr>
        <w:pStyle w:val="ListBullet"/>
      </w:pPr>
      <w:r>
        <w:t>修复当前编译 P0：缺少 ContractTextNormalizer、HashUtils、ChangeTypeCodes、VectorCodec、VectorUtils 等 import。</w:t>
      </w:r>
    </w:p>
    <w:p>
      <w:pPr>
        <w:pStyle w:val="ListBullet"/>
      </w:pPr>
      <w:r>
        <w:t>使用 Java 8 执行 mvn clean test，并保存成功截图或日志摘要。</w:t>
      </w:r>
    </w:p>
    <w:p>
      <w:pPr>
        <w:pStyle w:val="ListBullet"/>
      </w:pPr>
      <w:r>
        <w:t>执行 mvn -DskipTests package，并确认 target jar 能启动。</w:t>
      </w:r>
    </w:p>
    <w:p>
      <w:pPr>
        <w:pStyle w:val="ListBullet"/>
      </w:pPr>
      <w:r>
        <w:t>确认 Oracle 测试库可访问，TPIF_HTDLYB 表存在，当前账号只读查询可用。</w:t>
      </w:r>
    </w:p>
    <w:p>
      <w:pPr>
        <w:pStyle w:val="ListBullet"/>
      </w:pPr>
      <w:r>
        <w:t>确认 Embedding 网关、EMBEDDING_API_KEY、UserId 请求头可用。</w:t>
      </w:r>
    </w:p>
    <w:p>
      <w:pPr>
        <w:pStyle w:val="ListBullet"/>
      </w:pPr>
      <w:r>
        <w:t>准备匿名演示 Excel，避免展示真实合同、真实人员、真实密钥。</w:t>
      </w:r>
    </w:p>
    <w:p>
      <w:pPr>
        <w:pStyle w:val="ListBullet"/>
      </w:pPr>
      <w:r>
        <w:t>准备备用录屏和静态响应截图，防止线上网络或模型网关临时不可用。</w:t>
      </w:r>
    </w:p>
    <w:p>
      <w:pPr>
        <w:pStyle w:val="Heading1"/>
      </w:pPr>
      <w:r>
        <w:t>六、人工确认入库口径</w:t>
      </w:r>
    </w:p>
    <w:p>
      <w:r>
        <w:t>文档比对完成后，系统可以把候选变更段落导出为待确认样本。业务人员确认或修正变更类型后，再通过现有 Excel 导入流程沉淀到 TPIF_HTDLYB。</w:t>
      </w:r>
    </w:p>
    <w:p>
      <w:r>
        <w:t>入库条件建议：段落有效、类型合法、Hash 去重、冲突人工处理、记录模型版本和维度。未经确认的预测结果不自动入库。</w:t>
      </w:r>
    </w:p>
    <w:p>
      <w:pPr>
        <w:pStyle w:val="Heading1"/>
      </w:pPr>
      <w:r>
        <w:rPr>
          <w:color w:val="000000"/>
        </w:rPr>
        <w:t>模型升级同步重建</w:t>
      </w:r>
    </w:p>
    <w:p>
      <w:r>
        <w:t>当前历史样本约几百条且模型升级低频，普通导入和模型升级均同步执行，不使用后台执行器，也不返回异步受理202。MODEL_VERSION按完整兼容标识比较，同版本实际模型名称或维度变化时拒绝导入及识别，要求更新版本标识。</w:t>
      </w:r>
    </w:p>
    <w:p>
      <w:r>
        <w:t>升级时合并当前有效历史样本与本次Excel，按规范化Hash去重，同标签优先Excel原文、标签冲突整批拒绝。人工停用及历史失效记录不自动恢复；源文本、Hash、标签、版本异常时拒绝重建。所有合并样本都重新调用新模型，旧向量不复制。</w:t>
      </w:r>
    </w:p>
    <w:p>
      <w:r>
        <w:t>全部新向量生成成功后，一个事务插入新版本、停用旧有效行并切换有效版本。唯一约束为MODEL_VERSION与TEXT_HASH组合，旧ID、正文、标签、向量及创建时间保留。容量只计当前版本有效样本，默认10000条；Excel单次1000行限制保持。</w:t>
      </w:r>
    </w:p>
    <w:p>
      <w:r>
        <w:t>只新增HT_SAMPLE_LIBRARY一张控制表，保存有效模型身份、修订号、操作ID、状态及待恢复样本数。状态为IDLE、RUNNING、DB_COMMITTED；所有导入和人工重载通过控制行互斥，模型调用在事务外。重建成功响应code=200，含rebuild、operationId及全量入库统计。索引状态包含有效版本、配置版本、操作状态及recognitionAvailable，不提供历史任务查询。</w:t>
      </w:r>
    </w:p>
    <w:p>
      <w:r>
        <w:t>提交前失败整批回滚，旧有效版本不变并释放占用；提交后索引失败保持DB_COMMITTED并暂停识别，通过重载或重启校验数量并恢复，不再生成或重复插入。进程提交前中断时重启释放RUNNING占用；提交后中断则加载新索引后回到IDLE。精确匹配也不能绕过模型兼容检查，合同比对保留基础差异并标记识别失败。</w:t>
      </w:r>
    </w:p>
    <w:p>
      <w:r>
        <w:t>仍按单实例部署，模型配置修改后重启生效；不提供热切换或多实例广播，不保存历史重建任务。本次不执行已有库迁移或清库。请求超时后先查索引状态及有效版本，确认结果再决定重试。向量CLOB JSON、余弦相似度、Top K、加权投票及合同级汇总规则不变。详细字段和响应示例见technical-guides下的模型升级同步重建说明。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