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合同变更识别</w:t>
        <w:br/>
        <w:t>完整流程与算法说明</w:t>
      </w:r>
    </w:p>
    <w:p>
      <w:r>
        <w:t>项目 glxt-service-contract-change    编写日期 2026年10月8日</w:t>
        <w:br/>
        <w:t xml:space="preserve">版本依据 当前CLOB改造及基线edddf97    面向业务审核人员 开发人员及联调人员</w:t>
      </w:r>
    </w:p>
    <w:p>
      <w:r>
        <w:t>系统先把历史段落及人工标注类型导入 Oracle，调用 Embedding 网关生成向量，再加载到 JVM 内存。新合同的变化内容由确定性解析与差异算法提取，随后通过精确匹配或向量检索继承历史标签，并按可信度规则汇总成合同级类型。</w:t>
      </w:r>
    </w:p>
    <w:p>
      <w:r>
        <w:t>本文说明现有实现的执行顺序、算法、参数、数据关系和异常行为，不把规划能力写成已实现功能。全部阈值以当前 application.yml 默认值为说明基准；部署环境变量可以覆盖。当前工作区字符上限为5000，配置类初始值为2000，运行时应核对实际绑定值。</w:t>
      </w:r>
    </w:p>
    <w:p>
      <w:pPr>
        <w:pStyle w:val="Heading2"/>
      </w:pPr>
      <w:r>
        <w:t>阅读导航</w:t>
      </w:r>
    </w:p>
    <w:tbl>
      <w:tblPr>
        <w:tblW w:type="auto" w:w="0"/>
        <w:tblLayout w:type="fixed"/>
        <w:tblLook w:firstColumn="1" w:firstRow="1" w:lastColumn="0" w:lastRow="0" w:noHBand="0" w:noVBand="1" w:val="04A0"/>
      </w:tblPr>
      <w:tblGrid>
        <w:gridCol w:w="1656"/>
        <w:gridCol w:w="6264"/>
        <w:gridCol w:w="1800"/>
      </w:tblGrid>
      <w:tr>
        <w:trPr>
          <w:tblHeader/>
        </w:trPr>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范围</w:t>
            </w:r>
          </w:p>
        </w:tc>
        <w:tc>
          <w:tcPr>
            <w:tcW w:type="dxa" w:w="62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内容</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章节</w:t>
            </w:r>
          </w:p>
        </w:tc>
      </w:tr>
      <w:tr>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知识库准备</w:t>
            </w:r>
          </w:p>
        </w:tc>
        <w:tc>
          <w:tcPr>
            <w:tcW w:type="dxa" w:w="62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Excel校验 查重 向量化 Oracle保存 内存索引</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2至6</w:t>
            </w:r>
          </w:p>
        </w:tc>
      </w:tr>
      <w:tr>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语义分类算法</w:t>
            </w:r>
          </w:p>
        </w:tc>
        <w:tc>
          <w:tcPr>
            <w:tcW w:type="dxa" w:w="62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余弦相似度 Top K 精确命中 加权投票与案例</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7至10</w:t>
            </w:r>
          </w:p>
        </w:tc>
      </w:tr>
      <w:tr>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合同分析</w:t>
            </w:r>
          </w:p>
        </w:tc>
        <w:tc>
          <w:tcPr>
            <w:tcW w:type="dxa" w:w="62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请求编排 文件读取 双版本匹配 差异 单文件提取</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11至17</w:t>
            </w:r>
          </w:p>
        </w:tc>
      </w:tr>
      <w:tr>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结果与集成</w:t>
            </w:r>
          </w:p>
        </w:tc>
        <w:tc>
          <w:tcPr>
            <w:tcW w:type="dxa" w:w="62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主表 明细 证据 状态 导出 原有解析与Oracle函数</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18至20</w:t>
            </w:r>
          </w:p>
        </w:tc>
      </w:tr>
      <w:tr>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业务和运维</w:t>
            </w:r>
          </w:p>
        </w:tc>
        <w:tc>
          <w:tcPr>
            <w:tcW w:type="dxa" w:w="62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规则适用性 参数 排查 代码定位与完整案例</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21至25</w:t>
            </w:r>
          </w:p>
        </w:tc>
      </w:tr>
    </w:tbl>
    <w:p>
      <w:pPr>
        <w:spacing w:after="0"/>
      </w:pPr>
    </w:p>
    <w:p>
      <w:r>
        <w:t>最重要的区别：历史样本支持数用于段落类型判定；本次合同的不同变化段落数用于文件级候选汇总。相似度、类型投票得分和条款匹配分数是三个不同指标，不能互相替代。</w:t>
      </w:r>
    </w:p>
    <w:p>
      <w:pPr>
        <w:pStyle w:val="Heading1"/>
        <w:pageBreakBefore/>
      </w:pPr>
      <w:r>
        <w:t>1 全链路与能力边界</w:t>
      </w:r>
    </w:p>
    <w:p>
      <w:pPr>
        <w:pStyle w:val="Heading2"/>
      </w:pPr>
      <w:r>
        <w:t>历史准备链路</w:t>
      </w:r>
    </w:p>
    <w:p>
      <w:r>
        <w:t xml:space="preserve">Excel历史段落与类型 → 文本及标签规范化 → SHA 256查重与冲突检查 → 分批Embedding → 响应校验与L2归一化 → CLOB JSON编码 → 单事务写TPIF_HTDLYB → 从Oracle重建内存快照。</w:t>
      </w:r>
    </w:p>
    <w:p>
      <w:pPr>
        <w:pStyle w:val="Heading2"/>
      </w:pPr>
      <w:r>
        <w:t>合同分析链路</w:t>
      </w:r>
    </w:p>
    <w:p>
      <w:r>
        <w:t>调用 /service/contract-compare/compare → 校验userId instId analysisType及路径 → 创建PROCESSING记录 → 按分析类型从SFTP读取文件 → 提取结构变化 → 对变化段落预测类型 → 合同级汇总 → 原子保存段落与证据及完整JSON → 返回精简结果。</w:t>
      </w:r>
    </w:p>
    <w:tbl>
      <w:tblPr>
        <w:tblW w:type="auto" w:w="0"/>
        <w:tblLayout w:type="fixed"/>
        <w:tblLook w:firstColumn="1" w:firstRow="1" w:lastColumn="0" w:lastRow="0" w:noHBand="0" w:noVBand="1" w:val="04A0"/>
      </w:tblPr>
      <w:tblGrid>
        <w:gridCol w:w="2736"/>
        <w:gridCol w:w="2448"/>
        <w:gridCol w:w="4536"/>
      </w:tblGrid>
      <w:tr>
        <w:trPr>
          <w:tblHeader/>
        </w:trPr>
        <w:tc>
          <w:tcPr>
            <w:tcW w:type="dxa" w:w="27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分支</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输入</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输出与边界</w:t>
            </w:r>
          </w:p>
        </w:tc>
      </w:tr>
      <w:tr>
        <w:tc>
          <w:tcPr>
            <w:tcW w:type="dxa" w:w="27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DOUBLE_VERSION</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旧合同和新合同</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Aspose比较加结构匹配，输出新增 删除 修改及文字差异</w:t>
            </w:r>
          </w:p>
        </w:tc>
      </w:tr>
      <w:tr>
        <w:tc>
          <w:tcPr>
            <w:tcW w:type="dxa" w:w="27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CHANGE_DOCUMENT</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补充协议或变更函</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按标题 标记 引号等规则提取旧新内容，不读取两份完整合同</w:t>
            </w:r>
          </w:p>
        </w:tc>
      </w:tr>
      <w:tr>
        <w:tc>
          <w:tcPr>
            <w:tcW w:type="dxa" w:w="27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document/analyze-and-predict</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一份完整合同</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沿用旧解析模块选段并分类，预测后执行原解析落库</w:t>
            </w:r>
          </w:p>
        </w:tc>
      </w:tr>
      <w:tr>
        <w:tc>
          <w:tcPr>
            <w:tcW w:type="dxa" w:w="27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export</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两版合同或变更函</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只提取并导出基础差异，不执行业务类型预测</w:t>
            </w:r>
          </w:p>
        </w:tc>
      </w:tr>
    </w:tbl>
    <w:p>
      <w:pPr>
        <w:spacing w:after="0"/>
      </w:pPr>
    </w:p>
    <w:p>
      <w:r>
        <w:t>“基础变化类型”是ADDED DELETED MODIFIED等结构结果；“业务变更类型”是49 71等历史标签。前者来自解析和文本差异，后者来自知识库分类。</w:t>
      </w:r>
    </w:p>
    <w:p>
      <w:r>
        <w:t>Embedding只把文本变成数字，不直接返回业务编码。本项目没有训练分类器，也没有用生成式模型独立解释合同变化。Aspose是外部库，项目配置其比较行为，但其内部专有比较算法不由项目源码定义。</w:t>
      </w:r>
    </w:p>
    <w:p>
      <w:pPr>
        <w:pStyle w:val="Heading1"/>
        <w:pageBreakBefore/>
      </w:pPr>
      <w:r>
        <w:t>2 接口入口与请求约定</w:t>
      </w:r>
    </w:p>
    <w:tbl>
      <w:tblPr>
        <w:tblW w:type="auto" w:w="0"/>
        <w:tblLayout w:type="fixed"/>
        <w:tblLook w:firstColumn="1" w:firstRow="1" w:lastColumn="0" w:lastRow="0" w:noHBand="0" w:noVBand="1" w:val="04A0"/>
      </w:tblPr>
      <w:tblGrid>
        <w:gridCol w:w="4392"/>
        <w:gridCol w:w="2448"/>
        <w:gridCol w:w="2880"/>
      </w:tblGrid>
      <w:tr>
        <w:trPr>
          <w:tblHeader/>
        </w:trP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接口</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输入与身份</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职责</w:t>
            </w:r>
          </w:p>
        </w:tc>
      </w:tr>
      <w:t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POST /service/contract-change/samples/import</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JSON fileGetPath及userId</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同步导入历史xlsx</w:t>
            </w:r>
          </w:p>
        </w:tc>
      </w:tr>
      <w:t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POST /service/contract-change/predict</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JSON paragraph及UserId请求头</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返回单段类型 等级 得分与参考样本</w:t>
            </w:r>
          </w:p>
        </w:tc>
      </w:tr>
      <w:t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GET /service/contract-change/index/status</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无正文</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查看实际内存快照状态</w:t>
            </w:r>
          </w:p>
        </w:tc>
      </w:tr>
      <w:t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POST /service/contract-change/index/reload</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无正文</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 xml:space="preserve">读取已有CLOB JSON，不重新生成向量</w:t>
            </w:r>
          </w:p>
        </w:tc>
      </w:tr>
      <w:t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POST /service/contract-compare/compare</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JSON userId instId analysisType及活动路径</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提取 分类 留痕并返回文件级结果</w:t>
            </w:r>
          </w:p>
        </w:tc>
      </w:tr>
      <w:t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POST /service/contract-compare/export</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分析类型 路径 resultMode</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输出基础结果Excel</w:t>
            </w:r>
          </w:p>
        </w:tc>
      </w:tr>
      <w:t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POST /service/contract-change/document/analyze-and-predict</w:t>
            </w:r>
          </w:p>
        </w:tc>
        <w:tc>
          <w:tcPr>
            <w:tcW w:type="dxa" w:w="24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DocxAnalysisDTO及UserId请求头</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原完整合同解析与分类集成</w:t>
            </w:r>
          </w:p>
        </w:tc>
      </w:tr>
    </w:tbl>
    <w:p>
      <w:pPr>
        <w:spacing w:after="0"/>
      </w:pPr>
    </w:p>
    <w:p>
      <w:pPr>
        <w:pStyle w:val="Heading2"/>
      </w:pPr>
      <w:r>
        <w:t>双版本请求示例</w:t>
      </w:r>
    </w:p>
    <w:p>
      <w:pPr>
        <w:spacing w:line="252" w:lineRule="auto"/>
      </w:pPr>
      <w:r>
        <w:rPr>
          <w:rFonts w:ascii="Consolas" w:hAnsi="Consolas" w:eastAsia="Microsoft YaHei"/>
          <w:sz w:val="17"/>
        </w:rPr>
        <w:t>{"instId":10001,"userId":"employee-001",</w:t>
        <w:br/>
        <w:t xml:space="preserve"> "analysisType":"DOUBLE_VERSION",</w:t>
        <w:br/>
        <w:t xml:space="preserve"> "oldFileGetPath":"/contracts/before.docx",</w:t>
        <w:br/>
        <w:t xml:space="preserve"> "newFileGetPath":"/contracts/after.docx"}</w:t>
      </w:r>
    </w:p>
    <w:p>
      <w:pPr>
        <w:pStyle w:val="Heading2"/>
      </w:pPr>
      <w:r>
        <w:t>单文件变更请求示例</w:t>
      </w:r>
    </w:p>
    <w:p>
      <w:pPr>
        <w:spacing w:line="252" w:lineRule="auto"/>
      </w:pPr>
      <w:r>
        <w:rPr>
          <w:rFonts w:ascii="Consolas" w:hAnsi="Consolas" w:eastAsia="Microsoft YaHei"/>
          <w:sz w:val="17"/>
        </w:rPr>
        <w:t>{"instId":10001,"userId":"employee-001",</w:t>
        <w:br/>
        <w:t xml:space="preserve"> "analysisType":"CHANGE_DOCUMENT",</w:t>
        <w:br/>
        <w:t xml:space="preserve"> "changeFileGetPath":"/contracts/change.docx"}</w:t>
      </w:r>
    </w:p>
    <w:p>
      <w:r>
        <w:t>/compare要求明确提供analysisType，不自动默认为双版本。userId不能为空且trim后不超过100字符；instId必须大于0；活动路径不超过1000字符且策略校验非空。路径是SFTP服务器上的文件路径，不是调用方电脑路径，也不是HTTP下载地址。</w:t>
      </w:r>
    </w:p>
    <w:p>
      <w:pPr>
        <w:pStyle w:val="Heading1"/>
        <w:pageBreakBefore/>
      </w:pPr>
      <w:r>
        <w:t>3 历史样本导入与一致性检查</w:t>
      </w:r>
    </w:p>
    <w:p>
      <w:r>
        <w:t>ContractParagraphImportService按顺序处理整份Excel。文件必须非空且扩展名为.xlsx，实际由XSSFWorkbook解析；只读取第一张工作表，第一行前两列表头必须是“合同段落”和“变更类型编码”。上传大小另由Spring Multipart配置限制。</w:t>
      </w:r>
    </w:p>
    <w:p>
      <w:pPr>
        <w:pStyle w:val="Heading2"/>
      </w:pPr>
      <w:r>
        <w:t>文本与标签规范化</w:t>
      </w:r>
    </w:p>
    <w:p>
      <w:r>
        <w:t>合同文本统一全角空格、换行和连续空白，trim后作为GFBW；原文本作为YWBW保留。规范化不删除数字、标点、否定词和主体名称，也不统一英文大小写。对规范化文本计算SHA 256十六进制Hash，建立版本内唯一身份。</w:t>
      </w:r>
    </w:p>
    <w:p>
      <w:r>
        <w:t>标签接受英文或中文分号、逗号，去空、去重后按字符串字典序排序，并以英文分号连接。单编码不超过64字符且不能包含空白，整串不超过4000字符。仅校验格式，不在此步骤查询真实业务字典，所以49并不在导入阶段自动转换为业务名称。</w:t>
      </w:r>
    </w:p>
    <w:tbl>
      <w:tblPr>
        <w:tblW w:type="auto" w:w="0"/>
        <w:tblLayout w:type="fixed"/>
        <w:tblLook w:firstColumn="1" w:firstRow="1" w:lastColumn="0" w:lastRow="0" w:noHBand="0" w:noVBand="1" w:val="04A0"/>
      </w:tblPr>
      <w:tblGrid>
        <w:gridCol w:w="4104"/>
        <w:gridCol w:w="4032"/>
        <w:gridCol w:w="1584"/>
      </w:tblGrid>
      <w:tr>
        <w:trPr>
          <w:tblHeader/>
        </w:trP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条件</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处理</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是否写库</w:t>
            </w:r>
          </w:p>
        </w:tc>
      </w:tr>
      <w:t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两列均为空</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忽略，不计有效数据行</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否</w:t>
            </w:r>
          </w:p>
        </w:tc>
      </w:tr>
      <w:t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文件内同Hash且同标签</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保留首次行，重复行计skipped</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仅首次行可能写库</w:t>
            </w:r>
          </w:p>
        </w:tc>
      </w:tr>
      <w:t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文件内同Hash但标签不同</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返回冲突行与首次行号，整批拒绝</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否</w:t>
            </w:r>
          </w:p>
        </w:tc>
      </w:tr>
      <w:t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数据库无该Hash</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准备新增并生成向量</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是</w:t>
            </w:r>
          </w:p>
        </w:tc>
      </w:tr>
      <w:t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数据库当前版本 维度 生效 标签均相同</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幂等跳过，不重新调用模型</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否</w:t>
            </w:r>
          </w:p>
        </w:tc>
      </w:tr>
      <w:t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数据库标签相同但停用或版本维度旧</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同版本停用重启保留ID；升级新增版本行</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是</w:t>
            </w:r>
          </w:p>
        </w:tc>
      </w:tr>
      <w:t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数据库同Hash但标签不同</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整批拒绝，不自动覆盖标签</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否</w:t>
            </w:r>
          </w:p>
        </w:tc>
      </w:tr>
    </w:tbl>
    <w:p>
      <w:pPr>
        <w:spacing w:after="0"/>
      </w:pPr>
    </w:p>
    <w:p>
      <w:r>
        <w:t>默认最多1000个非空数据行；文件内重复行也占行数限制。当前版本有效样本默认最多10000条，失效记录不占容量。按500个Hash一批查询数据库，避免逐行查询及Oracle IN列表过长。导入和重载通过数据库控制行互斥，仍按单实例部署。</w:t>
      </w:r>
    </w:p>
    <w:p>
      <w:pPr>
        <w:pStyle w:val="Heading1"/>
        <w:pageBreakBefore/>
      </w:pPr>
      <w:r>
        <w:t>4 Embedding调用与数值校验</w:t>
      </w:r>
    </w:p>
    <w:p>
      <w:r>
        <w:t>仅对待新增和待更新段落生成向量，标签编码不进入模型输入。默认每批最多16条；41条需拆为16 16 9。模型名称是网关请求字段，modelVersion是本项目管理检索空间的版本标记，两者职责不同。</w:t>
      </w:r>
    </w:p>
    <w:p>
      <w:pPr>
        <w:spacing w:line="252" w:lineRule="auto"/>
      </w:pPr>
      <w:r>
        <w:rPr>
          <w:rFonts w:ascii="Consolas" w:hAnsi="Consolas" w:eastAsia="Microsoft YaHei"/>
          <w:sz w:val="17"/>
        </w:rPr>
        <w:t>POST &lt;部署配置中的完整Embedding URL&gt;</w:t>
        <w:br/>
        <w:t>Authorization: Bearer &lt;服务端安全配置&gt;</w:t>
        <w:br/>
        <w:t>UserId: &lt;实际操作人&gt;</w:t>
        <w:br/>
        <w:t>Content-Type: application/json</w:t>
        <w:br/>
        <w:br/>
        <w:t>{"model":"gen-studio-Qwen3-Embedding-8B",</w:t>
        <w:br/>
        <w:t xml:space="preserve"> "input":["规范化段落A","规范化段落B"],</w:t>
        <w:br/>
        <w:t xml:space="preserve"> "dimensions":"1024","encoding_format":"float"}</w:t>
      </w:r>
    </w:p>
    <w:p>
      <w:r>
        <w:t>单条请求的input为字符串，多条为数组；dimensions按当前客户端实现发送字符串。密钥只能由服务端注入，不能从前端传入，也不应进入日志。</w:t>
      </w:r>
    </w:p>
    <w:tbl>
      <w:tblPr>
        <w:tblW w:type="auto" w:w="0"/>
        <w:tblLayout w:type="fixed"/>
        <w:tblLook w:firstColumn="1" w:firstRow="1" w:lastColumn="0" w:lastRow="0" w:noHBand="0" w:noVBand="1" w:val="04A0"/>
      </w:tblPr>
      <w:tblGrid>
        <w:gridCol w:w="1872"/>
        <w:gridCol w:w="7848"/>
      </w:tblGrid>
      <w:tr>
        <w:trPr>
          <w:tblHeader/>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校验</w:t>
            </w:r>
          </w:p>
        </w:tc>
        <w:tc>
          <w:tcPr>
            <w:tcW w:type="dxa" w:w="78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实际行为</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数量</w:t>
            </w:r>
          </w:p>
        </w:tc>
        <w:tc>
          <w:tcPr>
            <w:tcW w:type="dxa" w:w="78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data数量必须等于输入数量</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顺序</w:t>
            </w:r>
          </w:p>
        </w:tc>
        <w:tc>
          <w:tcPr>
            <w:tcW w:type="dxa" w:w="78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多条响应必须有唯一且合法的index，按index回填；单条允许无index，有则必须为0</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维度</w:t>
            </w:r>
          </w:p>
        </w:tc>
        <w:tc>
          <w:tcPr>
            <w:tcW w:type="dxa" w:w="78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每个embedding必须恰有配置dimension个数值</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数值</w:t>
            </w:r>
          </w:p>
        </w:tc>
        <w:tc>
          <w:tcPr>
            <w:tcW w:type="dxa" w:w="78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拒绝null NaN Infinity，以及Double转Float后溢出的数值</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模长</w:t>
            </w:r>
          </w:p>
        </w:tc>
        <w:tc>
          <w:tcPr>
            <w:tcW w:type="dxa" w:w="78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拒绝全零或非法模长，随后原地L2归一化</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连接与读取</w:t>
            </w:r>
          </w:p>
        </w:tc>
        <w:tc>
          <w:tcPr>
            <w:tcW w:type="dxa" w:w="78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默认建连3000ms 读取30000ms</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重试</w:t>
            </w:r>
          </w:p>
        </w:tc>
        <w:tc>
          <w:tcPr>
            <w:tcW w:type="dxa" w:w="78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默认maxRetries=1，即首次加一次；仅5xx及连接读取异常重试</w:t>
            </w:r>
          </w:p>
        </w:tc>
      </w:tr>
    </w:tbl>
    <w:p>
      <w:pPr>
        <w:spacing w:after="0"/>
      </w:pPr>
    </w:p>
    <w:p>
      <w:r>
        <w:t>4xx直接终止，包含429，不在当前客户端自动重试。响应数量、index或数值校验失败也不重试；重试循环没有额外退避等待。导入任一模型批次失败即终止，数据库尚未写入；已发生的网关调用不能通过数据库事务撤销。</w:t>
      </w:r>
    </w:p>
    <w:p>
      <w:pPr>
        <w:pStyle w:val="Heading1"/>
        <w:pageBreakBefore/>
      </w:pPr>
      <w:r>
        <w:t>5 向量归一化与Oracle入库</w:t>
      </w:r>
    </w:p>
    <w:p>
      <w:pPr>
        <w:pStyle w:val="Heading2"/>
      </w:pPr>
      <w:r>
        <w:t>L2归一化</w:t>
      </w:r>
    </w:p>
    <w:p>
      <w:pPr>
        <w:jc w:val="center"/>
      </w:pPr>
      <m:oMath>
        <m:r>
          <m:t xml:space="preserve">‖</m:t>
        </m:r>
        <m:r>
          <m:t xml:space="preserve">v</m:t>
        </m:r>
        <m:r>
          <m:t xml:space="preserve">‖</m:t>
        </m:r>
        <m:r>
          <m:t xml:space="preserve">₂</m:t>
        </m:r>
        <m:r>
          <m:t xml:space="preserve"> </m:t>
        </m:r>
        <m:r>
          <m:t xml:space="preserve">=</m:t>
        </m:r>
        <m:r>
          <m:t xml:space="preserve"> </m:t>
        </m:r>
        <m:r>
          <m:t xml:space="preserve">√</m:t>
        </m:r>
        <m:r>
          <m:t xml:space="preserve">(</m:t>
        </m:r>
        <m:r>
          <m:t xml:space="preserve">v</m:t>
        </m:r>
        <m:r>
          <m:t xml:space="preserve">₁</m:t>
        </m:r>
        <m:r>
          <m:t xml:space="preserve">²</m:t>
        </m:r>
        <m:r>
          <m:t xml:space="preserve"> </m:t>
        </m:r>
        <m:r>
          <m:t xml:space="preserve">+</m:t>
        </m:r>
        <m:r>
          <m:t xml:space="preserve"> </m:t>
        </m:r>
        <m:r>
          <m:t xml:space="preserve">v</m:t>
        </m:r>
        <m:r>
          <m:t xml:space="preserve">₂</m:t>
        </m:r>
        <m:r>
          <m:t xml:space="preserve">²</m:t>
        </m:r>
        <m:r>
          <m:t xml:space="preserve"> </m:t>
        </m:r>
        <m:r>
          <m:t xml:space="preserve">+</m:t>
        </m:r>
        <m:r>
          <m:t xml:space="preserve"> </m:t>
        </m:r>
        <m:r>
          <m:t xml:space="preserve">…</m:t>
        </m:r>
        <m:r>
          <m:t xml:space="preserve"> </m:t>
        </m:r>
        <m:r>
          <m:t xml:space="preserve">+</m:t>
        </m:r>
        <m:r>
          <m:t xml:space="preserve"> </m:t>
        </m:r>
        <m:sSub>
          <m:e>
            <m:r>
              <m:t xml:space="preserve">v</m:t>
            </m:r>
          </m:e>
          <m:sub>
            <m:r>
              <m:t xml:space="preserve">d</m:t>
            </m:r>
          </m:sub>
        </m:sSub>
        <m:r>
          <m:t xml:space="preserve">²</m:t>
        </m:r>
        <m:r>
          <m:t xml:space="preserve">)</m:t>
        </m:r>
      </m:oMath>
    </w:p>
    <w:p>
      <w:pPr>
        <w:jc w:val="center"/>
      </w:pPr>
      <m:oMath>
        <m:r>
          <m:t xml:space="preserve">u</m:t>
        </m:r>
        <m:r>
          <m:t xml:space="preserve">ᵢ</m:t>
        </m:r>
        <m:r>
          <m:t xml:space="preserve"> </m:t>
        </m:r>
        <m:r>
          <m:t xml:space="preserve">=</m:t>
        </m:r>
        <m:r>
          <m:t xml:space="preserve"> </m:t>
        </m:r>
        <m:f>
          <m:num>
            <m:r>
              <m:t xml:space="preserve">v</m:t>
            </m:r>
            <m:r>
              <m:t xml:space="preserve">ᵢ</m:t>
            </m:r>
          </m:num>
          <m:den>
            <m:r>
              <m:t xml:space="preserve">‖</m:t>
            </m:r>
            <m:r>
              <m:t xml:space="preserve">v</m:t>
            </m:r>
            <m:r>
              <m:t xml:space="preserve">‖</m:t>
            </m:r>
            <m:r>
              <m:t xml:space="preserve">₂</m:t>
            </m:r>
          </m:den>
        </m:f>
      </m:oMath>
    </w:p>
    <w:p>
      <w:r>
        <w:t>记u为v归一化后的向量，uᵢ为第i个分量。</w:t>
      </w:r>
    </w:p>
    <w:p>
      <w:r>
        <w:t>把向量整体除以欧氏长度，保持方向，得到长度约为1的向量。例如[3,4]归一化为[0.6,0.8]。计算模长和累加使用double，保存元素使用float，因此范数通常接近1而非数学上绝对等于1。</w:t>
      </w:r>
    </w:p>
    <w:p>
      <w:pPr>
        <w:pStyle w:val="Heading2"/>
      </w:pPr>
      <w:r>
        <w:t xml:space="preserve">CLOB JSON编码</w:t>
      </w:r>
    </w:p>
    <w:p>
      <w:r>
        <w:t xml:space="preserve">VectorCodec用独立Jackson配置将float[]编码为CLOB JSON数字数组，不受接口小数格式化影响，不固定小数位。解码严格校验数字类型、维度、有限值、Float32溢出及尾随内容，全零向量由归一化拒绝。JSON长度为字符数且不固定；Oracle本身不执行向量检索。</w:t>
      </w:r>
    </w:p>
    <w:tbl>
      <w:tblPr>
        <w:tblW w:type="auto" w:w="0"/>
        <w:tblLayout w:type="fixed"/>
        <w:tblLook w:firstColumn="1" w:firstRow="1" w:lastColumn="0" w:lastRow="0" w:noHBand="0" w:noVBand="1" w:val="04A0"/>
      </w:tblPr>
      <w:tblGrid>
        <w:gridCol w:w="3744"/>
        <w:gridCol w:w="5976"/>
      </w:tblGrid>
      <w:tr>
        <w:trPr>
          <w:tblHeader/>
        </w:trPr>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字段</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含义</w:t>
            </w:r>
          </w:p>
        </w:tc>
      </w:tr>
      <w:tr>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YWBW / GFBW</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原文与规范化文本，均为CLOB</w:t>
            </w:r>
          </w:p>
        </w:tc>
      </w:tr>
      <w:tr>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TEXT_HASH</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规范化文本SHA 256，与MODEL_VERSION组合唯一</w:t>
            </w:r>
          </w:p>
        </w:tc>
      </w:tr>
      <w:tr>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BGLX_CODES</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规范标签串，例如20;25;28</w:t>
            </w:r>
          </w:p>
        </w:tc>
      </w:tr>
      <w:tr>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VECTOR_DATA / VECTOR_DIM</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 xml:space="preserve">CLOB JSON数字数组与维度</w:t>
            </w:r>
          </w:p>
        </w:tc>
      </w:tr>
      <w:tr>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MODEL_VERSION / SFSX</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向量空间版本与生效标记1或0</w:t>
            </w:r>
          </w:p>
        </w:tc>
      </w:tr>
      <w:tr>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 xml:space="preserve">ID / CREATE_TIME</w:t>
            </w:r>
          </w:p>
        </w:tc>
        <w:tc>
          <w:tcPr>
            <w:tcW w:type="dxa" w:w="59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 xml:space="preserve">序列主键与创建时间</w:t>
            </w:r>
          </w:p>
        </w:tc>
      </w:tr>
    </w:tbl>
    <w:p>
      <w:pPr>
        <w:spacing w:after="0"/>
      </w:pPr>
    </w:p>
    <w:p>
      <w:r>
        <w:t>全部向量生成完成后，ContractParagraphPersistenceService.saveAll开启一个数据库事务逐条INSERT或UPDATE。更新必须影响1行，任一异常回滚整批。独立Service上的Spring事务代理避免同类内部调用造成事务不生效。</w:t>
      </w:r>
    </w:p>
    <w:p>
      <w:r>
        <w:t>提交成功后才重载索引。普通增量导入索引刷新失败返回success=true及indexReloaded=false；升级重建索引失败返回503并保留DB_COMMITTED，因为数据库已经提交；此时应重载或检查索引，不能把刷新失败理解为数据未入库。同版本Hash唯一；模型升级新增新版本行，旧有效行整体停用并保留追溯。</w:t>
      </w:r>
    </w:p>
    <w:p>
      <w:pPr>
        <w:pStyle w:val="Heading1"/>
        <w:pageBreakBefore/>
      </w:pPr>
      <w:r>
        <w:t>6 JVM内存索引与Top K检索</w:t>
      </w:r>
    </w:p>
    <w:p>
      <w:r>
        <w:t xml:space="preserve">ParagraphVectorIndexService在启动时和手工reload时，从TPIF_HTDLYB读取MODEL_VERSION等于当前配置、VECTOR_DIM匹配且SFSX=1的样本。每行解析CLOB JSON，再归一化并解析标签，构造语义样本列表和Hash查找表。</w:t>
      </w:r>
    </w:p>
    <w:p>
      <w:r>
        <w:t>新快照先在临时变量中完整构建，完成后通过AtomicReference整体替换。加载期间请求仍使用旧快照，不会读到半份索引。reload查询失败时已有可用快照继续保留；首次无可用样本时可标为LOAD_FAILED。不同JVM有各自快照，单实例导入不会自动通知其他实例刷新。</w:t>
      </w:r>
    </w:p>
    <w:tbl>
      <w:tblPr>
        <w:tblW w:type="auto" w:w="0"/>
        <w:tblLayout w:type="fixed"/>
        <w:tblLook w:firstColumn="1" w:firstRow="1" w:lastColumn="0" w:lastRow="0" w:noHBand="0" w:noVBand="1" w:val="04A0"/>
      </w:tblPr>
      <w:tblGrid>
        <w:gridCol w:w="1944"/>
        <w:gridCol w:w="4032"/>
        <w:gridCol w:w="3744"/>
      </w:tblGrid>
      <w:tr>
        <w:trPr>
          <w:tblHeader/>
        </w:trPr>
        <w:tc>
          <w:tcPr>
            <w:tcW w:type="dxa" w:w="19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状态</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含义</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预测影响</w:t>
            </w:r>
          </w:p>
        </w:tc>
      </w:tr>
      <w:tr>
        <w:tc>
          <w:tcPr>
            <w:tcW w:type="dxa" w:w="19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NOT_READY</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初始状态，未加载完成</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语义识别不可用</w:t>
            </w:r>
          </w:p>
        </w:tc>
      </w:tr>
      <w:tr>
        <w:tc>
          <w:tcPr>
            <w:tcW w:type="dxa" w:w="19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EMPTY</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本版本维度查询到0行</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返回无可靠匹配，不当作网关失败</w:t>
            </w:r>
          </w:p>
        </w:tc>
      </w:tr>
      <w:tr>
        <w:tc>
          <w:tcPr>
            <w:tcW w:type="dxa" w:w="19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READY</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所有查询样本正常加载</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正常检索</w:t>
            </w:r>
          </w:p>
        </w:tc>
      </w:tr>
      <w:tr>
        <w:tc>
          <w:tcPr>
            <w:tcW w:type="dxa" w:w="19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DEGRADED</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部分或全部样本解析失败</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有可用样本时继续，sampleCount=0时识别不可用</w:t>
            </w:r>
          </w:p>
        </w:tc>
      </w:tr>
      <w:tr>
        <w:tc>
          <w:tcPr>
            <w:tcW w:type="dxa" w:w="19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LOAD_FAILED</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首次或空快照时数据库查询失败</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语义识别不可用</w:t>
            </w:r>
          </w:p>
        </w:tc>
      </w:tr>
    </w:tbl>
    <w:p>
      <w:pPr>
        <w:spacing w:after="0"/>
      </w:pPr>
    </w:p>
    <w:p>
      <w:pPr>
        <w:pStyle w:val="Heading2"/>
      </w:pPr>
      <w:r>
        <w:t>精确检索算法</w:t>
      </w:r>
    </w:p>
    <w:p>
      <w:r>
        <w:t>HashMap按TEXT_HASH查找相同段落，平均查找复杂度为O(1)。Hash命中使用快照内已有标签，不调用Embedding。只有成功加载到该快照的样本才能参与精确匹配。</w:t>
      </w:r>
    </w:p>
    <w:p>
      <w:pPr>
        <w:pStyle w:val="Heading2"/>
      </w:pPr>
      <w:r>
        <w:t>语义检索算法</w:t>
      </w:r>
    </w:p>
    <w:p>
      <w:r>
        <w:t>遍历全部N个历史向量，逐项点积计算相似度，用容量K的最小堆维护当前前K名。堆顶是已保留结果中最小值，新的分数更高就替换；最后对这K项倒序排序。没有HNSW或其他近似向量索引。</w:t>
      </w:r>
    </w:p>
    <w:p>
      <w:r>
        <w:t>时间复杂度约为O(Nd + N log K + K log K)，额外Top K空间为O(K)，历史向量空间为O(Nd)。10000×1024×4约40.96MB是向量原始载荷，还不包含Java对象、文本、标签及容器开销。</w:t>
      </w:r>
    </w:p>
    <w:p>
      <w:pPr>
        <w:pStyle w:val="Heading1"/>
        <w:pageBreakBefore/>
      </w:pPr>
      <w:r>
        <w:t>7 余弦相似度与三个分数的区别</w:t>
      </w:r>
    </w:p>
    <w:p>
      <w:pPr>
        <w:jc w:val="center"/>
      </w:pPr>
      <m:oMath>
        <m:r>
          <m:t xml:space="preserve">c</m:t>
        </m:r>
        <m:r>
          <m:t xml:space="preserve">o</m:t>
        </m:r>
        <m:r>
          <m:t xml:space="preserve">s</m:t>
        </m:r>
        <m:r>
          <m:t xml:space="preserve">(</m:t>
        </m:r>
        <m:r>
          <m:t xml:space="preserve">q</m:t>
        </m:r>
        <m:r>
          <m:t xml:space="preserve">,</m:t>
        </m:r>
        <m:r>
          <m:t xml:space="preserve">h</m:t>
        </m:r>
        <m:r>
          <m:t xml:space="preserve">)</m:t>
        </m:r>
        <m:r>
          <m:t xml:space="preserve"> </m:t>
        </m:r>
        <m:r>
          <m:t xml:space="preserve">=</m:t>
        </m:r>
        <m:r>
          <m:t xml:space="preserve"> </m:t>
        </m:r>
        <m:f>
          <m:num>
            <m:r>
              <m:t xml:space="preserve">q</m:t>
            </m:r>
            <m:r>
              <m:t xml:space="preserve">₁</m:t>
            </m:r>
            <m:r>
              <m:t xml:space="preserve">h</m:t>
            </m:r>
            <m:r>
              <m:t xml:space="preserve">₁</m:t>
            </m:r>
            <m:r>
              <m:t xml:space="preserve"> </m:t>
            </m:r>
            <m:r>
              <m:t xml:space="preserve">+</m:t>
            </m:r>
            <m:r>
              <m:t xml:space="preserve"> </m:t>
            </m:r>
            <m:r>
              <m:t xml:space="preserve">q</m:t>
            </m:r>
            <m:r>
              <m:t xml:space="preserve">₂</m:t>
            </m:r>
            <m:r>
              <m:t xml:space="preserve">h</m:t>
            </m:r>
            <m:r>
              <m:t xml:space="preserve">₂</m:t>
            </m:r>
            <m:r>
              <m:t xml:space="preserve"> </m:t>
            </m:r>
            <m:r>
              <m:t xml:space="preserve">+</m:t>
            </m:r>
            <m:r>
              <m:t xml:space="preserve"> </m:t>
            </m:r>
            <m:r>
              <m:t xml:space="preserve">…</m:t>
            </m:r>
            <m:r>
              <m:t xml:space="preserve"> </m:t>
            </m:r>
            <m:r>
              <m:t xml:space="preserve">+</m:t>
            </m:r>
            <m:r>
              <m:t xml:space="preserve"> </m:t>
            </m:r>
            <m:sSub>
              <m:e>
                <m:r>
                  <m:t xml:space="preserve">q</m:t>
                </m:r>
              </m:e>
              <m:sub>
                <m:r>
                  <m:t xml:space="preserve">d</m:t>
                </m:r>
              </m:sub>
            </m:sSub>
            <m:sSub>
              <m:e>
                <m:r>
                  <m:t xml:space="preserve">h</m:t>
                </m:r>
              </m:e>
              <m:sub>
                <m:r>
                  <m:t xml:space="preserve">d</m:t>
                </m:r>
              </m:sub>
            </m:sSub>
          </m:num>
          <m:den>
            <m:r>
              <m:t xml:space="preserve">‖</m:t>
            </m:r>
            <m:r>
              <m:t xml:space="preserve">q</m:t>
            </m:r>
            <m:r>
              <m:t xml:space="preserve">‖</m:t>
            </m:r>
            <m:r>
              <m:t xml:space="preserve">₂</m:t>
            </m:r>
            <m:r>
              <m:t xml:space="preserve"> </m:t>
            </m:r>
            <m:r>
              <m:t xml:space="preserve">‖</m:t>
            </m:r>
            <m:r>
              <m:t xml:space="preserve">h</m:t>
            </m:r>
            <m:r>
              <m:t xml:space="preserve">‖</m:t>
            </m:r>
            <m:r>
              <m:t xml:space="preserve">₂</m:t>
            </m:r>
          </m:den>
        </m:f>
      </m:oMath>
    </w:p>
    <w:p>
      <w:r>
        <w:t>余弦相似度比较两个向量方向。理论范围为−1至1；同方向为1，正交为0，反方向为−1。合同文本的实际分布取决于Embedding模型，不能把0.85解读为85%的业务正确率。Float32运算会有微小数值误差，当前点积实现没有额外裁剪到区间。</w:t>
      </w:r>
    </w:p>
    <w:p>
      <w:pPr>
        <w:jc w:val="center"/>
      </w:pPr>
      <m:oMath>
        <m:r>
          <m:t xml:space="preserve">c</m:t>
        </m:r>
        <m:r>
          <m:t xml:space="preserve">o</m:t>
        </m:r>
        <m:r>
          <m:t xml:space="preserve">s</m:t>
        </m:r>
        <m:r>
          <m:t xml:space="preserve">(</m:t>
        </m:r>
        <m:r>
          <m:t xml:space="preserve">q</m:t>
        </m:r>
        <m:r>
          <m:t xml:space="preserve">,</m:t>
        </m:r>
        <m:r>
          <m:t xml:space="preserve">h</m:t>
        </m:r>
        <m:r>
          <m:t xml:space="preserve">)</m:t>
        </m:r>
        <m:r>
          <m:t xml:space="preserve"> </m:t>
        </m:r>
        <m:r>
          <m:t xml:space="preserve">=</m:t>
        </m:r>
        <m:r>
          <m:t xml:space="preserve"> </m:t>
        </m:r>
        <m:r>
          <m:t xml:space="preserve">a</m:t>
        </m:r>
        <m:r>
          <m:t xml:space="preserve">₁</m:t>
        </m:r>
        <m:r>
          <m:t xml:space="preserve">b</m:t>
        </m:r>
        <m:r>
          <m:t xml:space="preserve">₁</m:t>
        </m:r>
        <m:r>
          <m:t xml:space="preserve"> </m:t>
        </m:r>
        <m:r>
          <m:t xml:space="preserve">+</m:t>
        </m:r>
        <m:r>
          <m:t xml:space="preserve"> </m:t>
        </m:r>
        <m:r>
          <m:t xml:space="preserve">…</m:t>
        </m:r>
        <m:r>
          <m:t xml:space="preserve"> </m:t>
        </m:r>
        <m:r>
          <m:t xml:space="preserve">+</m:t>
        </m:r>
        <m:r>
          <m:t xml:space="preserve"> </m:t>
        </m:r>
        <m:sSub>
          <m:e>
            <m:r>
              <m:t xml:space="preserve">a</m:t>
            </m:r>
          </m:e>
          <m:sub>
            <m:r>
              <m:t xml:space="preserve">d</m:t>
            </m:r>
          </m:sub>
        </m:sSub>
        <m:sSub>
          <m:e>
            <m:r>
              <m:t xml:space="preserve">b</m:t>
            </m:r>
          </m:e>
          <m:sub>
            <m:r>
              <m:t xml:space="preserve">d</m:t>
            </m:r>
          </m:sub>
        </m:sSub>
      </m:oMath>
    </w:p>
    <w:p>
      <w:r>
        <w:t>这里a、b分别表示q、h归一化后的单位向量。</w:t>
      </w:r>
    </w:p>
    <w:p>
      <w:r>
        <w:t>查询向量由HTTP客户端归一化，历史向量在入库前和索引加载时归一化，因此VectorUtils.dot直接得到余弦。二维例子q=[0.6,0.8]，h=[0,1]，点积0.8；q与自身点积为1。真实向量维度默认为1024，各坐标不直接对应一个人为命名的业务词。</w:t>
      </w:r>
    </w:p>
    <w:tbl>
      <w:tblPr>
        <w:tblW w:type="auto" w:w="0"/>
        <w:tblLayout w:type="fixed"/>
        <w:tblLook w:firstColumn="1" w:firstRow="1" w:lastColumn="0" w:lastRow="0" w:noHBand="0" w:noVBand="1" w:val="04A0"/>
      </w:tblPr>
      <w:tblGrid>
        <w:gridCol w:w="2808"/>
        <w:gridCol w:w="4608"/>
        <w:gridCol w:w="2304"/>
      </w:tblGrid>
      <w:tr>
        <w:trPr>
          <w:tblHeader/>
        </w:trPr>
        <w:tc>
          <w:tcPr>
            <w:tcW w:type="dxa" w:w="28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指标</w:t>
            </w:r>
          </w:p>
        </w:tc>
        <w:tc>
          <w:tcPr>
            <w:tcW w:type="dxa" w:w="46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计算与使用</w:t>
            </w:r>
          </w:p>
        </w:tc>
        <w:tc>
          <w:tcPr>
            <w:tcW w:type="dxa" w:w="23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不能解释成</w:t>
            </w:r>
          </w:p>
        </w:tc>
      </w:tr>
      <w:tr>
        <w:tc>
          <w:tcPr>
            <w:tcW w:type="dxa" w:w="28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SIMILARITY / maxSimilarity</w:t>
            </w:r>
          </w:p>
        </w:tc>
        <w:tc>
          <w:tcPr>
            <w:tcW w:type="dxa" w:w="46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查询段落与历史段落余弦；决定召回与强相似兜底</w:t>
            </w:r>
          </w:p>
        </w:tc>
        <w:tc>
          <w:tcPr>
            <w:tcW w:type="dxa" w:w="23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类型正确概率</w:t>
            </w:r>
          </w:p>
        </w:tc>
      </w:tr>
      <w:tr>
        <w:tc>
          <w:tcPr>
            <w:tcW w:type="dxa" w:w="28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changeTypes.score</w:t>
            </w:r>
          </w:p>
        </w:tc>
        <w:tc>
          <w:tcPr>
            <w:tcW w:type="dxa" w:w="46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支持该类型的历史相似度平方权重占比；决定HIGH或候选</w:t>
            </w:r>
          </w:p>
        </w:tc>
        <w:tc>
          <w:tcPr>
            <w:tcW w:type="dxa" w:w="23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第一名相似度</w:t>
            </w:r>
          </w:p>
        </w:tc>
      </w:tr>
      <w:tr>
        <w:tc>
          <w:tcPr>
            <w:tcW w:type="dxa" w:w="28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条款匹配score</w:t>
            </w:r>
          </w:p>
        </w:tc>
        <w:tc>
          <w:tcPr>
            <w:tcW w:type="dxa" w:w="46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新旧条款内容 标题 上下文的Dice加权分</w:t>
            </w:r>
          </w:p>
        </w:tc>
        <w:tc>
          <w:tcPr>
            <w:tcW w:type="dxa" w:w="23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历史语义投票得分</w:t>
            </w:r>
          </w:p>
        </w:tc>
      </w:tr>
      <w:tr>
        <w:tc>
          <w:tcPr>
            <w:tcW w:type="dxa" w:w="28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supportCount</w:t>
            </w:r>
          </w:p>
        </w:tc>
        <w:tc>
          <w:tcPr>
            <w:tcW w:type="dxa" w:w="46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参与投票且带该标签的历史样本条数</w:t>
            </w:r>
          </w:p>
        </w:tc>
        <w:tc>
          <w:tcPr>
            <w:tcW w:type="dxa" w:w="23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本次合同变化段落数</w:t>
            </w:r>
          </w:p>
        </w:tc>
      </w:tr>
    </w:tbl>
    <w:p>
      <w:pPr>
        <w:spacing w:after="0"/>
      </w:pPr>
    </w:p>
    <w:p>
      <w:r>
        <w:t>绝对相似度表示“是否接近历史样本”，投票得分表示“邻近样本是否同意这个类型”。二者独立：所有近邻略高于0.60且同标签时得分可为1；第一名0.95但其他标签分散时，投票得分仍可能很低。</w:t>
      </w:r>
    </w:p>
    <w:p>
      <w:pPr>
        <w:pStyle w:val="Heading1"/>
        <w:pageBreakBefore/>
      </w:pPr>
      <w:r>
        <w:t>8 段落精确命中与加权投票</w:t>
      </w:r>
    </w:p>
    <w:p>
      <w:r>
        <w:t>ContractParagraphPredictionService先规范化并校验输入，再按Hash查找。精确命中直接返回EXACT，历史每个标签score=1 supportCount=1 level=HIGH，并给一条参考样本。这是精确匹配的特殊分支，不要求至少两条历史支持。</w:t>
      </w:r>
    </w:p>
    <w:p>
      <w:r>
        <w:t>未命中时生成查询向量并召回最多retrieveTopK=10条。从高到低连续取similarity≥minSimilarity=0.60的样本。若无合格样本，返回NO_RELIABLE_MATCH，仍保留最高相似度和最多5条参考，便于判断“召回了但未达最低门槛”。</w:t>
      </w:r>
    </w:p>
    <w:p>
      <w:pPr>
        <w:pStyle w:val="Heading2"/>
      </w:pPr>
      <w:r>
        <w:t>多标签加权投票</w:t>
      </w:r>
    </w:p>
    <w:p>
      <w:pPr>
        <w:jc w:val="center"/>
      </w:pPr>
      <m:oMath>
        <m:r>
          <m:t xml:space="preserve">w</m:t>
        </m:r>
        <m:r>
          <m:t xml:space="preserve">ᵢ</m:t>
        </m:r>
        <m:r>
          <m:t xml:space="preserve"> </m:t>
        </m:r>
        <m:r>
          <m:t xml:space="preserve">=</m:t>
        </m:r>
        <m:r>
          <m:t xml:space="preserve"> </m:t>
        </m:r>
        <m:r>
          <m:t xml:space="preserve">s</m:t>
        </m:r>
        <m:r>
          <m:t xml:space="preserve">ᵢ</m:t>
        </m:r>
        <m:r>
          <m:t xml:space="preserve">²</m:t>
        </m:r>
      </m:oMath>
    </w:p>
    <w:p>
      <w:pPr>
        <w:jc w:val="center"/>
      </w:pPr>
      <m:oMath>
        <m:r>
          <m:t xml:space="preserve">s</m:t>
        </m:r>
        <m:r>
          <m:t xml:space="preserve">c</m:t>
        </m:r>
        <m:r>
          <m:t xml:space="preserve">o</m:t>
        </m:r>
        <m:r>
          <m:t xml:space="preserve">r</m:t>
        </m:r>
        <m:r>
          <m:t xml:space="preserve">e</m:t>
        </m:r>
        <m:r>
          <m:t xml:space="preserve">(</m:t>
        </m:r>
        <m:r>
          <m:t xml:space="preserve">c</m:t>
        </m:r>
        <m:r>
          <m:t xml:space="preserve">)</m:t>
        </m:r>
        <m:r>
          <m:t xml:space="preserve"> </m:t>
        </m:r>
        <m:r>
          <m:t xml:space="preserve">=</m:t>
        </m:r>
        <m:r>
          <m:t xml:space="preserve"> </m:t>
        </m:r>
        <m:f>
          <m:num>
            <m:r>
              <m:t xml:space="preserve">∑</m:t>
            </m:r>
            <m:r>
              <m:t xml:space="preserve">ᵢ</m:t>
            </m:r>
            <m:r>
              <m:t xml:space="preserve"> </m:t>
            </m:r>
            <m:r>
              <m:t xml:space="preserve">w</m:t>
            </m:r>
            <m:r>
              <m:t xml:space="preserve">ᵢ</m:t>
            </m:r>
            <m:r>
              <m:t xml:space="preserve"> </m:t>
            </m:r>
            <m:r>
              <m:t xml:space="preserve">I</m:t>
            </m:r>
            <m:r>
              <m:t xml:space="preserve">ᵢ</m:t>
            </m:r>
            <m:r>
              <m:t xml:space="preserve">(</m:t>
            </m:r>
            <m:r>
              <m:t xml:space="preserve">c</m:t>
            </m:r>
            <m:r>
              <m:t xml:space="preserve">)</m:t>
            </m:r>
          </m:num>
          <m:den>
            <m:r>
              <m:t xml:space="preserve">∑</m:t>
            </m:r>
            <m:r>
              <m:t xml:space="preserve">ᵢ</m:t>
            </m:r>
            <m:r>
              <m:t xml:space="preserve"> </m:t>
            </m:r>
            <m:r>
              <m:t xml:space="preserve">w</m:t>
            </m:r>
            <m:r>
              <m:t xml:space="preserve">ᵢ</m:t>
            </m:r>
          </m:den>
        </m:f>
      </m:oMath>
    </w:p>
    <w:p>
      <w:r>
        <w:t>其中sᵢ为第i个历史样本相似度，Iᵢ(c)在该样本包含类型c时为1，否则为0。</w:t>
      </w:r>
    </w:p>
    <w:p>
      <w:r>
        <w:t>最多使用voteTopK=10条合格样本；每个样本权重只进入分母一次，但可同时给多个标签加权。supportCount为包含该标签的样本数。平方使0.9相似样本权重0.81高于0.6样本的0.36，前者影响约为后者2.25倍。</w:t>
      </w:r>
    </w:p>
    <w:tbl>
      <w:tblPr>
        <w:tblW w:type="auto" w:w="0"/>
        <w:tblLayout w:type="fixed"/>
        <w:tblLook w:firstColumn="1" w:firstRow="1" w:lastColumn="0" w:lastRow="0" w:noHBand="0" w:noVBand="1" w:val="04A0"/>
      </w:tblPr>
      <w:tblGrid>
        <w:gridCol w:w="6120"/>
        <w:gridCol w:w="3600"/>
      </w:tblGrid>
      <w:tr>
        <w:trPr>
          <w:tblHeader/>
        </w:trPr>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规则</w:t>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输出</w:t>
            </w:r>
          </w:p>
        </w:tc>
      </w:tr>
      <w:tr>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score &lt; 0.55</w:t>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该类型不进入常规投票结果</w:t>
            </w:r>
          </w:p>
        </w:tc>
      </w:tr>
      <w:tr>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score ≥ 0.80 且 supportCount ≥ 2</w:t>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HIGH</w:t>
            </w:r>
          </w:p>
        </w:tc>
      </w:tr>
      <w:tr>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score ≥ 0.55 但未同时达到HIGH条件</w:t>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CANDIDATE</w:t>
            </w:r>
          </w:p>
        </w:tc>
      </w:tr>
      <w:tr>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常规结果为空 且 第一名similarity ≥ 0.80</w:t>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第一名全部标签作为CANDIDATE兜底，score仍用投票得分</w:t>
            </w:r>
          </w:p>
        </w:tc>
      </w:tr>
      <w:tr>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常规结果为空 且 不满足强相似兜底</w:t>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NO_RELIABLE_MATCH</w:t>
            </w:r>
          </w:p>
        </w:tc>
      </w:tr>
    </w:tbl>
    <w:p>
      <w:pPr>
        <w:spacing w:after="0"/>
      </w:pPr>
    </w:p>
    <w:p>
      <w:r>
        <w:t>结果先按score倒序，再按编码字符串排序。多标签得分总和可以大于1。候选不要求minSupportCount=2；该参数只约束语义HIGH。强相似兜底只有结果完全为空时才触发，不会给已有投票结果继续追加标签。</w:t>
      </w:r>
    </w:p>
    <w:p>
      <w:pPr>
        <w:pStyle w:val="Heading1"/>
        <w:pageBreakBefore/>
      </w:pPr>
      <w:r>
        <w:t>9 类型49与71的计算案例</w:t>
      </w:r>
    </w:p>
    <w:p>
      <w:r>
        <w:t>下表取自用户提供的历史匹配记录，分析ID为b2ceb3aaec4c4a3f969489e0ebf38ea1，变化段落数据库ID为543。它说明历史证据如何变成类型得分；并不将数据库中前5条证据冒充完整10条投票输入。</w:t>
      </w:r>
    </w:p>
    <w:tbl>
      <w:tblPr>
        <w:tblW w:type="auto" w:w="0"/>
        <w:tblLayout w:type="fixed"/>
        <w:tblLook w:firstColumn="1" w:firstRow="1" w:lastColumn="0" w:lastRow="0" w:noHBand="0" w:noVBand="1" w:val="04A0"/>
      </w:tblPr>
      <w:tblGrid>
        <w:gridCol w:w="1872"/>
        <w:gridCol w:w="2592"/>
        <w:gridCol w:w="2592"/>
        <w:gridCol w:w="2664"/>
      </w:tblGrid>
      <w:tr>
        <w:trPr>
          <w:tblHeader/>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样本ID</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相似度s</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权重s²</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类型</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2447</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0.855138</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0.731261</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49</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2445</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0.750550</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0.563325</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49</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2468</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0.669767</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0.448588</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71</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2446</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0.668707</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0.447169</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49</w:t>
            </w:r>
          </w:p>
        </w:tc>
      </w:tr>
      <w:t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2473</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0.666498</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0.444220</w:t>
            </w:r>
          </w:p>
        </w:tc>
        <w:tc>
          <w:tcPr>
            <w:tcW w:type="dxa" w:w="26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71</w:t>
            </w:r>
          </w:p>
        </w:tc>
      </w:tr>
    </w:tbl>
    <w:p>
      <w:pPr>
        <w:spacing w:after="0"/>
      </w:pPr>
    </w:p>
    <w:tbl>
      <w:tblPr>
        <w:tblW w:type="auto" w:w="0"/>
        <w:tblLayout w:type="fixed"/>
        <w:tblLook w:firstColumn="1" w:firstRow="1" w:lastColumn="0" w:lastRow="0" w:noHBand="0" w:noVBand="1" w:val="04A0"/>
      </w:tblPr>
      <w:tblGrid>
        <w:gridCol w:w="1440"/>
        <w:gridCol w:w="1440"/>
        <w:gridCol w:w="3168"/>
        <w:gridCol w:w="3672"/>
      </w:tblGrid>
      <w:tr>
        <w:trPr>
          <w:tblHeader/>
        </w:trPr>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类型</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支持数</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权重之和</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仅5条得分</w:t>
            </w:r>
          </w:p>
        </w:tc>
      </w:tr>
      <w:tr>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49</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3</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1.741755</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0.661117</w:t>
            </w:r>
          </w:p>
        </w:tc>
      </w:tr>
      <w:tr>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71</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2</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0.892807</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0.338883</w:t>
            </w:r>
          </w:p>
        </w:tc>
      </w:tr>
    </w:tbl>
    <w:p>
      <w:pPr>
        <w:spacing w:after="0"/>
      </w:pPr>
    </w:p>
    <w:p>
      <w:r>
        <w:t>总权重为2.63456277。仅按这5条计算，49得分约0.661117，支持数3：支持数达到2，但得分没达到0.80，因此是CANDIDATE。71得分约0.338883，小于0.55，不进入常规结果。因为49已入选，强相似兜底不再触发。</w:t>
      </w:r>
    </w:p>
    <w:p>
      <w:r>
        <w:t>第一条0.855138表达当前段落与样本2447接近，不是49的得分。三个历史段落共同支持的是段落543这一次分类，不会在合同汇总中变成三个变化段落。</w:t>
      </w:r>
    </w:p>
    <w:p>
      <w:pPr>
        <w:pStyle w:val="Heading2"/>
      </w:pPr>
      <w:r>
        <w:t>为什么最终合同可能返回空集合</w:t>
      </w:r>
    </w:p>
    <w:p>
      <w:r>
        <w:t>假设实际投票最终仍为候选49，且只有这一个不同的变化段落给出49，那么合同汇总缺少第二个候选段落，fileChangeTypeCodes可以为[]。这是条件推导，不是对现场完整结果的最终定论；还需查看段落等级、完整RESULT_JSON及实际voteTopK配置。</w:t>
      </w:r>
    </w:p>
    <w:p>
      <w:r>
        <w:t>MATCH_LOG默认只保存evidenceTopK=5条参考；现场截图相似度是数据库六位小数显示值，投票使用内存double值。因此仅用MATCH_LOG不能保证完全重算现场得分。49与71的业务名称应另查业务字典，本案例不猜测其含义。</w:t>
      </w:r>
    </w:p>
    <w:p>
      <w:pPr>
        <w:pStyle w:val="Heading1"/>
        <w:pageBreakBefore/>
      </w:pPr>
      <w:r>
        <w:t>10 合同级汇总与两种支持数</w:t>
      </w:r>
    </w:p>
    <w:p>
      <w:r>
        <w:t>FileChangeTypeAggregator以本次变化段落的规范化基础文本为证据键。相同文本出现多次只算一个段落，合并它们的标签；同一文本同一类型同时出现HIGH和候选时以HIGH为准。只有MATCHED段落的类型参与合同汇总。</w:t>
      </w:r>
    </w:p>
    <w:tbl>
      <w:tblPr>
        <w:tblW w:type="auto" w:w="0"/>
        <w:tblLayout w:type="fixed"/>
        <w:tblLook w:firstColumn="1" w:firstRow="1" w:lastColumn="0" w:lastRow="0" w:noHBand="0" w:noVBand="1" w:val="04A0"/>
      </w:tblPr>
      <w:tblGrid>
        <w:gridCol w:w="5328"/>
        <w:gridCol w:w="1440"/>
        <w:gridCol w:w="2952"/>
      </w:tblGrid>
      <w:tr>
        <w:trPr>
          <w:tblHeader/>
        </w:trPr>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合同中的证据</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是否输出该类型</w:t>
            </w:r>
          </w:p>
        </w:tc>
        <w:tc>
          <w:tcPr>
            <w:tcW w:type="dxa" w:w="29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解释</w:t>
            </w:r>
          </w:p>
        </w:tc>
      </w:tr>
      <w:tr>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任一段落该类型为HIGH</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是</w:t>
            </w:r>
          </w:p>
        </w:tc>
        <w:tc>
          <w:tcPr>
            <w:tcW w:type="dxa" w:w="29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单段高可信即可</w:t>
            </w:r>
          </w:p>
        </w:tc>
      </w:tr>
      <w:tr>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仅一个不同段落为CANDIDATE</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否</w:t>
            </w:r>
          </w:p>
        </w:tc>
        <w:tc>
          <w:tcPr>
            <w:tcW w:type="dxa" w:w="29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未达到两个不同段落</w:t>
            </w:r>
          </w:p>
        </w:tc>
      </w:tr>
      <w:tr>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两个不同规范化段落均为CANDIDATE</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是</w:t>
            </w:r>
          </w:p>
        </w:tc>
        <w:tc>
          <w:tcPr>
            <w:tcW w:type="dxa" w:w="29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达到候选共同支持要求</w:t>
            </w:r>
          </w:p>
        </w:tc>
      </w:tr>
      <w:tr>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同一规范化文本重复两次均为候选</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否</w:t>
            </w:r>
          </w:p>
        </w:tc>
        <w:tc>
          <w:tcPr>
            <w:tcW w:type="dxa" w:w="29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文本去重后只算一次</w:t>
            </w:r>
          </w:p>
        </w:tc>
      </w:tr>
      <w:tr>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历史3条支持但本合同仅1个候选段落</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否</w:t>
            </w:r>
          </w:p>
        </w:tc>
        <w:tc>
          <w:tcPr>
            <w:tcW w:type="dxa" w:w="29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历史支持数不是合同段落数</w:t>
            </w:r>
          </w:p>
        </w:tc>
      </w:tr>
      <w:tr>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段落FAILED NO_RELIABLE_MATCH或超长</w:t>
            </w:r>
          </w:p>
        </w:tc>
        <w:tc>
          <w:tcPr>
            <w:tcW w:type="dxa" w:w="14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不贡献</w:t>
            </w:r>
          </w:p>
        </w:tc>
        <w:tc>
          <w:tcPr>
            <w:tcW w:type="dxa" w:w="29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无可用预测标签</w:t>
            </w:r>
          </w:p>
        </w:tc>
      </w:tr>
    </w:tbl>
    <w:p>
      <w:pPr>
        <w:spacing w:after="0"/>
      </w:pPr>
    </w:p>
    <w:p>
      <w:pPr>
        <w:pStyle w:val="Heading2"/>
      </w:pPr>
      <w:r>
        <w:t>算法伪代码</w:t>
      </w:r>
    </w:p>
    <w:p>
      <w:pPr>
        <w:spacing w:line="252" w:lineRule="auto"/>
      </w:pPr>
      <w:r>
        <w:rPr>
          <w:rFonts w:ascii="Consolas" w:hAnsi="Consolas" w:eastAsia="Microsoft YaHei"/>
          <w:sz w:val="17"/>
        </w:rPr>
        <w:t>按 normalizedBaseText 合并段落的标签及等级</w:t>
        <w:br/>
        <w:t>对每个类型c统计：</w:t>
        <w:br/>
        <w:t xml:space="preserve">  hasHigh = 是否存在任一不同文本给出HIGH</w:t>
        <w:br/>
        <w:t xml:space="preserve">  candidateParagraphCount = 给出候选的不同文本数</w:t>
        <w:br/>
        <w:t xml:space="preserve">  若 hasHigh 或 candidateParagraphCount &gt;= 2：收录c</w:t>
        <w:br/>
        <w:t>最后用TreeSet去重并按编码字符串排序</w:t>
      </w:r>
    </w:p>
    <w:p>
      <w:r>
        <w:t>汇总使用基础变化文本，而不是上下文兜底拼接文本。同一基础段落因不同条款上下文得到不同标签时，仍只算一个文本证据，每种标签最多贡献一次。输出排序为字符串字典序，不是数值大小排序。</w:t>
      </w:r>
    </w:p>
    <w:p>
      <w:r>
        <w:t>历史supportCount衡量该段落分类的历史支持；candidateParagraphCount衡量本次合同内重复出现的候选证据。两者处于不同层级。当前汇总不进一步按候选score累计，也不判断两个段落是否来自同一条款或是否语义重复。</w:t>
      </w:r>
    </w:p>
    <w:p>
      <w:pPr>
        <w:pStyle w:val="Heading1"/>
        <w:pageBreakBefore/>
      </w:pPr>
      <w:r>
        <w:t>11 compare分析编排与事务时序</w:t>
      </w:r>
    </w:p>
    <w:p>
      <w:r>
        <w:t>ContractChangeAnalysisService是当前 /compare 主链路。先校验元数据和活动路径，再生成去除连字符的UUID作为analysisId。instId关联业务流程，可多次分析；analysisId区分每一次调用，不能只按instId取第一条记录。</w:t>
      </w:r>
    </w:p>
    <w:tbl>
      <w:tblPr>
        <w:tblW w:type="auto" w:w="0"/>
        <w:tblLayout w:type="fixed"/>
        <w:tblLook w:firstColumn="1" w:firstRow="1" w:lastColumn="0" w:lastRow="0" w:noHBand="0" w:noVBand="1" w:val="04A0"/>
      </w:tblPr>
      <w:tblGrid>
        <w:gridCol w:w="936"/>
        <w:gridCol w:w="4536"/>
        <w:gridCol w:w="4248"/>
      </w:tblGrid>
      <w:tr>
        <w:trPr>
          <w:tblHeader/>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顺序</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动作</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数据库边界</w:t>
            </w:r>
          </w:p>
        </w:tc>
      </w:tr>
      <w:t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1</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校验请求及选择Extractor</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校验失败时尚未创建分析记录</w:t>
            </w:r>
          </w:p>
        </w:tc>
      </w:tr>
      <w:t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2</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createProcessing写主表PROCESSING</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REQUIRES_NEW独立事务提交</w:t>
            </w:r>
          </w:p>
        </w:tc>
      </w:tr>
      <w:t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3</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SFTP读取并提取基础变化</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不把外部文件处理放在长写事务中</w:t>
            </w:r>
          </w:p>
        </w:tc>
      </w:tr>
      <w:t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4</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预测段落并汇总类型</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模型调用不占最终落库事务</w:t>
            </w:r>
          </w:p>
        </w:tc>
      </w:tr>
      <w:t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5</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序列化完整JSON并持久化结果</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段落 参考证据及主表更新同事务</w:t>
            </w:r>
          </w:p>
        </w:tc>
      </w:tr>
      <w:t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6</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返回analysisId codes status</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精简响应不返回全部变化明细</w:t>
            </w:r>
          </w:p>
        </w:tc>
      </w:tr>
      <w:t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异常</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markFailed记录异常及耗时</w:t>
            </w:r>
          </w:p>
        </w:tc>
        <w:tc>
          <w:tcPr>
            <w:tcW w:type="dxa" w:w="42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REQUIRES_NEW，保留主记录审计</w:t>
            </w:r>
          </w:p>
        </w:tc>
      </w:tr>
    </w:tbl>
    <w:p>
      <w:pPr>
        <w:spacing w:after="0"/>
      </w:pPr>
    </w:p>
    <w:p>
      <w:r>
        <w:t>在createProcessing之前发生的校验错误没有本次主记录。createProcessing自身失败也无法依靠后续catch留痕。进入分析try后发生异常，则尝试独立更新FAILED；失败留痕若再出错，会作为suppressed异常附加，不伪造已成功落库。</w:t>
      </w:r>
    </w:p>
    <w:p>
      <w:pPr>
        <w:pStyle w:val="Heading2"/>
      </w:pPr>
      <w:r>
        <w:t>精简响应示例</w:t>
      </w:r>
    </w:p>
    <w:p>
      <w:pPr>
        <w:spacing w:line="252" w:lineRule="auto"/>
      </w:pPr>
      <w:r>
        <w:rPr>
          <w:rFonts w:ascii="Consolas" w:hAnsi="Consolas" w:eastAsia="Microsoft YaHei"/>
          <w:sz w:val="17"/>
        </w:rPr>
        <w:t>{"code":200,"message":"操作成功","data":{</w:t>
        <w:br/>
        <w:t xml:space="preserve"> "analysisId":"&lt;本次UUID&gt;",</w:t>
        <w:br/>
        <w:t xml:space="preserve"> "fileChangeTypeCodes":["49"],</w:t>
        <w:br/>
        <w:t xml:space="preserve"> "analysisStatus":"SUCCESS"}}</w:t>
      </w:r>
    </w:p>
    <w:p>
      <w:r>
        <w:t>当前源码成功业务code为200。用户现场截图曾显示code=0并带success=true，这与当前包装类并不一致，应以现场部署版本或外层包装为准，不能直接据截图认定源码当前返回结构相同。完整变化与预测结果保存在HT_ANALYSIS_LOG.RESULT_JSON。</w:t>
      </w:r>
    </w:p>
    <w:p>
      <w:pPr>
        <w:pStyle w:val="Heading1"/>
        <w:pageBreakBefore/>
      </w:pPr>
      <w:r>
        <w:t>12 文件读取与Aspose比较</w:t>
      </w:r>
    </w:p>
    <w:p>
      <w:pPr>
        <w:pStyle w:val="Heading2"/>
      </w:pPr>
      <w:r>
        <w:t>主备SFTP与格式检查</w:t>
      </w:r>
    </w:p>
    <w:p>
      <w:r>
        <w:t>先按活动路径从主SFTP读取，逐块累计大小，默认单份上限52428800字节即50MiB。下载后先检查至少4字节且前两字节为PK；这只是ZIP头初筛，不证明文档一定可解析。主下载、大小或头校验失败会尝试备用SFTP的同一路径。</w:t>
      </w:r>
    </w:p>
    <w:p>
      <w:r>
        <w:t>若主文件通过头校验但后来Aspose解析失败，当前Loader不自动回到备用服务器再试。这个边界不同于“任何解析失败都能切备”。完整文档有效性与加密检查由Aspose加载阶段处理。</w:t>
      </w:r>
    </w:p>
    <w:p>
      <w:pPr>
        <w:pStyle w:val="Heading2"/>
      </w:pPr>
      <w:r>
        <w:t>比较前视为最终稿</w:t>
      </w:r>
    </w:p>
    <w:p>
      <w:r>
        <w:t>Aspose检测实际格式，加载器接受DOCX DOCM DOTX DOTM对应格式，拒绝加密或非支持文档。若文件已有Word修订，先acceptAllRevisions，按接受修订后的最终文本比较，不分析文件原有修订历史。</w:t>
      </w:r>
    </w:p>
    <w:tbl>
      <w:tblPr>
        <w:tblW w:type="auto" w:w="0"/>
        <w:tblLayout w:type="fixed"/>
        <w:tblLook w:firstColumn="1" w:firstRow="1" w:lastColumn="0" w:lastRow="0" w:noHBand="0" w:noVBand="1" w:val="04A0"/>
      </w:tblPr>
      <w:tblGrid>
        <w:gridCol w:w="3600"/>
        <w:gridCol w:w="6120"/>
      </w:tblGrid>
      <w:tr>
        <w:trPr>
          <w:tblHeader/>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CompareOptions</w:t>
            </w:r>
          </w:p>
        </w:tc>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当前设置</w:t>
            </w:r>
          </w:p>
        </w:tc>
      </w:tr>
      <w:t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格式 样式相关变化</w:t>
            </w:r>
          </w:p>
        </w:tc>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ignoreFormatting=true；抽取信号时跳过FORMAT_CHANGE和STYLE_DEFINITION_CHANGE</w:t>
            </w:r>
          </w:p>
        </w:tc>
      </w:tr>
      <w:t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批注 页眉页脚 脚注 域</w:t>
            </w:r>
          </w:p>
        </w:tc>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对应ignore选项为true，不作为主要比较对象</w:t>
            </w:r>
          </w:p>
        </w:tc>
      </w:tr>
      <w:t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表格 文本框</w:t>
            </w:r>
          </w:p>
        </w:tc>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ignoreTables=false ignoreTextboxes=false</w:t>
            </w:r>
          </w:p>
        </w:tc>
      </w:tr>
      <w:t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比较目标</w:t>
            </w:r>
          </w:p>
        </w:tc>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ComparisonTargetType.NEW</w:t>
            </w:r>
          </w:p>
        </w:tc>
      </w:tr>
      <w:t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正文修订信号</w:t>
            </w:r>
          </w:p>
        </w:tc>
        <w:tc>
          <w:tcPr>
            <w:tcW w:type="dxa" w:w="61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提取修订类型 所在段落文本及段落索引</w:t>
            </w:r>
          </w:p>
        </w:tc>
      </w:tr>
    </w:tbl>
    <w:p>
      <w:pPr>
        <w:spacing w:after="0"/>
      </w:pPr>
    </w:p>
    <w:p>
      <w:r>
        <w:t>两份Document先深拷贝再compare，保留原始加载后的最终稿供结构解析。Revision信号用来做定位与诊断；最终ClauseChange主要由结构匹配和文本差异合并生成，不是简单按Aspose修订条数输出。</w:t>
      </w:r>
    </w:p>
    <w:p>
      <w:r>
        <w:t>Aspose配置允许比较文本框，不代表项目结构解析器独立完整遍历每个文本框。复杂对象、编号和表格布局仍应以项目实际解析与人工复核结果为准。</w:t>
      </w:r>
    </w:p>
    <w:p>
      <w:pPr>
        <w:pStyle w:val="Heading1"/>
        <w:pageBreakBefore/>
      </w:pPr>
      <w:r>
        <w:t>13 合同结构解析与标题层级</w:t>
      </w:r>
    </w:p>
    <w:p>
      <w:r>
        <w:t>ContractStructureParser按Section正文顶层节点读取Paragraph和Table，跳过空段落及目录样式段落。先更新Word自动编号显示标签，再将正文组织为Clause节点及父子层级。</w:t>
      </w:r>
    </w:p>
    <w:tbl>
      <w:tblPr>
        <w:tblW w:type="auto" w:w="0"/>
        <w:tblLayout w:type="fixed"/>
        <w:tblLook w:firstColumn="1" w:firstRow="1" w:lastColumn="0" w:lastRow="0" w:noHBand="0" w:noVBand="1" w:val="04A0"/>
      </w:tblPr>
      <w:tblGrid>
        <w:gridCol w:w="3888"/>
        <w:gridCol w:w="5832"/>
      </w:tblGrid>
      <w:tr>
        <w:trPr>
          <w:tblHeader/>
        </w:trP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识别方式</w:t>
            </w:r>
          </w:p>
        </w:tc>
        <w:tc>
          <w:tcPr>
            <w:tcW w:type="dxa" w:w="58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层级或行为</w:t>
            </w:r>
          </w:p>
        </w:tc>
      </w:tr>
      <w:t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第某章 节 部分 编 篇</w:t>
            </w:r>
          </w:p>
        </w:tc>
        <w:tc>
          <w:tcPr>
            <w:tcW w:type="dxa" w:w="58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当前规则赋层级1</w:t>
            </w:r>
          </w:p>
        </w:tc>
      </w:tr>
      <w:t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第某条</w:t>
            </w:r>
          </w:p>
        </w:tc>
        <w:tc>
          <w:tcPr>
            <w:tcW w:type="dxa" w:w="58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层级1，识别条款编号及剩余标题</w:t>
            </w:r>
          </w:p>
        </w:tc>
      </w:tr>
      <w:t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括号编号例如（一）或(1)</w:t>
            </w:r>
          </w:p>
        </w:tc>
        <w:tc>
          <w:tcPr>
            <w:tcW w:type="dxa" w:w="58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层级2</w:t>
            </w:r>
          </w:p>
        </w:tc>
      </w:tr>
      <w:t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数字编号例如1 1.2 1.2.3</w:t>
            </w:r>
          </w:p>
        </w:tc>
        <w:tc>
          <w:tcPr>
            <w:tcW w:type="dxa" w:w="58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点分段数决定层级，避免部分日期样式误识别</w:t>
            </w:r>
          </w:p>
        </w:tc>
      </w:tr>
      <w:t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Word自动编号</w:t>
            </w:r>
          </w:p>
        </w:tc>
        <w:tc>
          <w:tcPr>
            <w:tcW w:type="dxa" w:w="58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listLevelNumber+1，补显示编号</w:t>
            </w:r>
          </w:p>
        </w:tc>
      </w:tr>
      <w:t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Word标题样式</w:t>
            </w:r>
          </w:p>
        </w:tc>
        <w:tc>
          <w:tcPr>
            <w:tcW w:type="dxa" w:w="58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outlineLevel+1，限制1至9</w:t>
            </w:r>
          </w:p>
        </w:tc>
      </w:tr>
      <w:t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无当前条款的普通文本</w:t>
            </w:r>
          </w:p>
        </w:tc>
        <w:tc>
          <w:tcPr>
            <w:tcW w:type="dxa" w:w="58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短文本可作合成标题，长文本归合同主体信息</w:t>
            </w:r>
          </w:p>
        </w:tc>
      </w:tr>
      <w:t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签署页等签署起始文本</w:t>
            </w:r>
          </w:p>
        </w:tc>
        <w:tc>
          <w:tcPr>
            <w:tcW w:type="dxa" w:w="58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合成签署信息节点</w:t>
            </w:r>
          </w:p>
        </w:tc>
      </w:tr>
      <w:t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表格</w:t>
            </w:r>
          </w:p>
        </w:tc>
        <w:tc>
          <w:tcPr>
            <w:tcW w:type="dxa" w:w="58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行内单元格以竖线分隔，行间换行，附到当前Clause</w:t>
            </w:r>
          </w:p>
        </w:tc>
      </w:tr>
    </w:tbl>
    <w:p>
      <w:pPr>
        <w:spacing w:after="0"/>
      </w:pPr>
    </w:p>
    <w:p>
      <w:r>
        <w:t>维护层级栈：新节点到来时，弹出层级大于等于自己的节点，剩余栈顶成为父节点。Clause保存编号 标题 层级 顺序 contentParts 子节点及正文段落索引。数字或括号标题余文超过40字符或含明显句末标点时，标题字段可为空，原文仍保留在内容中。</w:t>
      </w:r>
    </w:p>
    <w:p>
      <w:r>
        <w:t>章和条都可能被赋层级1，因此层级是此规则解析出的结构，不保证完全等同于所有合同的法律章节树。表格被转换为文本后参与匹配，不保留布局作为独立相似度特征。</w:t>
      </w:r>
    </w:p>
    <w:p>
      <w:pPr>
        <w:pStyle w:val="Heading2"/>
      </w:pPr>
      <w:r>
        <w:t>两种规范化不要混用</w:t>
      </w:r>
    </w:p>
    <w:p>
      <w:r>
        <w:t>合同基础比对的ContractCompareText.normalize删除全部空白并转小写；向量分类的ContractTextNormalizer压缩空白但保留空格与大小写。前者容忍排版与大小写变化，后者同时服务导入Hash和模型输入。不能用一种规范化的Hash或分数替代另一种。</w:t>
      </w:r>
    </w:p>
    <w:p>
      <w:pPr>
        <w:pStyle w:val="Heading1"/>
        <w:pageBreakBefore/>
      </w:pPr>
      <w:r>
        <w:t>14 新旧条款匹配与Dice算法</w:t>
      </w:r>
    </w:p>
    <w:p>
      <w:r>
        <w:t>ClauseComparisonEngine先匹配相同可比内容，再匹配剩余节点中两边唯一的相同标题，最后对剩余条款模糊匹配。可比内容仅用节点自身文本，并移除开头的条款编号，避免单纯重新编号被当成正文变化。完全相同内容存在多个候选时优先位置最接近者。</w:t>
      </w:r>
    </w:p>
    <w:p>
      <w:pPr>
        <w:pStyle w:val="Heading2"/>
      </w:pPr>
      <w:r>
        <w:t>字符二元组Dice</w:t>
      </w:r>
    </w:p>
    <w:p>
      <w:pPr>
        <w:jc w:val="center"/>
      </w:pPr>
      <m:oMath>
        <m:r>
          <m:t xml:space="preserve">D</m:t>
        </m:r>
        <m:r>
          <m:t xml:space="preserve">i</m:t>
        </m:r>
        <m:r>
          <m:t xml:space="preserve">c</m:t>
        </m:r>
        <m:r>
          <m:t xml:space="preserve">e</m:t>
        </m:r>
        <m:r>
          <m:t xml:space="preserve">(</m:t>
        </m:r>
        <m:r>
          <m:t xml:space="preserve">A</m:t>
        </m:r>
        <m:r>
          <m:t xml:space="preserve">,</m:t>
        </m:r>
        <m:r>
          <m:t xml:space="preserve">B</m:t>
        </m:r>
        <m:r>
          <m:t xml:space="preserve">)</m:t>
        </m:r>
        <m:r>
          <m:t xml:space="preserve"> </m:t>
        </m:r>
        <m:r>
          <m:t xml:space="preserve">=</m:t>
        </m:r>
        <m:r>
          <m:t xml:space="preserve"> </m:t>
        </m:r>
        <m:f>
          <m:num>
            <m:r>
              <m:t xml:space="preserve">2</m:t>
            </m:r>
            <m:r>
              <m:t xml:space="preserve"> </m:t>
            </m:r>
            <m:r>
              <m:t xml:space="preserve">I</m:t>
            </m:r>
            <m:r>
              <m:t xml:space="preserve">(</m:t>
            </m:r>
            <m:r>
              <m:t xml:space="preserve">A</m:t>
            </m:r>
            <m:r>
              <m:t xml:space="preserve">,</m:t>
            </m:r>
            <m:r>
              <m:t xml:space="preserve">B</m:t>
            </m:r>
            <m:r>
              <m:t xml:space="preserve">)</m:t>
            </m:r>
          </m:num>
          <m:den>
            <m:r>
              <m:t xml:space="preserve">(</m:t>
            </m:r>
            <m:r>
              <m:t xml:space="preserve">|</m:t>
            </m:r>
            <m:r>
              <m:t xml:space="preserve">A</m:t>
            </m:r>
            <m:r>
              <m:t xml:space="preserve">|</m:t>
            </m:r>
            <m:r>
              <m:t xml:space="preserve">−</m:t>
            </m:r>
            <m:r>
              <m:t xml:space="preserve">1</m:t>
            </m:r>
            <m:r>
              <m:t xml:space="preserve">)</m:t>
            </m:r>
            <m:r>
              <m:t xml:space="preserve"> </m:t>
            </m:r>
            <m:r>
              <m:t xml:space="preserve">+</m:t>
            </m:r>
            <m:r>
              <m:t xml:space="preserve"> </m:t>
            </m:r>
            <m:r>
              <m:t xml:space="preserve">(</m:t>
            </m:r>
            <m:r>
              <m:t xml:space="preserve">|</m:t>
            </m:r>
            <m:r>
              <m:t xml:space="preserve">B</m:t>
            </m:r>
            <m:r>
              <m:t xml:space="preserve">|</m:t>
            </m:r>
            <m:r>
              <m:t xml:space="preserve">−</m:t>
            </m:r>
            <m:r>
              <m:t xml:space="preserve">1</m:t>
            </m:r>
            <m:r>
              <m:t xml:space="preserve">)</m:t>
            </m:r>
          </m:den>
        </m:f>
      </m:oMath>
    </w:p>
    <w:p>
      <w:r>
        <w:t>A与B是规范化后的字符串，|A|为字符长度；I(A,B)是各二元组在两边出现次数较小值的总和。</w:t>
      </w:r>
    </w:p>
    <w:p>
      <w:r>
        <w:t>例如“合同修改”的二元组为合同 同修 修改；“合同变更”为合同 同变 变更，共同二元组1个，总数3+3，Dice为2/6约0.3333。实现统计重复二元组次数，是多重集合比较；完全相同文本直接为1，单字不相同为0。</w:t>
      </w:r>
    </w:p>
    <w:p>
      <w:pPr>
        <w:pStyle w:val="Heading2"/>
      </w:pPr>
      <w:r>
        <w:t>条款组合分数</w:t>
      </w:r>
    </w:p>
    <w:p>
      <w:pPr>
        <w:jc w:val="center"/>
      </w:pPr>
      <m:oMath>
        <m:r>
          <m:t xml:space="preserve">S</m:t>
        </m:r>
        <m:r>
          <m:t xml:space="preserve"> </m:t>
        </m:r>
        <m:r>
          <m:t xml:space="preserve">=</m:t>
        </m:r>
        <m:r>
          <m:t xml:space="preserve"> </m:t>
        </m:r>
        <m:f>
          <m:num>
            <m:r>
              <m:t xml:space="preserve">0</m:t>
            </m:r>
            <m:r>
              <m:t xml:space="preserve">.</m:t>
            </m:r>
            <m:r>
              <m:t xml:space="preserve">6</m:t>
            </m:r>
            <m:r>
              <m:t xml:space="preserve">0</m:t>
            </m:r>
            <m:r>
              <m:t xml:space="preserve"> </m:t>
            </m:r>
            <m:sSub>
              <m:e>
                <m:r>
                  <m:t xml:space="preserve">D</m:t>
                </m:r>
              </m:e>
              <m:sub>
                <m:r>
                  <m:t xml:space="preserve">c</m:t>
                </m:r>
              </m:sub>
            </m:sSub>
            <m:r>
              <m:t xml:space="preserve"> </m:t>
            </m:r>
            <m:r>
              <m:t xml:space="preserve">+</m:t>
            </m:r>
            <m:r>
              <m:t xml:space="preserve"> </m:t>
            </m:r>
            <m:r>
              <m:t xml:space="preserve">0</m:t>
            </m:r>
            <m:r>
              <m:t xml:space="preserve">.</m:t>
            </m:r>
            <m:r>
              <m:t xml:space="preserve">2</m:t>
            </m:r>
            <m:r>
              <m:t xml:space="preserve">5</m:t>
            </m:r>
            <m:r>
              <m:t xml:space="preserve"> </m:t>
            </m:r>
            <m:sSub>
              <m:e>
                <m:r>
                  <m:t xml:space="preserve">D</m:t>
                </m:r>
              </m:e>
              <m:sub>
                <m:r>
                  <m:t xml:space="preserve">t</m:t>
                </m:r>
              </m:sub>
            </m:sSub>
            <m:r>
              <m:t xml:space="preserve"> </m:t>
            </m:r>
            <m:r>
              <m:t xml:space="preserve">+</m:t>
            </m:r>
            <m:r>
              <m:t xml:space="preserve"> </m:t>
            </m:r>
            <m:r>
              <m:t xml:space="preserve">0</m:t>
            </m:r>
            <m:r>
              <m:t xml:space="preserve">.</m:t>
            </m:r>
            <m:r>
              <m:t xml:space="preserve">1</m:t>
            </m:r>
            <m:r>
              <m:t xml:space="preserve">5</m:t>
            </m:r>
            <m:r>
              <m:t xml:space="preserve"> </m:t>
            </m:r>
            <m:sSub>
              <m:e>
                <m:r>
                  <m:t xml:space="preserve">D</m:t>
                </m:r>
              </m:e>
              <m:sub>
                <m:r>
                  <m:t xml:space="preserve">x</m:t>
                </m:r>
              </m:sub>
            </m:sSub>
          </m:num>
          <m:den>
            <m:r>
              <m:t xml:space="preserve">W</m:t>
            </m:r>
          </m:den>
        </m:f>
      </m:oMath>
    </w:p>
    <w:p>
      <w:r>
        <w:t>D_c D_t D_x分别为内容、标题和上下文Dice；W为有效特征权重之和，缺失的特征从分子和分母同时去除。</w:t>
      </w:r>
    </w:p>
    <w:p>
      <w:r>
        <w:t>内容是各条款ownContent去编号后的规范文本；标题使用title；上下文由父标题、前后邻接条款标题拼接。只有两边该特征非空才计入分子和分母；缺失标题时并非仍按总权重1除。</w:t>
      </w:r>
    </w:p>
    <w:p>
      <w:r>
        <w:t>例如内容Dice=0.90、标题=0.80、上下文=0.60，三项都有效，分数为0.54+0.20+0.09=0.83。若缺标题，则分母为0.75，按内容与上下文权重重新归一化。</w:t>
      </w:r>
    </w:p>
    <w:p>
      <w:r>
        <w:t>模糊匹配要求第一名S≥0.80，且第一名比第二名至少高0.10。不够分或差距不足不匹配，歧义写warnings。各旧条款的最佳候选按分数倒序贪心占用新条款，保证一对一；不是全局最优二分图匹配，也不会自动将一个旧条款对应多个新条款。</w:t>
      </w:r>
    </w:p>
    <w:p>
      <w:r>
        <w:t>未匹配新节点形成新增，未匹配旧节点形成删除；若父节点已整段新增或删除，不重复输出子节点。已匹配但可比内容不同才输出修改。仅编号或忽略后的排版变化可能不进入业务变化列表。</w:t>
      </w:r>
    </w:p>
    <w:p>
      <w:pPr>
        <w:pStyle w:val="Heading1"/>
        <w:pageBreakBefore/>
      </w:pPr>
      <w:r>
        <w:t>15 段落对齐与Myers精细差异</w:t>
      </w:r>
    </w:p>
    <w:p>
      <w:pPr>
        <w:pStyle w:val="Heading2"/>
      </w:pPr>
      <w:r>
        <w:t>段落级动态规划</w:t>
      </w:r>
    </w:p>
    <w:p>
      <w:r>
        <w:t>每个匹配条款的contentParts形成旧新段落序列。用编辑距离动态规划对齐：相同段落代价0，替换 删除 插入代价均为1。首个内容段落比较时可去除条款编号，其他段落保留原文语义。</w:t>
      </w:r>
    </w:p>
    <w:p>
      <w:pPr>
        <w:jc w:val="center"/>
      </w:pPr>
      <m:oMath>
        <m:r>
          <m:t xml:space="preserve">C</m:t>
        </m:r>
        <m:r>
          <m:t xml:space="preserve">(</m:t>
        </m:r>
        <m:r>
          <m:t xml:space="preserve">i</m:t>
        </m:r>
        <m:r>
          <m:t xml:space="preserve">,</m:t>
        </m:r>
        <m:r>
          <m:t xml:space="preserve">j</m:t>
        </m:r>
        <m:r>
          <m:t xml:space="preserve">)</m:t>
        </m:r>
        <m:r>
          <m:t xml:space="preserve"> </m:t>
        </m:r>
        <m:r>
          <m:t xml:space="preserve">=</m:t>
        </m:r>
        <m:r>
          <m:t xml:space="preserve"> </m:t>
        </m:r>
        <m:r>
          <m:t xml:space="preserve">m</m:t>
        </m:r>
        <m:r>
          <m:t xml:space="preserve">i</m:t>
        </m:r>
        <m:r>
          <m:t xml:space="preserve">n</m:t>
        </m:r>
        <m:r>
          <m:t xml:space="preserve">(</m:t>
        </m:r>
        <m:r>
          <m:t xml:space="preserve"> </m:t>
        </m:r>
        <m:r>
          <m:t xml:space="preserve">C</m:t>
        </m:r>
        <m:r>
          <m:t xml:space="preserve">(</m:t>
        </m:r>
        <m:r>
          <m:t xml:space="preserve">i</m:t>
        </m:r>
        <m:r>
          <m:t xml:space="preserve">−</m:t>
        </m:r>
        <m:r>
          <m:t xml:space="preserve">1</m:t>
        </m:r>
        <m:r>
          <m:t xml:space="preserve">,</m:t>
        </m:r>
        <m:r>
          <m:t xml:space="preserve">j</m:t>
        </m:r>
        <m:r>
          <m:t xml:space="preserve">−</m:t>
        </m:r>
        <m:r>
          <m:t xml:space="preserve">1</m:t>
        </m:r>
        <m:r>
          <m:t xml:space="preserve">)</m:t>
        </m:r>
        <m:r>
          <m:t xml:space="preserve">+</m:t>
        </m:r>
        <m:r>
          <m:t xml:space="preserve">δ</m:t>
        </m:r>
        <m:r>
          <m:t xml:space="preserve">,</m:t>
        </m:r>
        <m:r>
          <m:t xml:space="preserve"> </m:t>
        </m:r>
        <m:r>
          <m:t xml:space="preserve">C</m:t>
        </m:r>
        <m:r>
          <m:t xml:space="preserve">(</m:t>
        </m:r>
        <m:r>
          <m:t xml:space="preserve">i</m:t>
        </m:r>
        <m:r>
          <m:t xml:space="preserve">−</m:t>
        </m:r>
        <m:r>
          <m:t xml:space="preserve">1</m:t>
        </m:r>
        <m:r>
          <m:t xml:space="preserve">,</m:t>
        </m:r>
        <m:r>
          <m:t xml:space="preserve">j</m:t>
        </m:r>
        <m:r>
          <m:t xml:space="preserve">)</m:t>
        </m:r>
        <m:r>
          <m:t xml:space="preserve">+</m:t>
        </m:r>
        <m:r>
          <m:t xml:space="preserve">1</m:t>
        </m:r>
        <m:r>
          <m:t xml:space="preserve">,</m:t>
        </m:r>
        <m:r>
          <m:t xml:space="preserve"> </m:t>
        </m:r>
        <m:r>
          <m:t xml:space="preserve">C</m:t>
        </m:r>
        <m:r>
          <m:t xml:space="preserve">(</m:t>
        </m:r>
        <m:r>
          <m:t xml:space="preserve">i</m:t>
        </m:r>
        <m:r>
          <m:t xml:space="preserve">,</m:t>
        </m:r>
        <m:r>
          <m:t xml:space="preserve">j</m:t>
        </m:r>
        <m:r>
          <m:t xml:space="preserve">−</m:t>
        </m:r>
        <m:r>
          <m:t xml:space="preserve">1</m:t>
        </m:r>
        <m:r>
          <m:t xml:space="preserve">)</m:t>
        </m:r>
        <m:r>
          <m:t xml:space="preserve">+</m:t>
        </m:r>
        <m:r>
          <m:t xml:space="preserve">1</m:t>
        </m:r>
        <m:r>
          <m:t xml:space="preserve"> </m:t>
        </m:r>
        <m:r>
          <m:t xml:space="preserve">)</m:t>
        </m:r>
      </m:oMath>
    </w:p>
    <w:p>
      <w:r>
        <w:t>C表示cost；δ在两段相同时为0，否则为1。</w:t>
      </w:r>
    </w:p>
    <w:p>
      <w:r>
        <w:t>初始化cost(i,0)=i、cost(0,j)=j，填表后回溯。同代价时优先对角线，再考虑插入和删除。相等项不输出，其余成为MODIFIED ADDED DELETED变化段落。这是一种顺序文本对齐，不是对每个段落再做Embedding匹配。复杂度为O(mn)时间和空间。</w:t>
      </w:r>
    </w:p>
    <w:p>
      <w:pPr>
        <w:pStyle w:val="Heading2"/>
      </w:pPr>
      <w:r>
        <w:t>修改段落的文字差异</w:t>
      </w:r>
    </w:p>
    <w:p>
      <w:r>
        <w:t>新增或删除直接返回整段INSERTED或DELETED。修改时，若两段Dice&lt;0.35，直接整段REPLACED；否则进行分词和Myers最短编辑脚本，生成更细的INSERTED DELETED REPLACED片段。</w:t>
      </w:r>
    </w:p>
    <w:p>
      <w:r>
        <w:t>分词忽略空白和Word控制字符7。中文等默认按Unicode码点，英文单词按字母 数字 下划线 连字符组成词；数字 比例 日期 范围和版本号尽量作为整体。Token保存原文起止位置，比较key转小写，最后从原文截取差异内容，避免显示被分词改写。</w:t>
      </w:r>
    </w:p>
    <w:p>
      <w:r>
        <w:t>先去除相同Token前缀与后缀，减少中间差异规模。如果旧新中间Token总数超过2000，停止精细算法；无可靠细分结果时退回整段替换。2000是差异Token保护值，与分类5000字符上限不是一个参数。</w:t>
      </w:r>
    </w:p>
    <w:p>
      <w:pPr>
        <w:pStyle w:val="Heading2"/>
      </w:pPr>
      <w:r>
        <w:t>Myers如何工作</w:t>
      </w:r>
    </w:p>
    <w:p>
      <w:r>
        <w:t>把旧序列位置x与新序列位置y组成编辑图；相同Token沿对角线免费前进，插入或删除消耗一步。算法逐渐增大编辑距离D，在每条对角线上保留最远可达位置，命中终点后根据trace回溯出最短插删路径。相邻非相等原子聚合为插入 删除或替换。此实现保存每层数组快照，最坏内存代价较高，故需要Token上限。</w:t>
      </w:r>
    </w:p>
    <w:p>
      <w:r>
        <w:t>示例“认购后完成评估”改为“认购前完成评估”，共同前后缀剔除后，输出“后”替换为“前”。比例或日期作为整体有助于展示完整数值变化，而不是散落的单个字符。</w:t>
      </w:r>
    </w:p>
    <w:p>
      <w:pPr>
        <w:pStyle w:val="Heading1"/>
        <w:pageBreakBefore/>
      </w:pPr>
      <w:r>
        <w:t>16 单文件变更函提取规则</w:t>
      </w:r>
    </w:p>
    <w:p>
      <w:r>
        <w:t>CHANGE_DOCUMENT不从完整旧新合同寻找差异，而是读取补充协议 征询意见函或协商函中已经描述的变更内容。ChangeDocumentExtractionService把正文段落和表格转为顺序TextBlock，自动编号前缀可补回。</w:t>
      </w:r>
    </w:p>
    <w:p>
      <w:pPr>
        <w:pStyle w:val="Heading2"/>
      </w:pPr>
      <w:r>
        <w:t>识别变更标题并分段</w:t>
      </w:r>
    </w:p>
    <w:p>
      <w:r>
        <w:t>常规标题需要数字序号、“《基金合同》”，以及约定如下、如下约定、增加、新增、删除、修改或变更等词。特殊标题识别“自本协议或函件变更执行日起”并带基金合同引用和变更动作。每个标题到下一个标题之间形成一个变更段。未找到标题直接业务报错。</w:t>
      </w:r>
    </w:p>
    <w:tbl>
      <w:tblPr>
        <w:tblW w:type="auto" w:w="0"/>
        <w:tblLayout w:type="fixed"/>
        <w:tblLook w:firstColumn="1" w:firstRow="1" w:lastColumn="0" w:lastRow="0" w:noHBand="0" w:noVBand="1" w:val="04A0"/>
      </w:tblPr>
      <w:tblGrid>
        <w:gridCol w:w="3168"/>
        <w:gridCol w:w="6552"/>
      </w:tblGrid>
      <w:tr>
        <w:trPr>
          <w:tblHeader/>
        </w:trPr>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标题与标记</w:t>
            </w:r>
          </w:p>
        </w:tc>
        <w:tc>
          <w:tcPr>
            <w:tcW w:type="dxa" w:w="65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提取方式</w:t>
            </w:r>
          </w:p>
        </w:tc>
      </w:tr>
      <w:tr>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删除</w:t>
            </w:r>
          </w:p>
        </w:tc>
        <w:tc>
          <w:tcPr>
            <w:tcW w:type="dxa" w:w="65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后续逻辑内容作为oldContent</w:t>
            </w:r>
          </w:p>
        </w:tc>
      </w:tr>
      <w:tr>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增加或新增</w:t>
            </w:r>
          </w:p>
        </w:tc>
        <w:tc>
          <w:tcPr>
            <w:tcW w:type="dxa" w:w="65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后续逻辑内容作为newContent</w:t>
            </w:r>
          </w:p>
        </w:tc>
      </w:tr>
      <w:tr>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修改或其他默认修改</w:t>
            </w:r>
          </w:p>
        </w:tc>
        <w:tc>
          <w:tcPr>
            <w:tcW w:type="dxa" w:w="65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以“内容变更如下”标记切分old和new</w:t>
            </w:r>
          </w:p>
        </w:tc>
      </w:tr>
      <w:tr>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同时含删除与新增</w:t>
            </w:r>
          </w:p>
        </w:tc>
        <w:tc>
          <w:tcPr>
            <w:tcW w:type="dxa" w:w="65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按MODIFIED；有标记则正常切分，无标记按标题最后动作选择一侧并告警</w:t>
            </w:r>
          </w:p>
        </w:tc>
      </w:tr>
      <w:tr>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双引号包裹内容</w:t>
            </w:r>
          </w:p>
        </w:tc>
        <w:tc>
          <w:tcPr>
            <w:tcW w:type="dxa" w:w="65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按支持的中文 英文或全角双引号读取，可跨段且处理中文嵌套</w:t>
            </w:r>
          </w:p>
        </w:tc>
      </w:tr>
      <w:tr>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标记后无引号</w:t>
            </w:r>
          </w:p>
        </w:tc>
        <w:tc>
          <w:tcPr>
            <w:tcW w:type="dxa" w:w="65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newContent仅取后续第一块，不自动拼接全部剩余内容</w:t>
            </w:r>
          </w:p>
        </w:tc>
      </w:tr>
    </w:tbl>
    <w:p>
      <w:pPr>
        <w:spacing w:after="0"/>
      </w:pPr>
    </w:p>
    <w:p>
      <w:r>
        <w:t>找不到修改标记时返回逻辑内容为旧侧、新侧为空并提示人工复核；不凭空生成修改后的文本。引号未闭合、旧新内容缺失或标题后为空都形成warning。目标条款引用由标题中《基金合同》起始部分去除动作后缀得到。</w:t>
      </w:r>
    </w:p>
    <w:p>
      <w:r>
        <w:t>一个变更标题通常输出一个逻辑ChangedParagraph，其文本可跨多个Word段落。因此“两个不同候选变化段落”的汇总门槛在单标题变更函中尤其容易不满足，不能把排版段落数量直接当作汇总支持数。</w:t>
      </w:r>
    </w:p>
    <w:p>
      <w:r>
        <w:t>提取到旧新内容后复用ClauseComparisonEngine.describeTextChange生成基础细节。这里依赖明确的文档格式和标记，不是通用语义阅读；格式差异、表格复杂文本和非标准措辞可能影响提取完整性。</w:t>
      </w:r>
    </w:p>
    <w:p>
      <w:pPr>
        <w:pStyle w:val="Heading1"/>
        <w:pageBreakBefore/>
      </w:pPr>
      <w:r>
        <w:t>17 变化段落预测与上下文兜底</w:t>
      </w:r>
    </w:p>
    <w:p>
      <w:r>
        <w:t>ContractComparePredictionService对新增和修改取newContent，对删除取oldContent。规范化后相同基础文本分组，批量调用predictBatchLenient，并把同一结果回填到相同输入的目标段落。空内容标FAILED，超长标SKIPPED_TOO_LONG。</w:t>
      </w:r>
    </w:p>
    <w:p>
      <w:r>
        <w:t>宽容批量预测先保留Hash精确命中，再对剩余输入分批向量化。某批网关失败只把该批输入标FAILED，其他成功批次与EXACT结果保留。这区别于导入或单段严格predict链路遇错整体抛出。</w:t>
      </w:r>
    </w:p>
    <w:p>
      <w:pPr>
        <w:pStyle w:val="Heading2"/>
      </w:pPr>
      <w:r>
        <w:t>只有无可靠匹配才再试上下文</w:t>
      </w:r>
    </w:p>
    <w:p>
      <w:r>
        <w:t>仅PREDICTION_STATUS=NO_RELIABLE_MATCH时构造补充输入。FAILED和超长不会靠上下文重试；已返回CANDIDATE的段落也不因此自动再次识别。</w:t>
      </w:r>
    </w:p>
    <w:tbl>
      <w:tblPr>
        <w:tblW w:type="auto" w:w="0"/>
        <w:tblLayout w:type="fixed"/>
        <w:tblLook w:firstColumn="1" w:firstRow="1" w:lastColumn="0" w:lastRow="0" w:noHBand="0" w:noVBand="1" w:val="04A0"/>
      </w:tblPr>
      <w:tblGrid>
        <w:gridCol w:w="2520"/>
        <w:gridCol w:w="7200"/>
      </w:tblGrid>
      <w:tr>
        <w:trPr>
          <w:tblHeader/>
        </w:trPr>
        <w:tc>
          <w:tcPr>
            <w:tcW w:type="dxa" w:w="25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模式</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兜底输入</w:t>
            </w:r>
          </w:p>
        </w:tc>
      </w:tr>
      <w:tr>
        <w:tc>
          <w:tcPr>
            <w:tcW w:type="dxa" w:w="25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DOUBLE_VERSION</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条款编号 标题等加当前目标段落，余量用于旧侧或新侧条款周边文本</w:t>
            </w:r>
          </w:p>
        </w:tc>
      </w:tr>
      <w:tr>
        <w:tc>
          <w:tcPr>
            <w:tcW w:type="dxa" w:w="25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CHANGE_DOCUMENT</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来源标题 目标条款等加当前目标文本，不补完整条款正文</w:t>
            </w:r>
          </w:p>
        </w:tc>
      </w:tr>
      <w:tr>
        <w:tc>
          <w:tcPr>
            <w:tcW w:type="dxa" w:w="25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预算优先级</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目标段落不能被截断；标题按剩余预算缩短，再分配前后周边内容</w:t>
            </w:r>
          </w:p>
        </w:tc>
      </w:tr>
      <w:tr>
        <w:tc>
          <w:tcPr>
            <w:tcW w:type="dxa" w:w="25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输出等级</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凡fallbackUsed=true的兜底结果，所有类型统一降为CANDIDATE</w:t>
            </w:r>
          </w:p>
        </w:tc>
      </w:tr>
    </w:tbl>
    <w:p>
      <w:pPr>
        <w:spacing w:after="0"/>
      </w:pPr>
    </w:p>
    <w:p>
      <w:r>
        <w:t>兜底结果保存实际predictionText和OLD_CONTEXT或NEW_CONTEXT，替换原段落的预测对象。文件汇总仍以基础old/new段落文本去重，因此不能靠同一段落不同上下文制造两个独立证据。</w:t>
      </w:r>
    </w:p>
    <w:p>
      <w:r>
        <w:t>MATCHED指已有非空类型结果，可以只是候选；NO_RELIABLE_MATCH指正常执行但未得到类型；FAILED是执行或输入失败；SKIPPED_TOO_LONG是超限未识别。matchType另区分EXACT SEMANTIC NO_RELIABLE_MATCH，不能把MATCHED理解为HIGH。</w:t>
      </w:r>
    </w:p>
    <w:p>
      <w:r>
        <w:t>上下文降级的业务理由是：标题或整条款可能提供强主题信号，但并非当前变化内容本身。代价是单段上下文命中不能直接进入文件级结果，即使上下文包含精确历史文本。</w:t>
      </w:r>
    </w:p>
    <w:p>
      <w:pPr>
        <w:pStyle w:val="Heading1"/>
        <w:pageBreakBefore/>
      </w:pPr>
      <w:r>
        <w:t>18 分析结果与三张审计表</w:t>
      </w:r>
    </w:p>
    <w:tbl>
      <w:tblPr>
        <w:tblW w:type="auto" w:w="0"/>
        <w:tblLayout w:type="fixed"/>
        <w:tblLook w:firstColumn="1" w:firstRow="1" w:lastColumn="0" w:lastRow="0" w:noHBand="0" w:noVBand="1" w:val="04A0"/>
      </w:tblPr>
      <w:tblGrid>
        <w:gridCol w:w="3384"/>
        <w:gridCol w:w="4536"/>
        <w:gridCol w:w="1800"/>
      </w:tblGrid>
      <w:tr>
        <w:trPr>
          <w:tblHeader/>
        </w:trPr>
        <w:tc>
          <w:tcPr>
            <w:tcW w:type="dxa" w:w="33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表</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主要内容</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关联</w:t>
            </w:r>
          </w:p>
        </w:tc>
      </w:tr>
      <w:tr>
        <w:tc>
          <w:tcPr>
            <w:tcW w:type="dxa" w:w="33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HT_ANALYSIS_LOG</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流程ID 操作人 类型 路径 状态 耗时 模型 代码集合 RESULT_JSON 错误</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ANALYSIS_ID定位一次分析</w:t>
            </w:r>
          </w:p>
        </w:tc>
      </w:tr>
      <w:tr>
        <w:tc>
          <w:tcPr>
            <w:tcW w:type="dxa" w:w="33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HT_ANALYSIS_PARA_LOG</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条款和变化段落 旧新内容 实际预测文本 状态 输入范围 标签 最大相似度 匹配方式 兜底标记</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ANALYSIS_ID连主表；ID是证据的PARAGRAPH_LOG_ID</w:t>
            </w:r>
          </w:p>
        </w:tc>
      </w:tr>
      <w:tr>
        <w:tc>
          <w:tcPr>
            <w:tcW w:type="dxa" w:w="33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HT_ANALYSIS_MATCH_LOG</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历史样本ID 相似度 历史类型串 排名</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关联段落ID及TPIF_HTDLYB.ID</w:t>
            </w:r>
          </w:p>
        </w:tc>
      </w:tr>
    </w:tbl>
    <w:p>
      <w:pPr>
        <w:spacing w:after="0"/>
      </w:pPr>
    </w:p>
    <w:p>
      <w:r>
        <w:t>RESULT_JSON保存完整ContractCompareResponse，包括基础changes、warnings、predictionSummary、段落businessTypePrediction以及其中的changeTypes.score supportCount level和references。精简HTTP响应只返回analysisId fileChangeTypeCodes analysisStatus。</w:t>
      </w:r>
    </w:p>
    <w:p>
      <w:r>
        <w:t>段落表的CHANGE_TYPE_CODES只保存已返回类型编码，并不单独保存每个编码的score和level；要判断49是HIGH还是CANDIDATE，应读RESULT_JSON。MAX_SIMILARITY是最高历史相似度，不是类型score。证据表CHANGE_TYPE_CODES是每条历史参考的标签，不是最终预测。</w:t>
      </w:r>
    </w:p>
    <w:p>
      <w:pPr>
        <w:pStyle w:val="Heading2"/>
      </w:pPr>
      <w:r>
        <w:t>落库的原子性</w:t>
      </w:r>
    </w:p>
    <w:p>
      <w:r>
        <w:t>persistSuccess为一个事务，顺序插入每条段落、通过回填主键插入references，再更新主表状态和完整JSON。任一写入不成功回滚该次最终结果；之后独立markFailed。由此不应留下“主表SUCCESS但最终结果只写了一半”的正常提交状态。PROCESSING主记录此前已独立提交。</w:t>
      </w:r>
    </w:p>
    <w:p>
      <w:r>
        <w:t>精确命中通常只有1条reference；语义命中通常最多5条。无可靠匹配也可能保留参考。references是可追溯证据，不是一定被采用的类型结论。主表CHANGED_PARAGRAPH_COUNT为变化段落数，不是条款数，也不是匹配证据数。</w:t>
      </w:r>
    </w:p>
    <w:p>
      <w:r>
        <w:t>日志中的SIMILARITY数据库定义为NUMBER(10,6)，显示与保存精度有限；向量投票在内存用double。只有5条参考以及舍入的相似度，无法保证精确重算全部实际投票权重。</w:t>
      </w:r>
    </w:p>
    <w:p>
      <w:pPr>
        <w:pStyle w:val="Heading1"/>
        <w:pageBreakBefore/>
      </w:pPr>
      <w:r>
        <w:t>19 状态含义与导出链路</w:t>
      </w:r>
    </w:p>
    <w:tbl>
      <w:tblPr>
        <w:tblW w:type="auto" w:w="0"/>
        <w:tblLayout w:type="fixed"/>
        <w:tblLook w:firstColumn="1" w:firstRow="1" w:lastColumn="0" w:lastRow="0" w:noHBand="0" w:noVBand="1" w:val="04A0"/>
      </w:tblPr>
      <w:tblGrid>
        <w:gridCol w:w="2232"/>
        <w:gridCol w:w="3816"/>
        <w:gridCol w:w="3672"/>
      </w:tblGrid>
      <w:tr>
        <w:trPr>
          <w:tblHeader/>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分析状态</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判定</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业务含义</w:t>
            </w:r>
          </w:p>
        </w:tc>
      </w:tr>
      <w:t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PROCESSING</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主记录已创建，分析未最终提交</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可能仍执行，也可能异常退出后未完成清理</w:t>
            </w:r>
          </w:p>
        </w:tc>
      </w:tr>
      <w:t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SUCCESS</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没有FAILED或超长跳过段落</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流程完成，可能全是NO_RELIABLE_MATCH或最终类型为空</w:t>
            </w:r>
          </w:p>
        </w:tc>
      </w:tr>
      <w:t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PARTIAL_SUCCESS</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failedCount&gt;0或skippedTooLongCount&gt;0</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基础解析完成，部分分类失败或未执行</w:t>
            </w:r>
          </w:p>
        </w:tc>
      </w:tr>
      <w:t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FAILED</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提取 序列化 最终保存等异常被外层捕获</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此次业务分析未正常完成</w:t>
            </w:r>
          </w:p>
        </w:tc>
      </w:tr>
    </w:tbl>
    <w:p>
      <w:pPr>
        <w:spacing w:after="0"/>
      </w:pPr>
    </w:p>
    <w:p>
      <w:r>
        <w:t>noReliableMatchCount&gt;0不会自动变成PARTIAL_SUCCESS；常规warning也不改变SUCCESS。因此SUCCESS不是“所有变化都有确认业务类型”。模型不可用但有精确命中时，可以保存部分成功的基础变化和已识别标签。</w:t>
      </w:r>
    </w:p>
    <w:p>
      <w:pPr>
        <w:pStyle w:val="Heading2"/>
      </w:pPr>
      <w:r>
        <w:t>HTTP与业务code</w:t>
      </w:r>
    </w:p>
    <w:p>
      <w:r>
        <w:t>应同时检查HTTP状态、响应体code和analysisStatus。当前源码成功code=200、校验400、服务不可用503、未预期失败500；现场外层包装可能不同。不能把HTTP 200或类型集合为空作为唯一业务判据。</w:t>
      </w:r>
    </w:p>
    <w:p>
      <w:pPr>
        <w:pStyle w:val="Heading2"/>
      </w:pPr>
      <w:r>
        <w:t>export不是compare结果下载</w:t>
      </w:r>
    </w:p>
    <w:p>
      <w:r>
        <w:t>/export调用ContractCompareService重新读取并执行基础提取，不经过ContractChangeAnalysisService的历史预测和审计落库。它不是直接按analysisId导出之前的完整业务分类结果。</w:t>
      </w:r>
    </w:p>
    <w:tbl>
      <w:tblPr>
        <w:tblW w:type="auto" w:w="0"/>
        <w:tblLayout w:type="fixed"/>
        <w:tblLook w:firstColumn="1" w:firstRow="1" w:lastColumn="0" w:lastRow="0" w:noHBand="0" w:noVBand="1" w:val="04A0"/>
      </w:tblPr>
      <w:tblGrid>
        <w:gridCol w:w="3384"/>
        <w:gridCol w:w="6336"/>
      </w:tblGrid>
      <w:tr>
        <w:trPr>
          <w:tblHeader/>
        </w:trPr>
        <w:tc>
          <w:tcPr>
            <w:tcW w:type="dxa" w:w="33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导出模式</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内容</w:t>
            </w:r>
          </w:p>
        </w:tc>
      </w:tr>
      <w:tr>
        <w:tc>
          <w:tcPr>
            <w:tcW w:type="dxa" w:w="33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DOUBLE_VERSION SIMPLE</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9列基础差异，含条款编号 旧新段落与具体变化</w:t>
            </w:r>
          </w:p>
        </w:tc>
      </w:tr>
      <w:tr>
        <w:tc>
          <w:tcPr>
            <w:tcW w:type="dxa" w:w="33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DOUBLE_VERSION CONTEXT</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11列，增加完整旧新条款上下文</w:t>
            </w:r>
          </w:p>
        </w:tc>
      </w:tr>
      <w:tr>
        <w:tc>
          <w:tcPr>
            <w:tcW w:type="dxa" w:w="33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CHANGE_DOCUMENT</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8列，含来源标题 目标条款 旧新内容与变化</w:t>
            </w:r>
          </w:p>
        </w:tc>
      </w:tr>
      <w:tr>
        <w:tc>
          <w:tcPr>
            <w:tcW w:type="dxa" w:w="33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工作表结构</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第1行为标题 第2行为表头 后面才是数据；有warning时另加提示信息表</w:t>
            </w:r>
          </w:p>
        </w:tc>
      </w:tr>
    </w:tbl>
    <w:p>
      <w:pPr>
        <w:spacing w:after="0"/>
      </w:pPr>
    </w:p>
    <w:p>
      <w:r>
        <w:t>Excel每个变化段落通常生成1数据行，不一定等于条款变化数。单元格文本清理非法控制字符，超过32767字符会截断并加提示。当前导出不含业务类型预测列，不应据导出缺少49推断compare没有分类。</w:t>
      </w:r>
    </w:p>
    <w:p>
      <w:pPr>
        <w:pStyle w:val="Heading1"/>
        <w:pageBreakBefore/>
      </w:pPr>
      <w:r>
        <w:t>20 原有完整合同解析与Oracle函数</w:t>
      </w:r>
    </w:p>
    <w:p>
      <w:pPr>
        <w:pStyle w:val="Heading2"/>
      </w:pPr>
      <w:r>
        <w:t>完整合同解析集成是另一条入口</w:t>
      </w:r>
    </w:p>
    <w:p>
      <w:r>
        <w:t>/document/analyze-and-predict通过ContractDocumentParagraphReader复用原docx4j解析模块。只读取顶层P段落，按模块与标题规则选择特别约定 风险揭示 合格投资者承诺 合同正文和附件等预测内容，跳过标题及模块分界文字。不能把这条读取能力等同于新双版本结构解析器的正文表格遍历。</w:t>
      </w:r>
    </w:p>
    <w:p>
      <w:r>
        <w:t>选出的段落规范化去重后，严格predictBatch分类，再用同一FileChangeTypeAggregator汇总。全部预测正常结束后才通过LegacyDocxAnalysisTransactionService开启事务调用原DocxModifyAndLandService.analyzeAndLand，保存旧解析主表明细并返回mainId。段落预测本身不写HT_ANALYSIS三表。正常无可靠匹配属于已执行结果，模型异常则会阻止后续旧解析落库。</w:t>
      </w:r>
    </w:p>
    <w:p>
      <w:pPr>
        <w:pStyle w:val="Heading2"/>
      </w:pPr>
      <w:r>
        <w:t>Oracle函数只生成请求报文</w:t>
      </w:r>
    </w:p>
    <w:p>
      <w:r>
        <w:t>FN_CONTRACT_COMPARE_REQUEST返回CLOB JSON，不发送HTTP。它把LiveBOS字典1或DOUBLE_VERSION转换为双版本，把2或CHANGE_DOCUMENT转换为单文件，检查正整数instId、用户长度及对应文件路径。未使用路径传SQL NULL。</w:t>
      </w:r>
    </w:p>
    <w:p>
      <w:pPr>
        <w:spacing w:line="252" w:lineRule="auto"/>
      </w:pPr>
      <w:r>
        <w:rPr>
          <w:rFonts w:ascii="Consolas" w:hAnsi="Consolas" w:eastAsia="Microsoft YaHei"/>
          <w:sz w:val="17"/>
        </w:rPr>
        <w:t>SELECT FN_CONTRACT_COMPARE_REQUEST(</w:t>
        <w:br/>
        <w:t xml:space="preserve">  10001, 'employee-001', '1',</w:t>
        <w:br/>
        <w:t xml:space="preserve">  '/contracts/before.docx', '/contracts/after.docx', NULL</w:t>
        <w:br/>
        <w:t>) FROM DUAL;</w:t>
      </w:r>
    </w:p>
    <w:p>
      <w:r>
        <w:t>函数使用||拼接字符串，JSON_QUOTE转义双引号 反斜杠及控制字符；TO_CHAR(TRUNC(I_INSTID),'TM9')把流程整数转为紧凑数字文本，不给JSON数字加引号。它不能代替Java的SFTP读取和分析，也不会向量化合同。</w:t>
      </w:r>
    </w:p>
    <w:p>
      <w:r>
        <w:t>LiveBOS或其他调用方接收JSON后调用Java HTTP接口，并保存请求响应和analysisId。业务调用记录的主键与Java analysisId属于不同记录体系，不能混用。源码提供Oracle 11g兼容的手工JSON构造，不应据本地OracleFree测试替代目标版本兼容验收。</w:t>
      </w:r>
    </w:p>
    <w:p>
      <w:pPr>
        <w:pStyle w:val="Heading1"/>
        <w:pageBreakBefore/>
      </w:pPr>
      <w:r>
        <w:t>21 现行规则的业务适用性</w:t>
      </w:r>
    </w:p>
    <w:p>
      <w:r>
        <w:t>以下为业务设计评估，不是已实施改动。当前机制适合从已标注历史案例中寻找近邻，倾向抑制误报；它不能自动证明某个相似段落在法律或业务上必然属于同一变更类型。</w:t>
      </w:r>
    </w:p>
    <w:p>
      <w:pPr>
        <w:pStyle w:val="Heading2"/>
      </w:pPr>
      <w:r>
        <w:t>历史标签到底标注什么</w:t>
      </w:r>
    </w:p>
    <w:p>
      <w:r>
        <w:t>如果标签代表条款主题，使用当前文本继承标签较自然。如果标签代表从旧约定到新约定的变化行为或方向，仅看新文本可能不充分。例如1%改为2%与3%改为2%，新条款相同但变化方向不同；否定词 主体 金额 期限也可能改变业务含义。需要确认标注口径，并考虑同时使用旧新文本和差异片段。</w:t>
      </w:r>
    </w:p>
    <w:p>
      <w:pPr>
        <w:pStyle w:val="Heading2"/>
      </w:pPr>
      <w:r>
        <w:t>HIGH不等于已校准的正确概率</w:t>
      </w:r>
    </w:p>
    <w:p>
      <w:r>
        <w:t>投票score高表示参与近邻同意程度高。两条略高于0.60且同标签的样本就可能得HIGH；多条同模板历史样本可能只是重复证据。样本来源 去重 类别不均衡与模型空间都会影响结果，0.55与0.80应通过真实模型和人工标注校准，而不是当成自然业务标准。</w:t>
      </w:r>
    </w:p>
    <w:p>
      <w:pPr>
        <w:pStyle w:val="Heading2"/>
      </w:pPr>
      <w:r>
        <w:t>单段候选被过滤的风险</w:t>
      </w:r>
    </w:p>
    <w:p>
      <w:r>
        <w:t>一个业务变更可以只出现在一处条款。“至少两个不同变化段落”有利于压低误报，却可能系统性漏掉单条款修改，而且结果受文档分段方式影响。在CHANGE_DOCUMENT中一个标题通常聚合为一个逻辑段落，影响更明显。两个不同文本也不一定是独立事实证据。</w:t>
      </w:r>
    </w:p>
    <w:p>
      <w:pPr>
        <w:pStyle w:val="Heading2"/>
      </w:pPr>
      <w:r>
        <w:t>建议保留确认类型与待复核候选</w:t>
      </w:r>
    </w:p>
    <w:p>
      <w:r>
        <w:t>若系统用于人工审核，建议让确认类型和待复核候选分别可见，展示得分 支持数 最高相似度 原文证据及未入选理由。单段候选可不触发自动业务动作，但不宜从审核视野消失。若直接触发自动分类或流程分派，则需更严格的标注验证与误报控制。</w:t>
      </w:r>
    </w:p>
    <w:p>
      <w:r>
        <w:t>不建议只因一个案例就降低HIGH阈值。先确认完整10条投票、实际模型版本及段落等级，再用独立标注集分别统计精确率 召回率和各类型漏报，判断哪些标签需要更保守或更敏感的策略。</w:t>
      </w:r>
    </w:p>
    <w:p>
      <w:pPr>
        <w:pStyle w:val="Heading1"/>
        <w:pageBreakBefore/>
      </w:pPr>
      <w:r>
        <w:t>22 参数管理与现场排查</w:t>
      </w:r>
    </w:p>
    <w:tbl>
      <w:tblPr>
        <w:tblW w:type="auto" w:w="0"/>
        <w:tblLayout w:type="fixed"/>
        <w:tblLook w:firstColumn="1" w:firstRow="1" w:lastColumn="0" w:lastRow="0" w:noHBand="0" w:noVBand="1" w:val="04A0"/>
      </w:tblPr>
      <w:tblGrid>
        <w:gridCol w:w="4752"/>
        <w:gridCol w:w="1872"/>
        <w:gridCol w:w="3096"/>
      </w:tblGrid>
      <w:tr>
        <w:trPr>
          <w:tblHeader/>
        </w:trP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配置或保护值</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当前值</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调整影响</w:t>
            </w:r>
          </w:p>
        </w:tc>
      </w:tr>
      <w:t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embedding.dimension / batch-size</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1024 / 16</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维度变更须重生成历史向量；批量有16上限校验</w:t>
            </w:r>
          </w:p>
        </w:tc>
      </w:tr>
      <w:t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model-version</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模型空间版本标记</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必须与实际生成模型语义一致，不应只改名称混用旧向量</w:t>
            </w:r>
          </w:p>
        </w:tc>
      </w:tr>
      <w:t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import max-rows / max-total-samples</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1000 / 10000</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控制单批和物理库规模，不是成功性能承诺</w:t>
            </w:r>
          </w:p>
        </w:tc>
      </w:tr>
      <w:t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retrieve / vote / evidence Top K</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10 / 10 / 5</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召回 投票与展示分别控制；vote和evidence不能大于retrieve</w:t>
            </w:r>
          </w:p>
        </w:tc>
      </w:tr>
      <w:t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min-similarity</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0.60</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降低可引入更弱近邻，改变投票分母</w:t>
            </w:r>
          </w:p>
        </w:tc>
      </w:tr>
      <w:t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candidate / high threshold</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0.55 / 0.80</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改变段落输出等级，不直接改变汇总两段落门槛</w:t>
            </w:r>
          </w:p>
        </w:tc>
      </w:tr>
      <w:t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min-support / strong-match</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2 / 0.80</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分别约束语义HIGH与空投票兜底</w:t>
            </w:r>
          </w:p>
        </w:tc>
      </w:tr>
      <w:t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max-paragraph-length</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yml 5000</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字符不是Token；当前配置类初始值2000</w:t>
            </w:r>
          </w:p>
        </w:tc>
      </w:tr>
      <w:t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compare min-score / ambiguity</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0.80 / 0.10</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控制旧新条款模糊对齐，不是向量分类阈值</w:t>
            </w:r>
          </w:p>
        </w:tc>
      </w:tr>
      <w:t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精细差异保护值</w:t>
            </w:r>
          </w:p>
        </w:tc>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中间Token总数2000</w:t>
            </w:r>
          </w:p>
        </w:tc>
        <w:tc>
          <w:tcPr>
            <w:tcW w:type="dxa" w:w="30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代码常量；超限退整段替换</w:t>
            </w:r>
          </w:p>
        </w:tc>
      </w:tr>
    </w:tbl>
    <w:p>
      <w:pPr>
        <w:spacing w:after="0"/>
      </w:pPr>
    </w:p>
    <w:p>
      <w:pPr>
        <w:pStyle w:val="Heading1"/>
        <w:pageBreakBefore/>
      </w:pPr>
      <w:r>
        <w:t>23 现场排查与结果核验</w:t>
      </w:r>
    </w:p>
    <w:p>
      <w:pPr>
        <w:pStyle w:val="Heading2"/>
      </w:pPr>
      <w:r>
        <w:t>空类型集合的排查顺序</w:t>
      </w:r>
    </w:p>
    <w:p>
      <w:r>
        <w:t>先查主表状态与完整JSON，确认是否有基础变化；再查段落MATCHED与matchType，区分无匹配 失败 超长和正常候选；读取changeTypes的score level supportCount，再检查有多少不同基础变化文本支持该类型。最后核对网关 模型版本 实际Top K阈值及所有服务实例的索引快照。</w:t>
      </w:r>
    </w:p>
    <w:p>
      <w:pPr>
        <w:spacing w:line="252" w:lineRule="auto"/>
      </w:pPr>
      <w:r>
        <w:rPr>
          <w:rFonts w:ascii="Consolas" w:hAnsi="Consolas" w:eastAsia="Microsoft YaHei"/>
          <w:sz w:val="17"/>
        </w:rPr>
        <w:t>SELECT ID, PREDICTION_STATUS, MATCH_TYPE, CHANGE_TYPE_CODES,</w:t>
        <w:br/>
        <w:t xml:space="preserve">       MAX_SIMILARITY, INPUT_SCOPE, FALLBACK_USED</w:t>
        <w:br/>
        <w:t>FROM HT_ANALYSIS_PARA_LOG WHERE ANALYSIS_ID = :analysis_id;</w:t>
        <w:br/>
        <w:br/>
        <w:t>SELECT HISTORICAL_SAMPLE_ID, SIMILARITY, CHANGE_TYPE_CODES, RANK_NO</w:t>
        <w:br/>
        <w:t>FROM HT_ANALYSIS_MATCH_LOG</w:t>
        <w:br/>
        <w:t>WHERE ANALYSIS_ID = :analysis_id AND PARAGRAPH_LOG_ID = :paragraph_id</w:t>
        <w:br/>
        <w:t>ORDER BY RANK_NO;</w:t>
      </w:r>
    </w:p>
    <w:p>
      <w:r>
        <w:t xml:space="preserve">修改标签后应刷新索引；仅改模型版本不会生成新向量；仅index/reload也不会调用模型。调整候选阈值不会让单段候选自动通过固定的两段落汇总规则。排查时不要启用会打印API Key 合同正文或向量JSON的SQL和HTTP DEBUG日志。</w:t>
      </w:r>
    </w:p>
    <w:p>
      <w:pPr>
        <w:pStyle w:val="Heading1"/>
        <w:pageBreakBefore/>
      </w:pPr>
      <w:r>
        <w:t>24 代码定位与职责映射</w:t>
      </w:r>
    </w:p>
    <w:tbl>
      <w:tblPr>
        <w:tblW w:type="auto" w:w="0"/>
        <w:tblLayout w:type="fixed"/>
        <w:tblLook w:firstColumn="1" w:firstRow="1" w:lastColumn="0" w:lastRow="0" w:noHBand="0" w:noVBand="1" w:val="04A0"/>
      </w:tblPr>
      <w:tblGrid>
        <w:gridCol w:w="2160"/>
        <w:gridCol w:w="7560"/>
      </w:tblGrid>
      <w:tr>
        <w:trPr>
          <w:tblHeader/>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职责</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E7EEF6"/>
          </w:tcPr>
          <w:p>
            <w:pPr>
              <w:spacing w:after="40" w:line="269" w:lineRule="auto"/>
            </w:pPr>
            <w:r>
              <w:rPr>
                <w:b/>
                <w:sz w:val="18"/>
              </w:rPr>
              <w:t>源码位置</w:t>
            </w:r>
          </w:p>
        </w:tc>
      </w:tr>
      <w:t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入口与参数</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controller/ContractChangeController.java；contractcompare/controller/ContractCompareController.java；resources/application.yml</w:t>
            </w:r>
          </w:p>
        </w:tc>
      </w:tr>
      <w:t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导入与事务</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service/ContractParagraphImportService.java；ContractParagraphPersistenceService.java</w:t>
            </w:r>
          </w:p>
        </w:tc>
      </w:tr>
      <w:t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网关与向量</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embedding/HttpEmbeddingClient.java；util/VectorUtils.java；VectorCodec.java；ChangeTypeCodes.java</w:t>
            </w:r>
          </w:p>
        </w:tc>
      </w:tr>
      <w:t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索引与投票</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service/ParagraphVectorIndexService.java；ContractParagraphPredictionService.java；FileChangeTypeAggregator.java</w:t>
            </w:r>
          </w:p>
        </w:tc>
      </w:tr>
      <w:t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比较解析</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contractcompare/aspose/AsposeCompareService.java；service/ContractStructureParser.java；ClauseComparisonEngine.java；ContractCompareText.java</w:t>
            </w:r>
          </w:p>
        </w:tc>
      </w:tr>
      <w:t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单文件与上下文</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contractcompare/service/ChangeDocumentExtractionService.java；ContractComparePredictionService.java</w:t>
            </w:r>
          </w:p>
        </w:tc>
      </w:tr>
      <w:t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编排与留痕</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contractcompare/service/ContractChangeAnalysisService.java；AnalysisResultPersistenceService.java</w:t>
            </w:r>
          </w:p>
        </w:tc>
      </w:tr>
      <w:t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原解析集成</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service/ContractDocumentChangePredictionService.java；ContractDocumentParagraphReader.java；LegacyDocxAnalysisTransactionService.java</w:t>
            </w:r>
          </w:p>
        </w:tc>
      </w:tr>
      <w:t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建表与请求函数</w:t>
            </w:r>
          </w:p>
        </w:tc>
        <w:tc>
          <w:tcPr>
            <w:tcW w:type="dxa" w:w="75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40" w:line="269" w:lineRule="auto"/>
            </w:pPr>
            <w:r>
              <w:rPr>
                <w:b w:val="0"/>
                <w:sz w:val="18"/>
              </w:rPr>
              <w:t>database/oracle/01_schema.sql；02_analysis_log.sql；03_compare_request_function.sql</w:t>
            </w:r>
          </w:p>
        </w:tc>
      </w:tr>
    </w:tbl>
    <w:p>
      <w:pPr>
        <w:spacing w:after="0"/>
      </w:pPr>
    </w:p>
    <w:p>
      <w:r>
        <w:t>Java路径以src/main/java/com/citics/glxt/contractchange为根，resources以src/main为根。以上位置便于将文档规则与实际部署源码逐项核对；不同提交或外层接口包装可能改变响应与配置。</w:t>
      </w:r>
    </w:p>
    <w:p>
      <w:pPr>
        <w:pStyle w:val="Heading1"/>
        <w:pageBreakBefore/>
      </w:pPr>
      <w:r>
        <w:t>25 完整案例与算法边界复盘</w:t>
      </w:r>
    </w:p>
    <w:p>
      <w:pPr>
        <w:pStyle w:val="Heading2"/>
      </w:pPr>
      <w:r>
        <w:t>一个修改从文件到类型的完整过程</w:t>
      </w:r>
    </w:p>
    <w:p>
      <w:r>
        <w:t xml:space="preserve">先导入“认购前完成风险评估”及其人工标签：规范化 Hash查重 生成1024维向量 归一化 CLOB JSON事务保存并重载。再提交旧合同“认购后完成风险评估”和新合同“认购前完成风险评估”：读取最终稿 解析条款 标题或模糊匹配 动态规划对齐 Myers输出后替换为前。</w:t>
      </w:r>
    </w:p>
    <w:p>
      <w:r>
        <w:t>类型识别使用新段落。如果新文本与历史规范化文本完全相同，EXACT返回历史标签为HIGH，单段即可进入合同汇总；若只是语义接近，走余弦召回 平方投票 分级，候选则需另一个不同变化段落共同支持。最终保存主表 完整JSON 段落及历史references，返回analysisId与类型集合。</w:t>
      </w:r>
    </w:p>
    <w:p>
      <w:r>
        <w:t>同一合同可以存在多个变化段落，每个段落可以多个标签；合同类型集合不是段落标签简单并集。需要审核人解释结果时，应同时提供基础差异、段落等级和历史证据，不能只提供最终编码集合。</w:t>
      </w:r>
    </w:p>
    <w:p>
      <w:pPr>
        <w:pStyle w:val="Heading1"/>
        <w:pageBreakBefore/>
      </w:pPr>
      <w:r>
        <w:rPr>
          <w:color w:val="000000"/>
        </w:rPr>
        <w:t>模型升级同步重建</w:t>
      </w:r>
    </w:p>
    <w:p>
      <w:r>
        <w:t>当前历史样本约几百条且模型升级低频，普通导入和模型升级均同步执行，不使用后台执行器，也不返回异步受理202。MODEL_VERSION按完整兼容标识比较，同版本实际模型名称或维度变化时拒绝导入及识别，要求更新版本标识。</w:t>
      </w:r>
    </w:p>
    <w:p>
      <w:r>
        <w:t>升级时合并当前有效历史样本与本次Excel，按规范化Hash去重，同标签优先Excel原文、标签冲突整批拒绝。人工停用及历史失效记录不自动恢复；源文本、Hash、标签、版本异常时拒绝重建。所有合并样本都重新调用新模型，旧向量不复制。</w:t>
      </w:r>
    </w:p>
    <w:p>
      <w:r>
        <w:t>全部新向量生成成功后，一个事务插入新版本、停用旧有效行并切换有效版本。唯一约束为MODEL_VERSION与TEXT_HASH组合，旧ID、正文、标签、向量及创建时间保留。容量只计当前版本有效样本，默认10000条；Excel单次1000行限制保持。</w:t>
      </w:r>
    </w:p>
    <w:p>
      <w:r>
        <w:t>只新增HT_SAMPLE_LIBRARY一张控制表，保存有效模型身份、修订号、操作ID、状态及待恢复样本数。状态为IDLE、RUNNING、DB_COMMITTED；所有导入和人工重载通过控制行互斥，模型调用在事务外。重建成功响应code=200，含rebuild、operationId及全量入库统计。索引状态包含有效版本、配置版本、操作状态及recognitionAvailable，不提供历史任务查询。</w:t>
      </w:r>
    </w:p>
    <w:p>
      <w:r>
        <w:t>提交前失败整批回滚，旧有效版本不变并释放占用；提交后索引失败保持DB_COMMITTED并暂停识别，通过重载或重启校验数量并恢复，不再生成或重复插入。进程提交前中断时重启释放RUNNING占用；提交后中断则加载新索引后回到IDLE。精确匹配也不能绕过模型兼容检查，合同比对保留基础差异并标记识别失败。</w:t>
      </w:r>
    </w:p>
    <w:p>
      <w:r>
        <w:t>仍按单实例部署，模型配置修改后重启生效；不提供热切换或多实例广播，不保存历史重建任务。本次不执行已有库迁移或清库。请求超时后先查索引状态及有效版本，确认结果再决定重试。向量CLOB JSON、余弦相似度、Top K、加权投票及合同级汇总规则不变。详细字段和响应示例见technical-guides下的模型升级同步重建说明。</w:t>
      </w:r>
    </w:p>
    <w:sectPr w:rsidR="00FC693F" w:rsidRPr="0006063C" w:rsidSect="00034616">
      <w:footerReference w:type="default" r:id="rId9"/>
      <w:pgSz w:w="11909" w:h="16834"/>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第 </w:t>
    </w:r>
    <w:fldSimple w:instr="PAGE"/>
    <w:r>
      <w:rPr>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6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line="293" w:lineRule="auto"/>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60" w:line="293" w:lineRule="auto"/>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93" w:lineRule="auto"/>
      <w:contextualSpacing/>
    </w:pPr>
    <w:rPr>
      <w:rFonts w:asciiTheme="majorHAnsi" w:eastAsiaTheme="majorEastAsia" w:hAnsiTheme="majorHAnsi" w:cstheme="majorBidi" w:ascii="Microsoft YaHei" w:hAnsi="Microsoft YaHei"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93" w:lineRule="auto" w:after="160"/>
    </w:pPr>
    <w:rPr>
      <w:rFonts w:ascii="Microsoft YaHei" w:hAnsi="Microsoft YaHei" w:eastAsia="Microsoft Ya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合同变更识别完整流程与算法说明</dc:title>
  <dc:subject>历史导入 向量化 合同解析比对与类型投票</dc:subject>
  <dc:creator>项目技术说明</dc:creator>
  <cp:keywords/>
  <dc:description>generated by python-docx</dc:description>
  <cp:lastModifiedBy/>
  <cp:revision>1</cp:revision>
  <dcterms:created xsi:type="dcterms:W3CDTF">2013-12-23T23:15:00Z</dcterms:created>
  <dcterms:modified xsi:type="dcterms:W3CDTF">2013-12-23T23:15:00Z</dcterms:modified>
  <cp:category/>
</cp:coreProperties>
</file>