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rPr>
          <w:rFonts w:ascii="Arial" w:hAnsi="Arial" w:cs="Arial" w:eastAsia="SimHei" w:hint="eastAsia"/>
          <w:color w:val="000000"/>
          <w:b w:val="0"/>
          <w:bCs w:val="0"/>
          <w:i w:val="0"/>
          <w:iCs w:val="0"/>
          <w:sz w:val="46"/>
          <w:szCs w:val="46"/>
          <w:lang w:val="en-US" w:eastAsia="zh-CN"/>
        </w:rPr>
      </w:pPr>
      <w:r>
        <w:rPr>
          <w:rFonts w:ascii="Arial" w:hAnsi="Arial" w:cs="Arial" w:eastAsia="SimHei" w:hint="eastAsia"/>
          <w:color w:val="000000"/>
          <w:b w:val="0"/>
          <w:bCs w:val="0"/>
          <w:i w:val="0"/>
          <w:iCs w:val="0"/>
          <w:sz w:val="46"/>
          <w:szCs w:val="46"/>
          <w:lang w:val="en-US" w:eastAsia="zh-CN"/>
        </w:rPr>
        <w:t>合同变更识别</w:t>
        <w:br/>
        <w:t>完整流程与算法说明</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项目 glxt-service-contract-change    编写日期 2026年10月8日</w:t>
        <w:br/>
        <w:t xml:space="preserve">版本依据 当前CLOB改造及基线edddf97    面向业务审核人员 开发人员及联调人员</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系统先把历史段落及人工标注类型导入 Oracle，调用 Embedding 网关生成向量，再加载到 JVM 内存。新合同的变化内容由确定性解析与差异算法提取，随后通过精确匹配或向量检索继承历史标签，并按可信度规则汇总成合同级类型。</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本文说明现有实现的执行顺序、算法、参数、数据关系和异常行为，不把规划能力写成已实现功能。全部阈值以当前 application.yml 默认值为说明基准；部署环境变量可以覆盖。当前工作区字符上限为5000，配置类初始值为2000，运行时应核对实际绑定值。</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阅读导航</w:t>
      </w:r>
    </w:p>
    <w:tbl>
      <w:tblPr>
        <w:tblW w:type="auto" w:w="0"/>
        <w:tblLayout w:type="fixed"/>
        <w:tblLook w:firstColumn="1" w:firstRow="1" w:lastColumn="0" w:lastRow="0" w:noHBand="0" w:noVBand="1" w:val="04A0"/>
      </w:tblPr>
      <w:tblGrid>
        <w:gridCol w:w="1656"/>
        <w:gridCol w:w="6264"/>
        <w:gridCol w:w="1800"/>
      </w:tblGrid>
      <w:tr>
        <w:trPr>
          <w:tblHeader/>
        </w:trP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范围</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内容</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章节</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知识库准备</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Excel校验 查重 向量化 Oracle保存 内存索引</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2至6</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语义分类算法</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余弦相似度 Top K 精确命中 加权投票与案例</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7至10</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合同分析</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请求编排 文件读取 双版本匹配 差异 单文件提取</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11至17</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结果与集成</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主表 明细 证据 状态 导出 原有解析与Oracle函数</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18至20</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业务和运维</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规则适用性 参数 排查 代码定位与完整案例</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21至25</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最重要的区别：历史样本支持数用于段落类型判定；本次合同的不同变化段落数用于文件级候选汇总。相似度、类型投票得分和条款匹配分数是三个不同指标，不能互相替代。</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 全链路与能力边界</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历史准备链路</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 xml:space="preserve">Excel历史段落与类型 → 文本及标签规范化 → SHA 256查重与冲突检查 → 分批Embedding → 响应校验与L2归一化 → CLOB JSON编码 → 单事务写TPIF_HTDLYB → 从Oracle重建内存快照。</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合同分析链路</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调用 /service/contract-compare/compare → 校验userId instId analysisType及路径 → 创建PROCESSING记录 → 按分析类型从SFTP读取文件 → 提取结构变化 → 对变化段落预测类型 → 合同级汇总 → 原子保存段落与证据及完整JSON → 返回精简结果。</w:t>
      </w:r>
    </w:p>
    <w:tbl>
      <w:tblPr>
        <w:tblW w:type="auto" w:w="0"/>
        <w:tblLayout w:type="fixed"/>
        <w:tblLook w:firstColumn="1" w:firstRow="1" w:lastColumn="0" w:lastRow="0" w:noHBand="0" w:noVBand="1" w:val="04A0"/>
      </w:tblPr>
      <w:tblGrid>
        <w:gridCol w:w="2736"/>
        <w:gridCol w:w="2448"/>
        <w:gridCol w:w="4536"/>
      </w:tblGrid>
      <w:tr>
        <w:trPr>
          <w:tblHeader/>
        </w:trP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分支</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输入</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输出与边界</w:t>
            </w:r>
          </w:p>
        </w:tc>
      </w:tr>
      <w:t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DOUBLE_VERSION</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旧合同和新合同</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Aspose比较加结构匹配，输出新增 删除 修改及文字差异</w:t>
            </w:r>
          </w:p>
        </w:tc>
      </w:tr>
      <w:t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CHANGE_DOCUMENT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补充协议或变更函</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按标题 标记 引号等规则提取旧新内容，不读取两份完整合同</w:t>
            </w:r>
          </w:p>
        </w:tc>
      </w:tr>
      <w:t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document/analyze-and-predict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一份完整合同</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沿用旧解析模块选段并分类，预测后执行原解析落库</w:t>
            </w:r>
          </w:p>
        </w:tc>
      </w:tr>
      <w:t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export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两版合同或变更函</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只提取并导出基础差异，不执行业务类型预测</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“基础变化类型”是ADDED DELETED MODIFIED等结构结果；“业务变更类型”是49 71等历史标签。前者来自解析和文本差异，后者来自知识库分类。</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Embedding只把文本变成数字，不直接返回业务编码。本项目没有训练分类器，也没有用生成式模型独立解释合同变化。Aspose是外部库，项目配置其比较行为，但其内部专有比较算法不由项目源码定义。</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2 接口入口与请求约定</w:t>
      </w:r>
    </w:p>
    <w:tbl>
      <w:tblPr>
        <w:tblW w:type="auto" w:w="0"/>
        <w:tblLayout w:type="fixed"/>
        <w:tblLook w:firstColumn="1" w:firstRow="1" w:lastColumn="0" w:lastRow="0" w:noHBand="0" w:noVBand="1" w:val="04A0"/>
      </w:tblPr>
      <w:tblGrid>
        <w:gridCol w:w="4392"/>
        <w:gridCol w:w="2448"/>
        <w:gridCol w:w="2880"/>
      </w:tblGrid>
      <w:tr>
        <w:trPr>
          <w:tblHeader/>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接口</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输入与身份</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职责</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POST /service/contract-change/samples/import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JSON fileGetPath及userId</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同步导入历史xlsx</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POST /service/contract-change/predict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JSON paragraph及UserId请求头</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返回单段类型 等级 得分与参考样本</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GET /service/contract-change/index/status</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无正文</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查看实际内存快照状态</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POST /service/contract-change/index/reload</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无正文</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 xml:space="preserve">读取已有CLOB JSON，不重新生成向量</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POST /service/contract-compare/compare</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JSON userId instId analysisType及活动路径</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提取 分类 留痕并返回文件级结果</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POST /service/contract-compare/export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分析类型 路径 resultMode</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输出基础结果Excel</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POST /service/contract-change/document/analyze-and-predict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DocxAnalysisDTO及UserId请求头</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原完整合同解析与分类集成</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双版本请求示例</w:t>
      </w:r>
    </w:p>
    <w:p>
      <w:pPr>
        <w:spacing w:line="252" w:lineRule="auto"/>
        <w:rPr>
          <w:rFonts w:ascii="Consolas" w:hAnsi="Consolas" w:cs="Consolas" w:eastAsia="SimSun" w:hint="eastAsia"/>
          <w:color w:val="000000"/>
          <w:b w:val="0"/>
          <w:bCs w:val="0"/>
          <w:i w:val="0"/>
          <w:iCs w:val="0"/>
          <w:sz w:val="18"/>
          <w:szCs w:val="18"/>
          <w:lang w:val="en-US" w:eastAsia="zh-CN"/>
        </w:rPr>
      </w:pPr>
      <w:r>
        <w:rPr>
          <w:rFonts w:ascii="Consolas" w:hAnsi="Consolas" w:cs="Consolas" w:eastAsia="SimSun" w:hint="eastAsia"/>
          <w:sz w:val="18"/>
          <w:color w:val="000000"/>
          <w:b w:val="0"/>
          <w:bCs w:val="0"/>
          <w:i w:val="0"/>
          <w:iCs w:val="0"/>
          <w:szCs w:val="18"/>
          <w:lang w:val="en-US" w:eastAsia="zh-CN"/>
        </w:rPr>
        <w:t>{"instId":10001,"userId":"employee-001",</w:t>
        <w:br/>
        <w:t xml:space="preserve"> "analysisType":"DOUBLE_VERSION",</w:t>
        <w:br/>
        <w:t xml:space="preserve"> "oldFileGetPath":"/contracts/before.docx",</w:t>
        <w:br/>
        <w:t xml:space="preserve"> "newFileGetPath":"/contracts/after.docx"}</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单文件变更请求示例</w:t>
      </w:r>
    </w:p>
    <w:p>
      <w:pPr>
        <w:spacing w:line="252" w:lineRule="auto"/>
        <w:rPr>
          <w:rFonts w:ascii="Consolas" w:hAnsi="Consolas" w:cs="Consolas" w:eastAsia="SimSun" w:hint="eastAsia"/>
          <w:color w:val="000000"/>
          <w:b w:val="0"/>
          <w:bCs w:val="0"/>
          <w:i w:val="0"/>
          <w:iCs w:val="0"/>
          <w:sz w:val="18"/>
          <w:szCs w:val="18"/>
          <w:lang w:val="en-US" w:eastAsia="zh-CN"/>
        </w:rPr>
      </w:pPr>
      <w:r>
        <w:rPr>
          <w:rFonts w:ascii="Consolas" w:hAnsi="Consolas" w:cs="Consolas" w:eastAsia="SimSun" w:hint="eastAsia"/>
          <w:sz w:val="18"/>
          <w:color w:val="000000"/>
          <w:b w:val="0"/>
          <w:bCs w:val="0"/>
          <w:i w:val="0"/>
          <w:iCs w:val="0"/>
          <w:szCs w:val="18"/>
          <w:lang w:val="en-US" w:eastAsia="zh-CN"/>
        </w:rPr>
        <w:t>{"instId":10001,"userId":"employee-001",</w:t>
        <w:br/>
        <w:t xml:space="preserve"> "analysisType":"CHANGE_DOCUMENT",</w:t>
        <w:br/>
        <w:t xml:space="preserve"> "changeFileGetPath":"/contracts/change.docx"}</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ompare要求明确提供analysisType，不自动默认为双版本。userId不能为空且trim后不超过100字符；instId必须大于0；活动路径不超过1000字符且策略校验非空。路径是SFTP服务器上的文件路径，不是调用方电脑路径，也不是HTTP下载地址。</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3 历史样本导入与一致性检查</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ContractParagraphImportService按顺序处理整份Excel。文件必须非空且扩展名为.xlsx，实际由XSSFWorkbook解析；只读取第一张工作表，第一行前两列表头必须是“合同段落”和“变更类型编码”。上传大小另由Spring Multipart配置限制。</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文本与标签规范化</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合同文本统一全角空格、换行和连续空白，trim后作为GFBW；原文本作为YWBW保留。规范化不删除数字、标点、否定词和主体名称，也不统一英文大小写。对规范化文本计算SHA 256十六进制Hash，建立版本内唯一身份。</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标签接受英文或中文分号、逗号，去空、去重后按字符串字典序排序，并以英文分号连接。单编码不超过64字符且不能包含空白，整串不超过4000字符。仅校验格式，不在此步骤查询真实业务字典，所以49并不在导入阶段自动转换为业务名称。</w:t>
      </w:r>
    </w:p>
    <w:tbl>
      <w:tblPr>
        <w:tblW w:type="auto" w:w="0"/>
        <w:tblLayout w:type="fixed"/>
        <w:tblLook w:firstColumn="1" w:firstRow="1" w:lastColumn="0" w:lastRow="0" w:noHBand="0" w:noVBand="1" w:val="04A0"/>
      </w:tblPr>
      <w:tblGrid>
        <w:gridCol w:w="4104"/>
        <w:gridCol w:w="4032"/>
        <w:gridCol w:w="1584"/>
      </w:tblGrid>
      <w:tr>
        <w:trPr>
          <w:tblHeader/>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条件</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处理</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是否写库</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两列均为空</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忽略，不计有效数据行</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否</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文件内同Hash且同标签</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保留首次行，重复行计skipped</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仅首次行可能写库</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文件内同Hash但标签不同</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返回冲突行与首次行号，整批拒绝</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否</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数据库无该Hash</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准备新增并生成向量</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是</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数据库当前版本 维度 生效 标签均相同</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幂等跳过，不重新调用模型</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否</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数据库标签相同但停用或版本维度旧</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同版本停用重启保留ID；升级新增版本行</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是</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数据库同Hash但标签不同</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整批拒绝，不自动覆盖标签</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否</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默认最多1000个非空数据行；文件内重复行也占行数限制。当前版本有效样本默认最多10000条，失效记录不占容量。按500个Hash一批查询数据库，避免逐行查询及Oracle IN列表过长。导入和重载通过数据库控制行互斥，仍按单实例部署。</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4 Embedding调用与数值校验</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仅对待新增和待更新段落生成向量，标签编码不进入模型输入。默认每批最多16条；41条需拆为16 16 9。模型名称是网关请求字段，modelVersion是本项目管理检索空间的版本标记，两者职责不同。</w:t>
      </w:r>
    </w:p>
    <w:p>
      <w:pPr>
        <w:spacing w:line="252" w:lineRule="auto"/>
        <w:rPr>
          <w:rFonts w:ascii="Consolas" w:hAnsi="Consolas" w:cs="Consolas" w:eastAsia="SimSun" w:hint="eastAsia"/>
          <w:color w:val="000000"/>
          <w:b w:val="0"/>
          <w:bCs w:val="0"/>
          <w:i w:val="0"/>
          <w:iCs w:val="0"/>
          <w:sz w:val="18"/>
          <w:szCs w:val="18"/>
          <w:lang w:val="en-US" w:eastAsia="zh-CN"/>
        </w:rPr>
      </w:pPr>
      <w:r>
        <w:rPr>
          <w:rFonts w:ascii="Consolas" w:hAnsi="Consolas" w:cs="Consolas" w:eastAsia="SimSun" w:hint="eastAsia"/>
          <w:sz w:val="18"/>
          <w:color w:val="000000"/>
          <w:b w:val="0"/>
          <w:bCs w:val="0"/>
          <w:i w:val="0"/>
          <w:iCs w:val="0"/>
          <w:szCs w:val="18"/>
          <w:lang w:val="en-US" w:eastAsia="zh-CN"/>
        </w:rPr>
        <w:t>POST &lt;部署配置中的完整Embedding URL&gt;</w:t>
        <w:br/>
        <w:t>Authorization: Bearer &lt;服务端安全配置&gt;</w:t>
        <w:br/>
        <w:t>UserId: &lt;实际操作人&gt;</w:t>
        <w:br/>
        <w:t>Content-Type: application/json</w:t>
        <w:br/>
        <w:br/>
        <w:t>{"model":"gen-studio-Qwen3-Embedding-8B",</w:t>
        <w:br/>
        <w:t xml:space="preserve"> "input":["规范化段落A","规范化段落B"],</w:t>
        <w:br/>
        <w:t xml:space="preserve"> "dimensions":"1024","encoding_format":"float"}</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单条请求的input为字符串，多条为数组；dimensions按当前客户端实现发送字符串。密钥只能由服务端注入，不能从前端传入，也不应进入日志。</w:t>
      </w:r>
    </w:p>
    <w:tbl>
      <w:tblPr>
        <w:tblW w:type="auto" w:w="0"/>
        <w:tblLayout w:type="fixed"/>
        <w:tblLook w:firstColumn="1" w:firstRow="1" w:lastColumn="0" w:lastRow="0" w:noHBand="0" w:noVBand="1" w:val="04A0"/>
      </w:tblPr>
      <w:tblGrid>
        <w:gridCol w:w="1872"/>
        <w:gridCol w:w="7848"/>
      </w:tblGrid>
      <w:tr>
        <w:trPr>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校验</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实际行为</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数量</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data数量必须等于输入数量</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顺序</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多条响应必须有唯一且合法的index，按index回填；单条允许无index，有则必须为0</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维度</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每个embedding必须恰有配置dimension个数值</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数值</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拒绝null NaN Infinity，以及Double转Float后溢出的数值</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模长</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拒绝全零或非法模长，随后原地L2归一化</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连接与读取</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默认建连3000ms 读取30000ms</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重试</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默认maxRetries=1，即首次加一次；仅5xx及连接读取异常重试</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4xx直接终止，包含429，不在当前客户端自动重试。响应数量、index或数值校验失败也不重试；重试循环没有额外退避等待。导入任一模型批次失败即终止，数据库尚未写入；已发生的网关调用不能通过数据库事务撤销。</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5 向量归一化与Oracle入库</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L2归一化</w:t>
      </w:r>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v</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₂</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v</m:t>
        </m:r>
        <m:r>
          <w:rPr>
            <w:rFonts w:ascii="Cambria Math" w:hAnsi="Cambria Math" w:cs="Cambria Math" w:eastAsia="Cambria Math" w:hint="eastAsia"/>
            <w:color w:val="000000"/>
            <w:b w:val="0"/>
            <w:bCs w:val="0"/>
            <w:i w:val="0"/>
            <w:iCs w:val="0"/>
            <w:sz w:val="22"/>
            <w:szCs w:val="22"/>
            <w:lang w:val="en-US" w:eastAsia="zh-CN"/>
          </w:rPr>
          <m:t xml:space="preserve">₁</m:t>
        </m:r>
        <m:r>
          <w:rPr>
            <w:rFonts w:ascii="Cambria Math" w:hAnsi="Cambria Math" w:cs="Cambria Math" w:eastAsia="Cambria Math" w:hint="eastAsia"/>
            <w:color w:val="000000"/>
            <w:b w:val="0"/>
            <w:bCs w:val="0"/>
            <w:i w:val="0"/>
            <w:iCs w:val="0"/>
            <w:sz w:val="22"/>
            <w:szCs w:val="22"/>
            <w:lang w:val="en-US" w:eastAsia="zh-CN"/>
          </w:rPr>
          <m:t xml:space="preserve">²</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v</m:t>
        </m:r>
        <m:r>
          <w:rPr>
            <w:rFonts w:ascii="Cambria Math" w:hAnsi="Cambria Math" w:cs="Cambria Math" w:eastAsia="Cambria Math" w:hint="eastAsia"/>
            <w:color w:val="000000"/>
            <w:b w:val="0"/>
            <w:bCs w:val="0"/>
            <w:i w:val="0"/>
            <w:iCs w:val="0"/>
            <w:sz w:val="22"/>
            <w:szCs w:val="22"/>
            <w:lang w:val="en-US" w:eastAsia="zh-CN"/>
          </w:rPr>
          <m:t xml:space="preserve">₂</m:t>
        </m:r>
        <m:r>
          <w:rPr>
            <w:rFonts w:ascii="Cambria Math" w:hAnsi="Cambria Math" w:cs="Cambria Math" w:eastAsia="Cambria Math" w:hint="eastAsia"/>
            <w:color w:val="000000"/>
            <w:b w:val="0"/>
            <w:bCs w:val="0"/>
            <w:i w:val="0"/>
            <w:iCs w:val="0"/>
            <w:sz w:val="22"/>
            <w:szCs w:val="22"/>
            <w:lang w:val="en-US" w:eastAsia="zh-CN"/>
          </w:rPr>
          <m:t xml:space="preserve">²</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sSub>
          <m:e>
            <m:r>
              <w:rPr>
                <w:rFonts w:ascii="Cambria Math" w:hAnsi="Cambria Math" w:cs="Cambria Math" w:eastAsia="Cambria Math" w:hint="eastAsia"/>
                <w:color w:val="000000"/>
                <w:b w:val="0"/>
                <w:bCs w:val="0"/>
                <w:i w:val="0"/>
                <w:iCs w:val="0"/>
                <w:sz w:val="22"/>
                <w:szCs w:val="22"/>
                <w:lang w:val="en-US" w:eastAsia="zh-CN"/>
              </w:rPr>
              <m:t xml:space="preserve">v</m:t>
            </m:r>
          </m:e>
          <m:sub>
            <m:r>
              <w:rPr>
                <w:rFonts w:ascii="Cambria Math" w:hAnsi="Cambria Math" w:cs="Cambria Math" w:eastAsia="Cambria Math" w:hint="eastAsia"/>
                <w:color w:val="000000"/>
                <w:b w:val="0"/>
                <w:bCs w:val="0"/>
                <w:i w:val="0"/>
                <w:iCs w:val="0"/>
                <w:sz w:val="22"/>
                <w:szCs w:val="22"/>
                <w:lang w:val="en-US" w:eastAsia="zh-CN"/>
              </w:rPr>
              <m:t xml:space="preserve">d</m:t>
            </m:r>
          </m:sub>
        </m:sSub>
        <m:r>
          <w:rPr>
            <w:rFonts w:ascii="Cambria Math" w:hAnsi="Cambria Math" w:cs="Cambria Math" w:eastAsia="Cambria Math" w:hint="eastAsia"/>
            <w:color w:val="000000"/>
            <w:b w:val="0"/>
            <w:bCs w:val="0"/>
            <w:i w:val="0"/>
            <w:iCs w:val="0"/>
            <w:sz w:val="22"/>
            <w:szCs w:val="22"/>
            <w:lang w:val="en-US" w:eastAsia="zh-CN"/>
          </w:rPr>
          <m:t xml:space="preserve">²</m:t>
        </m:r>
        <m:r>
          <w:rPr>
            <w:rFonts w:ascii="Cambria Math" w:hAnsi="Cambria Math" w:cs="Cambria Math" w:eastAsia="Cambria Math" w:hint="eastAsia"/>
            <w:color w:val="000000"/>
            <w:b w:val="0"/>
            <w:bCs w:val="0"/>
            <w:i w:val="0"/>
            <w:iCs w:val="0"/>
            <w:sz w:val="22"/>
            <w:szCs w:val="22"/>
            <w:lang w:val="en-US" w:eastAsia="zh-CN"/>
          </w:rPr>
          <m:t xml:space="preserve">)</m:t>
        </m:r>
      </m:oMath>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u</m:t>
        </m:r>
        <m:r>
          <w:rPr>
            <w:rFonts w:ascii="Cambria Math" w:hAnsi="Cambria Math" w:cs="Cambria Math" w:eastAsia="Cambria Math" w:hint="eastAsia"/>
            <w:color w:val="000000"/>
            <w:b w:val="0"/>
            <w:bCs w:val="0"/>
            <w:i w:val="0"/>
            <w:iCs w:val="0"/>
            <w:sz w:val="22"/>
            <w:szCs w:val="22"/>
            <w:lang w:val="en-US" w:eastAsia="zh-CN"/>
          </w:rPr>
          <m:t xml:space="preserve">ᵢ</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f>
          <m:num>
            <m:r>
              <w:rPr>
                <w:rFonts w:ascii="Cambria Math" w:hAnsi="Cambria Math" w:cs="Cambria Math" w:eastAsia="Cambria Math" w:hint="eastAsia"/>
                <w:color w:val="000000"/>
                <w:b w:val="0"/>
                <w:bCs w:val="0"/>
                <w:i w:val="0"/>
                <w:iCs w:val="0"/>
                <w:sz w:val="22"/>
                <w:szCs w:val="22"/>
                <w:lang w:val="en-US" w:eastAsia="zh-CN"/>
              </w:rPr>
              <m:t xml:space="preserve">v</m:t>
            </m:r>
            <m:r>
              <w:rPr>
                <w:rFonts w:ascii="Cambria Math" w:hAnsi="Cambria Math" w:cs="Cambria Math" w:eastAsia="Cambria Math" w:hint="eastAsia"/>
                <w:color w:val="000000"/>
                <w:b w:val="0"/>
                <w:bCs w:val="0"/>
                <w:i w:val="0"/>
                <w:iCs w:val="0"/>
                <w:sz w:val="22"/>
                <w:szCs w:val="22"/>
                <w:lang w:val="en-US" w:eastAsia="zh-CN"/>
              </w:rPr>
              <m:t xml:space="preserve">ᵢ</m:t>
            </m:r>
          </m:num>
          <m:den>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v</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₂</m:t>
            </m:r>
          </m:den>
        </m:f>
      </m:oMath>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记u为v归一化后的向量，uᵢ为第i个分量。</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把向量整体除以欧氏长度，保持方向，得到长度约为1的向量。例如[3,4]归一化为[0.6,0.8]。计算模长和累加使用double，保存元素使用float，因此范数通常接近1而非数学上绝对等于1。</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 xml:space="preserve">CLOB JSON编码</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 xml:space="preserve">VectorCodec用独立Jackson配置将float[]编码为CLOB JSON数字数组，不受接口小数格式化影响，不固定小数位。解码严格校验数字类型、维度、有限值、Float32溢出及尾随内容，全零向量由归一化拒绝。JSON长度为字符数且不固定；Oracle本身不执行向量检索。</w:t>
      </w:r>
    </w:p>
    <w:tbl>
      <w:tblPr>
        <w:tblW w:type="auto" w:w="0"/>
        <w:tblLayout w:type="fixed"/>
        <w:tblLook w:firstColumn="1" w:firstRow="1" w:lastColumn="0" w:lastRow="0" w:noHBand="0" w:noVBand="1" w:val="04A0"/>
      </w:tblPr>
      <w:tblGrid>
        <w:gridCol w:w="3744"/>
        <w:gridCol w:w="5976"/>
      </w:tblGrid>
      <w:tr>
        <w:trPr>
          <w:tblHeader/>
        </w:trP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字段</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含义</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YWBW / GFBW</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原文与规范化文本，均为CLOB</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TEXT_HASH</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规范化文本SHA 256，与MODEL_VERSION组合唯一</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BGLX_CODES</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规范标签串，例如20;25;28</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VECTOR_DATA / VECTOR_DIM</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 xml:space="preserve">CLOB JSON数字数组与维度</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MODEL_VERSION / SFSX</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向量空间版本与生效标记1或0</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 xml:space="preserve">ID / CREATE_TIME</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 xml:space="preserve">序列主键与创建时间</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全部向量生成完成后，ContractParagraphPersistenceService.saveAll开启一个数据库事务逐条INSERT或UPDATE。更新必须影响1行，任一异常回滚整批。独立Service上的Spring事务代理避免同类内部调用造成事务不生效。</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提交成功后才重载索引。普通增量导入索引刷新失败返回success=true及indexReloaded=false；升级重建索引失败返回503并保留DB_COMMITTED，因为数据库已经提交；此时应重载或检查索引，不能把刷新失败理解为数据未入库。同版本Hash唯一；模型升级新增新版本行，旧有效行整体停用并保留追溯。</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6 JVM内存索引与Top K检索</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 xml:space="preserve">ParagraphVectorIndexService在启动时和手工reload时，从TPIF_HTDLYB读取MODEL_VERSION等于当前配置、VECTOR_DIM匹配且SFSX=1的样本。每行解析CLOB JSON，再归一化并解析标签，构造语义样本列表和Hash查找表。</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新快照先在临时变量中完整构建，完成后通过AtomicReference整体替换。加载期间请求仍使用旧快照，不会读到半份索引。reload查询失败时已有可用快照继续保留；首次无可用样本时可标为LOAD_FAILED。不同JVM有各自快照，单实例导入不会自动通知其他实例刷新。</w:t>
      </w:r>
    </w:p>
    <w:tbl>
      <w:tblPr>
        <w:tblW w:type="auto" w:w="0"/>
        <w:tblLayout w:type="fixed"/>
        <w:tblLook w:firstColumn="1" w:firstRow="1" w:lastColumn="0" w:lastRow="0" w:noHBand="0" w:noVBand="1" w:val="04A0"/>
      </w:tblPr>
      <w:tblGrid>
        <w:gridCol w:w="1944"/>
        <w:gridCol w:w="4032"/>
        <w:gridCol w:w="3744"/>
      </w:tblGrid>
      <w:tr>
        <w:trPr>
          <w:tblHeader/>
        </w:trP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状态</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含义</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预测影响</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NOT_READY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初始状态，未加载完成</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语义识别不可用</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EMPTY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本版本维度查询到0行</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返回无可靠匹配，不当作网关失败</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READY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所有查询样本正常加载</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正常检索</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DEGRADED</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部分或全部样本解析失败</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有可用样本时继续，sampleCount=0时识别不可用</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LOAD_FAILED</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首次或空快照时数据库查询失败</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语义识别不可用</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精确检索算法</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HashMap按TEXT_HASH查找相同段落，平均查找复杂度为O(1)。Hash命中使用快照内已有标签，不调用Embedding。只有成功加载到该快照的样本才能参与精确匹配。</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语义检索算法</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遍历全部N个历史向量，逐项点积计算相似度，用容量K的最小堆维护当前前K名。堆顶是已保留结果中最小值，新的分数更高就替换；最后对这K项倒序排序。没有HNSW或其他近似向量索引。</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时间复杂度约为O(Nd + N log K + K log K)，额外Top K空间为O(K)，历史向量空间为O(Nd)。10000×1024×4约40.96MB是向量原始载荷，还不包含Java对象、文本、标签及容器开销。</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7 余弦相似度与三个分数的区别</w:t>
      </w:r>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o</m:t>
        </m:r>
        <m:r>
          <w:rPr>
            <w:rFonts w:ascii="Cambria Math" w:hAnsi="Cambria Math" w:cs="Cambria Math" w:eastAsia="Cambria Math" w:hint="eastAsia"/>
            <w:color w:val="000000"/>
            <w:b w:val="0"/>
            <w:bCs w:val="0"/>
            <w:i w:val="0"/>
            <w:iCs w:val="0"/>
            <w:sz w:val="22"/>
            <w:szCs w:val="22"/>
            <w:lang w:val="en-US" w:eastAsia="zh-CN"/>
          </w:rPr>
          <m:t xml:space="preserve">s</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q</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h</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f>
          <m:num>
            <m:r>
              <w:rPr>
                <w:rFonts w:ascii="Cambria Math" w:hAnsi="Cambria Math" w:cs="Cambria Math" w:eastAsia="Cambria Math" w:hint="eastAsia"/>
                <w:color w:val="000000"/>
                <w:b w:val="0"/>
                <w:bCs w:val="0"/>
                <w:i w:val="0"/>
                <w:iCs w:val="0"/>
                <w:sz w:val="22"/>
                <w:szCs w:val="22"/>
                <w:lang w:val="en-US" w:eastAsia="zh-CN"/>
              </w:rPr>
              <m:t xml:space="preserve">q</m:t>
            </m:r>
            <m:r>
              <w:rPr>
                <w:rFonts w:ascii="Cambria Math" w:hAnsi="Cambria Math" w:cs="Cambria Math" w:eastAsia="Cambria Math" w:hint="eastAsia"/>
                <w:color w:val="000000"/>
                <w:b w:val="0"/>
                <w:bCs w:val="0"/>
                <w:i w:val="0"/>
                <w:iCs w:val="0"/>
                <w:sz w:val="22"/>
                <w:szCs w:val="22"/>
                <w:lang w:val="en-US" w:eastAsia="zh-CN"/>
              </w:rPr>
              <m:t xml:space="preserve">₁</m:t>
            </m:r>
            <m:r>
              <w:rPr>
                <w:rFonts w:ascii="Cambria Math" w:hAnsi="Cambria Math" w:cs="Cambria Math" w:eastAsia="Cambria Math" w:hint="eastAsia"/>
                <w:color w:val="000000"/>
                <w:b w:val="0"/>
                <w:bCs w:val="0"/>
                <w:i w:val="0"/>
                <w:iCs w:val="0"/>
                <w:sz w:val="22"/>
                <w:szCs w:val="22"/>
                <w:lang w:val="en-US" w:eastAsia="zh-CN"/>
              </w:rPr>
              <m:t xml:space="preserve">h</m:t>
            </m:r>
            <m:r>
              <w:rPr>
                <w:rFonts w:ascii="Cambria Math" w:hAnsi="Cambria Math" w:cs="Cambria Math" w:eastAsia="Cambria Math" w:hint="eastAsia"/>
                <w:color w:val="000000"/>
                <w:b w:val="0"/>
                <w:bCs w:val="0"/>
                <w:i w:val="0"/>
                <w:iCs w:val="0"/>
                <w:sz w:val="22"/>
                <w:szCs w:val="22"/>
                <w:lang w:val="en-US" w:eastAsia="zh-CN"/>
              </w:rPr>
              <m:t xml:space="preserve">₁</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q</m:t>
            </m:r>
            <m:r>
              <w:rPr>
                <w:rFonts w:ascii="Cambria Math" w:hAnsi="Cambria Math" w:cs="Cambria Math" w:eastAsia="Cambria Math" w:hint="eastAsia"/>
                <w:color w:val="000000"/>
                <w:b w:val="0"/>
                <w:bCs w:val="0"/>
                <w:i w:val="0"/>
                <w:iCs w:val="0"/>
                <w:sz w:val="22"/>
                <w:szCs w:val="22"/>
                <w:lang w:val="en-US" w:eastAsia="zh-CN"/>
              </w:rPr>
              <m:t xml:space="preserve">₂</m:t>
            </m:r>
            <m:r>
              <w:rPr>
                <w:rFonts w:ascii="Cambria Math" w:hAnsi="Cambria Math" w:cs="Cambria Math" w:eastAsia="Cambria Math" w:hint="eastAsia"/>
                <w:color w:val="000000"/>
                <w:b w:val="0"/>
                <w:bCs w:val="0"/>
                <w:i w:val="0"/>
                <w:iCs w:val="0"/>
                <w:sz w:val="22"/>
                <w:szCs w:val="22"/>
                <w:lang w:val="en-US" w:eastAsia="zh-CN"/>
              </w:rPr>
              <m:t xml:space="preserve">h</m:t>
            </m:r>
            <m:r>
              <w:rPr>
                <w:rFonts w:ascii="Cambria Math" w:hAnsi="Cambria Math" w:cs="Cambria Math" w:eastAsia="Cambria Math" w:hint="eastAsia"/>
                <w:color w:val="000000"/>
                <w:b w:val="0"/>
                <w:bCs w:val="0"/>
                <w:i w:val="0"/>
                <w:iCs w:val="0"/>
                <w:sz w:val="22"/>
                <w:szCs w:val="22"/>
                <w:lang w:val="en-US" w:eastAsia="zh-CN"/>
              </w:rPr>
              <m:t xml:space="preserve">₂</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sSub>
              <m:e>
                <m:r>
                  <w:rPr>
                    <w:rFonts w:ascii="Cambria Math" w:hAnsi="Cambria Math" w:cs="Cambria Math" w:eastAsia="Cambria Math" w:hint="eastAsia"/>
                    <w:color w:val="000000"/>
                    <w:b w:val="0"/>
                    <w:bCs w:val="0"/>
                    <w:i w:val="0"/>
                    <w:iCs w:val="0"/>
                    <w:sz w:val="22"/>
                    <w:szCs w:val="22"/>
                    <w:lang w:val="en-US" w:eastAsia="zh-CN"/>
                  </w:rPr>
                  <m:t xml:space="preserve">q</m:t>
                </m:r>
              </m:e>
              <m:sub>
                <m:r>
                  <w:rPr>
                    <w:rFonts w:ascii="Cambria Math" w:hAnsi="Cambria Math" w:cs="Cambria Math" w:eastAsia="Cambria Math" w:hint="eastAsia"/>
                    <w:color w:val="000000"/>
                    <w:b w:val="0"/>
                    <w:bCs w:val="0"/>
                    <w:i w:val="0"/>
                    <w:iCs w:val="0"/>
                    <w:sz w:val="22"/>
                    <w:szCs w:val="22"/>
                    <w:lang w:val="en-US" w:eastAsia="zh-CN"/>
                  </w:rPr>
                  <m:t xml:space="preserve">d</m:t>
                </m:r>
              </m:sub>
            </m:sSub>
            <m:sSub>
              <m:e>
                <m:r>
                  <w:rPr>
                    <w:rFonts w:ascii="Cambria Math" w:hAnsi="Cambria Math" w:cs="Cambria Math" w:eastAsia="Cambria Math" w:hint="eastAsia"/>
                    <w:color w:val="000000"/>
                    <w:b w:val="0"/>
                    <w:bCs w:val="0"/>
                    <w:i w:val="0"/>
                    <w:iCs w:val="0"/>
                    <w:sz w:val="22"/>
                    <w:szCs w:val="22"/>
                    <w:lang w:val="en-US" w:eastAsia="zh-CN"/>
                  </w:rPr>
                  <m:t xml:space="preserve">h</m:t>
                </m:r>
              </m:e>
              <m:sub>
                <m:r>
                  <w:rPr>
                    <w:rFonts w:ascii="Cambria Math" w:hAnsi="Cambria Math" w:cs="Cambria Math" w:eastAsia="Cambria Math" w:hint="eastAsia"/>
                    <w:color w:val="000000"/>
                    <w:b w:val="0"/>
                    <w:bCs w:val="0"/>
                    <w:i w:val="0"/>
                    <w:iCs w:val="0"/>
                    <w:sz w:val="22"/>
                    <w:szCs w:val="22"/>
                    <w:lang w:val="en-US" w:eastAsia="zh-CN"/>
                  </w:rPr>
                  <m:t xml:space="preserve">d</m:t>
                </m:r>
              </m:sub>
            </m:sSub>
          </m:num>
          <m:den>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q</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₂</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h</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₂</m:t>
            </m:r>
          </m:den>
        </m:f>
      </m:oMath>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余弦相似度比较两个向量方向。理论范围为−1至1；同方向为1，正交为0，反方向为−1。合同文本的实际分布取决于Embedding模型，不能把0.85解读为85%的业务正确率。Float32运算会有微小数值误差，当前点积实现没有额外裁剪到区间。</w:t>
      </w:r>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o</m:t>
        </m:r>
        <m:r>
          <w:rPr>
            <w:rFonts w:ascii="Cambria Math" w:hAnsi="Cambria Math" w:cs="Cambria Math" w:eastAsia="Cambria Math" w:hint="eastAsia"/>
            <w:color w:val="000000"/>
            <w:b w:val="0"/>
            <w:bCs w:val="0"/>
            <w:i w:val="0"/>
            <w:iCs w:val="0"/>
            <w:sz w:val="22"/>
            <w:szCs w:val="22"/>
            <w:lang w:val="en-US" w:eastAsia="zh-CN"/>
          </w:rPr>
          <m:t xml:space="preserve">s</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q</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h</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a</m:t>
        </m:r>
        <m:r>
          <w:rPr>
            <w:rFonts w:ascii="Cambria Math" w:hAnsi="Cambria Math" w:cs="Cambria Math" w:eastAsia="Cambria Math" w:hint="eastAsia"/>
            <w:color w:val="000000"/>
            <w:b w:val="0"/>
            <w:bCs w:val="0"/>
            <w:i w:val="0"/>
            <w:iCs w:val="0"/>
            <w:sz w:val="22"/>
            <w:szCs w:val="22"/>
            <w:lang w:val="en-US" w:eastAsia="zh-CN"/>
          </w:rPr>
          <m:t xml:space="preserve">₁</m:t>
        </m:r>
        <m:r>
          <w:rPr>
            <w:rFonts w:ascii="Cambria Math" w:hAnsi="Cambria Math" w:cs="Cambria Math" w:eastAsia="Cambria Math" w:hint="eastAsia"/>
            <w:color w:val="000000"/>
            <w:b w:val="0"/>
            <w:bCs w:val="0"/>
            <w:i w:val="0"/>
            <w:iCs w:val="0"/>
            <w:sz w:val="22"/>
            <w:szCs w:val="22"/>
            <w:lang w:val="en-US" w:eastAsia="zh-CN"/>
          </w:rPr>
          <m:t xml:space="preserve">b</m:t>
        </m:r>
        <m:r>
          <w:rPr>
            <w:rFonts w:ascii="Cambria Math" w:hAnsi="Cambria Math" w:cs="Cambria Math" w:eastAsia="Cambria Math" w:hint="eastAsia"/>
            <w:color w:val="000000"/>
            <w:b w:val="0"/>
            <w:bCs w:val="0"/>
            <w:i w:val="0"/>
            <w:iCs w:val="0"/>
            <w:sz w:val="22"/>
            <w:szCs w:val="22"/>
            <w:lang w:val="en-US" w:eastAsia="zh-CN"/>
          </w:rPr>
          <m:t xml:space="preserve">₁</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sSub>
          <m:e>
            <m:r>
              <w:rPr>
                <w:rFonts w:ascii="Cambria Math" w:hAnsi="Cambria Math" w:cs="Cambria Math" w:eastAsia="Cambria Math" w:hint="eastAsia"/>
                <w:color w:val="000000"/>
                <w:b w:val="0"/>
                <w:bCs w:val="0"/>
                <w:i w:val="0"/>
                <w:iCs w:val="0"/>
                <w:sz w:val="22"/>
                <w:szCs w:val="22"/>
                <w:lang w:val="en-US" w:eastAsia="zh-CN"/>
              </w:rPr>
              <m:t xml:space="preserve">a</m:t>
            </m:r>
          </m:e>
          <m:sub>
            <m:r>
              <w:rPr>
                <w:rFonts w:ascii="Cambria Math" w:hAnsi="Cambria Math" w:cs="Cambria Math" w:eastAsia="Cambria Math" w:hint="eastAsia"/>
                <w:color w:val="000000"/>
                <w:b w:val="0"/>
                <w:bCs w:val="0"/>
                <w:i w:val="0"/>
                <w:iCs w:val="0"/>
                <w:sz w:val="22"/>
                <w:szCs w:val="22"/>
                <w:lang w:val="en-US" w:eastAsia="zh-CN"/>
              </w:rPr>
              <m:t xml:space="preserve">d</m:t>
            </m:r>
          </m:sub>
        </m:sSub>
        <m:sSub>
          <m:e>
            <m:r>
              <w:rPr>
                <w:rFonts w:ascii="Cambria Math" w:hAnsi="Cambria Math" w:cs="Cambria Math" w:eastAsia="Cambria Math" w:hint="eastAsia"/>
                <w:color w:val="000000"/>
                <w:b w:val="0"/>
                <w:bCs w:val="0"/>
                <w:i w:val="0"/>
                <w:iCs w:val="0"/>
                <w:sz w:val="22"/>
                <w:szCs w:val="22"/>
                <w:lang w:val="en-US" w:eastAsia="zh-CN"/>
              </w:rPr>
              <m:t xml:space="preserve">b</m:t>
            </m:r>
          </m:e>
          <m:sub>
            <m:r>
              <w:rPr>
                <w:rFonts w:ascii="Cambria Math" w:hAnsi="Cambria Math" w:cs="Cambria Math" w:eastAsia="Cambria Math" w:hint="eastAsia"/>
                <w:color w:val="000000"/>
                <w:b w:val="0"/>
                <w:bCs w:val="0"/>
                <w:i w:val="0"/>
                <w:iCs w:val="0"/>
                <w:sz w:val="22"/>
                <w:szCs w:val="22"/>
                <w:lang w:val="en-US" w:eastAsia="zh-CN"/>
              </w:rPr>
              <m:t xml:space="preserve">d</m:t>
            </m:r>
          </m:sub>
        </m:sSub>
      </m:oMath>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这里a、b分别表示q、h归一化后的单位向量。</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查询向量由HTTP客户端归一化，历史向量在入库前和索引加载时归一化，因此VectorUtils.dot直接得到余弦。二维例子q=[0.6,0.8]，h=[0,1]，点积0.8；q与自身点积为1。真实向量维度默认为1024，各坐标不直接对应一个人为命名的业务词。</w:t>
      </w:r>
    </w:p>
    <w:tbl>
      <w:tblPr>
        <w:tblW w:type="auto" w:w="0"/>
        <w:tblLayout w:type="fixed"/>
        <w:tblLook w:firstColumn="1" w:firstRow="1" w:lastColumn="0" w:lastRow="0" w:noHBand="0" w:noVBand="1" w:val="04A0"/>
      </w:tblPr>
      <w:tblGrid>
        <w:gridCol w:w="2808"/>
        <w:gridCol w:w="4608"/>
        <w:gridCol w:w="2304"/>
      </w:tblGrid>
      <w:tr>
        <w:trPr>
          <w:tblHeader/>
        </w:trP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指标</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计算与使用</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不能解释成</w:t>
            </w:r>
          </w:p>
        </w:tc>
      </w:tr>
      <w:t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SIMILARITY / maxSimilarity</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查询段落与历史段落余弦；决定召回与强相似兜底</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类型正确概率</w:t>
            </w:r>
          </w:p>
        </w:tc>
      </w:tr>
      <w:t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changeTypes.score</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支持该类型的历史相似度平方权重占比；决定HIGH或候选</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第一名相似度</w:t>
            </w:r>
          </w:p>
        </w:tc>
      </w:tr>
      <w:t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条款匹配score</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新旧条款内容 标题 上下文的Dice加权分</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历史语义投票得分</w:t>
            </w:r>
          </w:p>
        </w:tc>
      </w:tr>
      <w:t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supportCount</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参与投票且带该标签的历史样本条数</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本次合同变化段落数</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绝对相似度表示“是否接近历史样本”，投票得分表示“邻近样本是否同意这个类型”。二者独立：所有近邻略高于0.60且同标签时得分可为1；第一名0.95但其他标签分散时，投票得分仍可能很低。</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8 段落精确命中与加权投票</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ContractParagraphPredictionService先规范化并校验输入，再按Hash查找。精确命中直接返回EXACT，历史每个标签score=1 supportCount=1 level=HIGH，并给一条参考样本。这是精确匹配的特殊分支，不要求至少两条历史支持。</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未命中时生成查询向量并召回最多retrieveTopK=10条。从高到低连续取similarity≥minSimilarity=0.60的样本。若无合格样本，返回NO_RELIABLE_MATCH，仍保留最高相似度和最多5条参考，便于判断“召回了但未达最低门槛”。</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多标签加权投票</w:t>
      </w:r>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w</m:t>
        </m:r>
        <m:r>
          <w:rPr>
            <w:rFonts w:ascii="Cambria Math" w:hAnsi="Cambria Math" w:cs="Cambria Math" w:eastAsia="Cambria Math" w:hint="eastAsia"/>
            <w:color w:val="000000"/>
            <w:b w:val="0"/>
            <w:bCs w:val="0"/>
            <w:i w:val="0"/>
            <w:iCs w:val="0"/>
            <w:sz w:val="22"/>
            <w:szCs w:val="22"/>
            <w:lang w:val="en-US" w:eastAsia="zh-CN"/>
          </w:rPr>
          <m:t xml:space="preserve">ᵢ</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s</m:t>
        </m:r>
        <m:r>
          <w:rPr>
            <w:rFonts w:ascii="Cambria Math" w:hAnsi="Cambria Math" w:cs="Cambria Math" w:eastAsia="Cambria Math" w:hint="eastAsia"/>
            <w:color w:val="000000"/>
            <w:b w:val="0"/>
            <w:bCs w:val="0"/>
            <w:i w:val="0"/>
            <w:iCs w:val="0"/>
            <w:sz w:val="22"/>
            <w:szCs w:val="22"/>
            <w:lang w:val="en-US" w:eastAsia="zh-CN"/>
          </w:rPr>
          <m:t xml:space="preserve">ᵢ</m:t>
        </m:r>
        <m:r>
          <w:rPr>
            <w:rFonts w:ascii="Cambria Math" w:hAnsi="Cambria Math" w:cs="Cambria Math" w:eastAsia="Cambria Math" w:hint="eastAsia"/>
            <w:color w:val="000000"/>
            <w:b w:val="0"/>
            <w:bCs w:val="0"/>
            <w:i w:val="0"/>
            <w:iCs w:val="0"/>
            <w:sz w:val="22"/>
            <w:szCs w:val="22"/>
            <w:lang w:val="en-US" w:eastAsia="zh-CN"/>
          </w:rPr>
          <m:t xml:space="preserve">²</m:t>
        </m:r>
      </m:oMath>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s</m:t>
        </m:r>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o</m:t>
        </m:r>
        <m:r>
          <w:rPr>
            <w:rFonts w:ascii="Cambria Math" w:hAnsi="Cambria Math" w:cs="Cambria Math" w:eastAsia="Cambria Math" w:hint="eastAsia"/>
            <w:color w:val="000000"/>
            <w:b w:val="0"/>
            <w:bCs w:val="0"/>
            <w:i w:val="0"/>
            <w:iCs w:val="0"/>
            <w:sz w:val="22"/>
            <w:szCs w:val="22"/>
            <w:lang w:val="en-US" w:eastAsia="zh-CN"/>
          </w:rPr>
          <m:t xml:space="preserve">r</m:t>
        </m:r>
        <m:r>
          <w:rPr>
            <w:rFonts w:ascii="Cambria Math" w:hAnsi="Cambria Math" w:cs="Cambria Math" w:eastAsia="Cambria Math" w:hint="eastAsia"/>
            <w:color w:val="000000"/>
            <w:b w:val="0"/>
            <w:bCs w:val="0"/>
            <w:i w:val="0"/>
            <w:iCs w:val="0"/>
            <w:sz w:val="22"/>
            <w:szCs w:val="22"/>
            <w:lang w:val="en-US" w:eastAsia="zh-CN"/>
          </w:rPr>
          <m:t xml:space="preserve">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f>
          <m:num>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ᵢ</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w</m:t>
            </m:r>
            <m:r>
              <w:rPr>
                <w:rFonts w:ascii="Cambria Math" w:hAnsi="Cambria Math" w:cs="Cambria Math" w:eastAsia="Cambria Math" w:hint="eastAsia"/>
                <w:color w:val="000000"/>
                <w:b w:val="0"/>
                <w:bCs w:val="0"/>
                <w:i w:val="0"/>
                <w:iCs w:val="0"/>
                <w:sz w:val="22"/>
                <w:szCs w:val="22"/>
                <w:lang w:val="en-US" w:eastAsia="zh-CN"/>
              </w:rPr>
              <m:t xml:space="preserve">ᵢ</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I</m:t>
            </m:r>
            <m:r>
              <w:rPr>
                <w:rFonts w:ascii="Cambria Math" w:hAnsi="Cambria Math" w:cs="Cambria Math" w:eastAsia="Cambria Math" w:hint="eastAsia"/>
                <w:color w:val="000000"/>
                <w:b w:val="0"/>
                <w:bCs w:val="0"/>
                <w:i w:val="0"/>
                <w:iCs w:val="0"/>
                <w:sz w:val="22"/>
                <w:szCs w:val="22"/>
                <w:lang w:val="en-US" w:eastAsia="zh-CN"/>
              </w:rPr>
              <m:t xml:space="preserve">ᵢ</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m:t>
            </m:r>
          </m:num>
          <m:den>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ᵢ</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w</m:t>
            </m:r>
            <m:r>
              <w:rPr>
                <w:rFonts w:ascii="Cambria Math" w:hAnsi="Cambria Math" w:cs="Cambria Math" w:eastAsia="Cambria Math" w:hint="eastAsia"/>
                <w:color w:val="000000"/>
                <w:b w:val="0"/>
                <w:bCs w:val="0"/>
                <w:i w:val="0"/>
                <w:iCs w:val="0"/>
                <w:sz w:val="22"/>
                <w:szCs w:val="22"/>
                <w:lang w:val="en-US" w:eastAsia="zh-CN"/>
              </w:rPr>
              <m:t xml:space="preserve">ᵢ</m:t>
            </m:r>
          </m:den>
        </m:f>
      </m:oMath>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其中sᵢ为第i个历史样本相似度，Iᵢ(c)在该样本包含类型c时为1，否则为0。</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最多使用voteTopK=10条合格样本；每个样本权重只进入分母一次，但可同时给多个标签加权。supportCount为包含该标签的样本数。平方使0.9相似样本权重0.81高于0.6样本的0.36，前者影响约为后者2.25倍。</w:t>
      </w:r>
    </w:p>
    <w:tbl>
      <w:tblPr>
        <w:tblW w:type="auto" w:w="0"/>
        <w:tblLayout w:type="fixed"/>
        <w:tblLook w:firstColumn="1" w:firstRow="1" w:lastColumn="0" w:lastRow="0" w:noHBand="0" w:noVBand="1" w:val="04A0"/>
      </w:tblPr>
      <w:tblGrid>
        <w:gridCol w:w="6120"/>
        <w:gridCol w:w="3600"/>
      </w:tblGrid>
      <w:tr>
        <w:trPr>
          <w:tblHeader/>
        </w:trP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规则</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输出</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score &lt; 0.55</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该类型不进入常规投票结果</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score ≥ 0.80 且 supportCount ≥ 2</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HIGH</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score ≥ 0.55 但未同时达到HIGH条件</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CANDIDATE</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常规结果为空 且 第一名similarity ≥ 0.80</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第一名全部标签作为CANDIDATE兜底，score仍用投票得分</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常规结果为空 且 不满足强相似兜底</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NO_RELIABLE_MATCH</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结果先按score倒序，再按编码字符串排序。多标签得分总和可以大于1。候选不要求minSupportCount=2；该参数只约束语义HIGH。强相似兜底只有结果完全为空时才触发，不会给已有投票结果继续追加标签。</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9 类型49与71的计算案例</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下表取自用户提供的历史匹配记录，分析ID为b2ceb3aaec4c4a3f969489e0ebf38ea1，变化段落数据库ID为543。它说明历史证据如何变成类型得分；并不将数据库中前5条证据冒充完整10条投票输入。</w:t>
      </w:r>
    </w:p>
    <w:tbl>
      <w:tblPr>
        <w:tblW w:type="auto" w:w="0"/>
        <w:tblLayout w:type="fixed"/>
        <w:tblLook w:firstColumn="1" w:firstRow="1" w:lastColumn="0" w:lastRow="0" w:noHBand="0" w:noVBand="1" w:val="04A0"/>
      </w:tblPr>
      <w:tblGrid>
        <w:gridCol w:w="1872"/>
        <w:gridCol w:w="2592"/>
        <w:gridCol w:w="2592"/>
        <w:gridCol w:w="2664"/>
      </w:tblGrid>
      <w:tr>
        <w:trPr>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样本ID</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相似度s</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权重s²</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类型</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2447</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0.855138</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0.731261</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49</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2445</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0.750550</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0.563325</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49</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2468</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0.669767</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0.448588</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71</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2446</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0.668707</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0.447169</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49</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2473</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0.666498</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0.444220</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71</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tbl>
      <w:tblPr>
        <w:tblW w:type="auto" w:w="0"/>
        <w:tblLayout w:type="fixed"/>
        <w:tblLook w:firstColumn="1" w:firstRow="1" w:lastColumn="0" w:lastRow="0" w:noHBand="0" w:noVBand="1" w:val="04A0"/>
      </w:tblPr>
      <w:tblGrid>
        <w:gridCol w:w="1440"/>
        <w:gridCol w:w="1440"/>
        <w:gridCol w:w="3168"/>
        <w:gridCol w:w="3672"/>
      </w:tblGrid>
      <w:tr>
        <w:trPr>
          <w:tblHeader/>
        </w:trPr>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类型</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支持数</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权重之和</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仅5条得分</w:t>
            </w:r>
          </w:p>
        </w:tc>
      </w:tr>
      <w:tr>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49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3</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1.741755</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0.661117</w:t>
            </w:r>
          </w:p>
        </w:tc>
      </w:tr>
      <w:tr>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71</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0.892807</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0.338883</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总权重为2.63456277。仅按这5条计算，49得分约0.661117，支持数3：支持数达到2，但得分没达到0.80，因此是CANDIDATE。71得分约0.338883，小于0.55，不进入常规结果。因为49已入选，强相似兜底不再触发。</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第一条0.855138表达当前段落与样本2447接近，不是49的得分。三个历史段落共同支持的是段落543这一次分类，不会在合同汇总中变成三个变化段落。</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为什么最终合同可能返回空集合</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假设实际投票最终仍为候选49，且只有这一个不同的变化段落给出49，那么合同汇总缺少第二个候选段落，fileChangeTypeCodes可以为[]。这是条件推导，不是对现场完整结果的最终定论；还需查看段落等级、完整RESULT_JSON及实际voteTopK配置。</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MATCH_LOG默认只保存evidenceTopK=5条参考；现场截图相似度是数据库六位小数显示值，投票使用内存double值。因此仅用MATCH_LOG不能保证完全重算现场得分。49与71的业务名称应另查业务字典，本案例不猜测其含义。</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10 合同级汇总与两种支持数</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FileChangeTypeAggregator以本次变化段落的规范化基础文本为证据键。相同文本出现多次只算一个段落，合并它们的标签；同一文本同一类型同时出现HIGH和候选时以HIGH为准。只有MATCHED段落的类型参与合同汇总。</w:t>
      </w:r>
    </w:p>
    <w:tbl>
      <w:tblPr>
        <w:tblW w:type="auto" w:w="0"/>
        <w:tblLayout w:type="fixed"/>
        <w:tblLook w:firstColumn="1" w:firstRow="1" w:lastColumn="0" w:lastRow="0" w:noHBand="0" w:noVBand="1" w:val="04A0"/>
      </w:tblPr>
      <w:tblGrid>
        <w:gridCol w:w="5328"/>
        <w:gridCol w:w="1440"/>
        <w:gridCol w:w="2952"/>
      </w:tblGrid>
      <w:tr>
        <w:trPr>
          <w:tblHeader/>
        </w:trP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合同中的证据</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是否输出该类型</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解释</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任一段落该类型为HIGH</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是</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单段高可信即可</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仅一个不同段落为CANDIDATE</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否</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未达到两个不同段落</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两个不同规范化段落均为CANDIDATE</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是</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达到候选共同支持要求</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同一规范化文本重复两次均为候选</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否</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文本去重后只算一次</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历史3条支持但本合同仅1个候选段落</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否</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历史支持数不是合同段落数</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段落FAILED NO_RELIABLE_MATCH或超长</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不贡献</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无可用预测标签</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算法伪代码</w:t>
      </w:r>
    </w:p>
    <w:p>
      <w:pPr>
        <w:spacing w:line="252" w:lineRule="auto"/>
        <w:rPr>
          <w:rFonts w:ascii="Consolas" w:hAnsi="Consolas" w:cs="Consolas" w:eastAsia="SimSun" w:hint="eastAsia"/>
          <w:color w:val="000000"/>
          <w:b w:val="0"/>
          <w:bCs w:val="0"/>
          <w:i w:val="0"/>
          <w:iCs w:val="0"/>
          <w:sz w:val="18"/>
          <w:szCs w:val="18"/>
          <w:lang w:val="en-US" w:eastAsia="zh-CN"/>
        </w:rPr>
      </w:pPr>
      <w:r>
        <w:rPr>
          <w:rFonts w:ascii="Consolas" w:hAnsi="Consolas" w:cs="Consolas" w:eastAsia="SimSun" w:hint="eastAsia"/>
          <w:sz w:val="18"/>
          <w:color w:val="000000"/>
          <w:b w:val="0"/>
          <w:bCs w:val="0"/>
          <w:i w:val="0"/>
          <w:iCs w:val="0"/>
          <w:szCs w:val="18"/>
          <w:lang w:val="en-US" w:eastAsia="zh-CN"/>
        </w:rPr>
        <w:t>按 normalizedBaseText 合并段落的标签及等级</w:t>
        <w:br/>
        <w:t>对每个类型c统计：</w:t>
        <w:br/>
        <w:t xml:space="preserve">  hasHigh = 是否存在任一不同文本给出HIGH</w:t>
        <w:br/>
        <w:t xml:space="preserve">  candidateParagraphCount = 给出候选的不同文本数</w:t>
        <w:br/>
        <w:t xml:space="preserve">  若 hasHigh 或 candidateParagraphCount &gt;= 2：收录c</w:t>
        <w:br/>
        <w:t>最后用TreeSet去重并按编码字符串排序</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汇总使用基础变化文本，而不是上下文兜底拼接文本。同一基础段落因不同条款上下文得到不同标签时，仍只算一个文本证据，每种标签最多贡献一次。输出排序为字符串字典序，不是数值大小排序。</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历史supportCount衡量该段落分类的历史支持；candidateParagraphCount衡量本次合同内重复出现的候选证据。两者处于不同层级。当前汇总不进一步按候选score累计，也不判断两个段落是否来自同一条款或是否语义重复。</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11 compare分析编排与事务时序</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ContractChangeAnalysisService是当前 /compare 主链路。先校验元数据和活动路径，再生成去除连字符的UUID作为analysisId。instId关联业务流程，可多次分析；analysisId区分每一次调用，不能只按instId取第一条记录。</w:t>
      </w:r>
    </w:p>
    <w:tbl>
      <w:tblPr>
        <w:tblW w:type="auto" w:w="0"/>
        <w:tblLayout w:type="fixed"/>
        <w:tblLook w:firstColumn="1" w:firstRow="1" w:lastColumn="0" w:lastRow="0" w:noHBand="0" w:noVBand="1" w:val="04A0"/>
      </w:tblPr>
      <w:tblGrid>
        <w:gridCol w:w="936"/>
        <w:gridCol w:w="4536"/>
        <w:gridCol w:w="4248"/>
      </w:tblGrid>
      <w:tr>
        <w:trPr>
          <w:tblHeader/>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顺序</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动作</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数据库边界</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1</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校验请求及选择Extractor</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校验失败时尚未创建分析记录</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createProcessing写主表PROCESSING</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REQUIRES_NEW独立事务提交</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3</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SFTP读取并提取基础变化</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不把外部文件处理放在长写事务中</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4</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预测段落并汇总类型</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模型调用不占最终落库事务</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5</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序列化完整JSON并持久化结果</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段落 参考证据及主表更新同事务</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6</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返回analysisId codes status</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精简响应不返回全部变化明细</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异常</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markFailed记录异常及耗时</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REQUIRES_NEW，保留主记录审计</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在createProcessing之前发生的校验错误没有本次主记录。createProcessing自身失败也无法依靠后续catch留痕。进入分析try后发生异常，则尝试独立更新FAILED；失败留痕若再出错，会作为suppressed异常附加，不伪造已成功落库。</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精简响应示例</w:t>
      </w:r>
    </w:p>
    <w:p>
      <w:pPr>
        <w:spacing w:line="252" w:lineRule="auto"/>
        <w:rPr>
          <w:rFonts w:ascii="Consolas" w:hAnsi="Consolas" w:cs="Consolas" w:eastAsia="SimSun" w:hint="eastAsia"/>
          <w:color w:val="000000"/>
          <w:b w:val="0"/>
          <w:bCs w:val="0"/>
          <w:i w:val="0"/>
          <w:iCs w:val="0"/>
          <w:sz w:val="18"/>
          <w:szCs w:val="18"/>
          <w:lang w:val="en-US" w:eastAsia="zh-CN"/>
        </w:rPr>
      </w:pPr>
      <w:r>
        <w:rPr>
          <w:rFonts w:ascii="Consolas" w:hAnsi="Consolas" w:cs="Consolas" w:eastAsia="SimSun" w:hint="eastAsia"/>
          <w:sz w:val="18"/>
          <w:color w:val="000000"/>
          <w:b w:val="0"/>
          <w:bCs w:val="0"/>
          <w:i w:val="0"/>
          <w:iCs w:val="0"/>
          <w:szCs w:val="18"/>
          <w:lang w:val="en-US" w:eastAsia="zh-CN"/>
        </w:rPr>
        <w:t>{"code":200,"message":"操作成功","data":{</w:t>
        <w:br/>
        <w:t xml:space="preserve"> "analysisId":"&lt;本次UUID&gt;",</w:t>
        <w:br/>
        <w:t xml:space="preserve"> "fileChangeTypeCodes":["49"],</w:t>
        <w:br/>
        <w:t xml:space="preserve"> "analysisStatus":"SUCCESS"}}</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当前源码成功业务code为200。用户现场截图曾显示code=0并带success=true，这与当前包装类并不一致，应以现场部署版本或外层包装为准，不能直接据截图认定源码当前返回结构相同。完整变化与预测结果保存在HT_ANALYSIS_LOG.RESULT_JSON。</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12 文件读取与Aspose比较</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主备SFTP与格式检查</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先按活动路径从主SFTP读取，逐块累计大小，默认单份上限52428800字节即50MiB。下载后先检查至少4字节且前两字节为PK；这只是ZIP头初筛，不证明文档一定可解析。主下载、大小或头校验失败会尝试备用SFTP的同一路径。</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若主文件通过头校验但后来Aspose解析失败，当前Loader不自动回到备用服务器再试。这个边界不同于“任何解析失败都能切备”。完整文档有效性与加密检查由Aspose加载阶段处理。</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比较前视为最终稿</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Aspose检测实际格式，加载器接受DOCX DOCM DOTX DOTM对应格式，拒绝加密或非支持文档。若文件已有Word修订，先acceptAllRevisions，按接受修订后的最终文本比较，不分析文件原有修订历史。</w:t>
      </w:r>
    </w:p>
    <w:tbl>
      <w:tblPr>
        <w:tblW w:type="auto" w:w="0"/>
        <w:tblLayout w:type="fixed"/>
        <w:tblLook w:firstColumn="1" w:firstRow="1" w:lastColumn="0" w:lastRow="0" w:noHBand="0" w:noVBand="1" w:val="04A0"/>
      </w:tblPr>
      <w:tblGrid>
        <w:gridCol w:w="3600"/>
        <w:gridCol w:w="6120"/>
      </w:tblGrid>
      <w:tr>
        <w:trPr>
          <w:tblHeader/>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CompareOptions</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当前设置</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格式 样式相关变化</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ignoreFormatting=true；抽取信号时跳过FORMAT_CHANGE和STYLE_DEFINITION_CHANGE</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批注 页眉页脚 脚注 域</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对应ignore选项为true，不作为主要比较对象</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表格 文本框</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ignoreTables=false ignoreTextboxes=false</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比较目标</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ComparisonTargetType.NEW</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正文修订信号</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提取修订类型 所在段落文本及段落索引</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两份Document先深拷贝再compare，保留原始加载后的最终稿供结构解析。Revision信号用来做定位与诊断；最终ClauseChange主要由结构匹配和文本差异合并生成，不是简单按Aspose修订条数输出。</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Aspose配置允许比较文本框，不代表项目结构解析器独立完整遍历每个文本框。复杂对象、编号和表格布局仍应以项目实际解析与人工复核结果为准。</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13 合同结构解析与标题层级</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ContractStructureParser按Section正文顶层节点读取Paragraph和Table，跳过空段落及目录样式段落。先更新Word自动编号显示标签，再将正文组织为Clause节点及父子层级。</w:t>
      </w:r>
    </w:p>
    <w:tbl>
      <w:tblPr>
        <w:tblW w:type="auto" w:w="0"/>
        <w:tblLayout w:type="fixed"/>
        <w:tblLook w:firstColumn="1" w:firstRow="1" w:lastColumn="0" w:lastRow="0" w:noHBand="0" w:noVBand="1" w:val="04A0"/>
      </w:tblPr>
      <w:tblGrid>
        <w:gridCol w:w="3888"/>
        <w:gridCol w:w="5832"/>
      </w:tblGrid>
      <w:tr>
        <w:trPr>
          <w:tblHeader/>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识别方式</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层级或行为</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第某章 节 部分 编 篇</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当前规则赋层级1</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第某条</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层级1，识别条款编号及剩余标题</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括号编号例如（一）或(1)</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层级2</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数字编号例如1 1.2 1.2.3</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点分段数决定层级，避免部分日期样式误识别</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Word自动编号</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listLevelNumber+1，补显示编号</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Word标题样式</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outlineLevel+1，限制1至9</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无当前条款的普通文本</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短文本可作合成标题，长文本归合同主体信息</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签署页等签署起始文本</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合成签署信息节点</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表格</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行内单元格以竖线分隔，行间换行，附到当前Clause</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维护层级栈：新节点到来时，弹出层级大于等于自己的节点，剩余栈顶成为父节点。Clause保存编号 标题 层级 顺序 contentParts 子节点及正文段落索引。数字或括号标题余文超过40字符或含明显句末标点时，标题字段可为空，原文仍保留在内容中。</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章和条都可能被赋层级1，因此层级是此规则解析出的结构，不保证完全等同于所有合同的法律章节树。表格被转换为文本后参与匹配，不保留布局作为独立相似度特征。</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两种规范化不要混用</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合同基础比对的ContractCompareText.normalize删除全部空白并转小写；向量分类的ContractTextNormalizer压缩空白但保留空格与大小写。前者容忍排版与大小写变化，后者同时服务导入Hash和模型输入。不能用一种规范化的Hash或分数替代另一种。</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14 新旧条款匹配与Dice算法</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lauseComparisonEngine先匹配相同可比内容，再匹配剩余节点中两边唯一的相同标题，最后对剩余条款模糊匹配。可比内容仅用节点自身文本，并移除开头的条款编号，避免单纯重新编号被当成正文变化。完全相同内容存在多个候选时优先位置最接近者。</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字符二元组Dice</w:t>
      </w:r>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D</m:t>
        </m:r>
        <m:r>
          <w:rPr>
            <w:rFonts w:ascii="Cambria Math" w:hAnsi="Cambria Math" w:cs="Cambria Math" w:eastAsia="Cambria Math" w:hint="eastAsia"/>
            <w:color w:val="000000"/>
            <w:b w:val="0"/>
            <w:bCs w:val="0"/>
            <w:i w:val="0"/>
            <w:iCs w:val="0"/>
            <w:sz w:val="22"/>
            <w:szCs w:val="22"/>
            <w:lang w:val="en-US" w:eastAsia="zh-CN"/>
          </w:rPr>
          <m:t xml:space="preserve">i</m:t>
        </m:r>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A</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B</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f>
          <m:num>
            <m:r>
              <w:rPr>
                <w:rFonts w:ascii="Cambria Math" w:hAnsi="Cambria Math" w:cs="Cambria Math" w:eastAsia="Cambria Math" w:hint="eastAsia"/>
                <w:color w:val="000000"/>
                <w:b w:val="0"/>
                <w:bCs w:val="0"/>
                <w:i w:val="0"/>
                <w:iCs w:val="0"/>
                <w:sz w:val="22"/>
                <w:szCs w:val="22"/>
                <w:lang w:val="en-US" w:eastAsia="zh-CN"/>
              </w:rPr>
              <m:t xml:space="preserve">2</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I</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A</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B</m:t>
            </m:r>
            <m:r>
              <w:rPr>
                <w:rFonts w:ascii="Cambria Math" w:hAnsi="Cambria Math" w:cs="Cambria Math" w:eastAsia="Cambria Math" w:hint="eastAsia"/>
                <w:color w:val="000000"/>
                <w:b w:val="0"/>
                <w:bCs w:val="0"/>
                <w:i w:val="0"/>
                <w:iCs w:val="0"/>
                <w:sz w:val="22"/>
                <w:szCs w:val="22"/>
                <w:lang w:val="en-US" w:eastAsia="zh-CN"/>
              </w:rPr>
              <m:t xml:space="preserve">)</m:t>
            </m:r>
          </m:num>
          <m:den>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A</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B</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m:t>
            </m:r>
          </m:den>
        </m:f>
      </m:oMath>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A与B是规范化后的字符串，|A|为字符长度；I(A,B)是各二元组在两边出现次数较小值的总和。</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例如“合同修改”的二元组为合同 同修 修改；“合同变更”为合同 同变 变更，共同二元组1个，总数3+3，Dice为2/6约0.3333。实现统计重复二元组次数，是多重集合比较；完全相同文本直接为1，单字不相同为0。</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条款组合分数</w:t>
      </w:r>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S</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f>
          <m:num>
            <m:r>
              <w:rPr>
                <w:rFonts w:ascii="Cambria Math" w:hAnsi="Cambria Math" w:cs="Cambria Math" w:eastAsia="Cambria Math" w:hint="eastAsia"/>
                <w:color w:val="000000"/>
                <w:b w:val="0"/>
                <w:bCs w:val="0"/>
                <w:i w:val="0"/>
                <w:iCs w:val="0"/>
                <w:sz w:val="22"/>
                <w:szCs w:val="22"/>
                <w:lang w:val="en-US" w:eastAsia="zh-CN"/>
              </w:rPr>
              <m:t xml:space="preserve">0</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6</m:t>
            </m:r>
            <m:r>
              <w:rPr>
                <w:rFonts w:ascii="Cambria Math" w:hAnsi="Cambria Math" w:cs="Cambria Math" w:eastAsia="Cambria Math" w:hint="eastAsia"/>
                <w:color w:val="000000"/>
                <w:b w:val="0"/>
                <w:bCs w:val="0"/>
                <w:i w:val="0"/>
                <w:iCs w:val="0"/>
                <w:sz w:val="22"/>
                <w:szCs w:val="22"/>
                <w:lang w:val="en-US" w:eastAsia="zh-CN"/>
              </w:rPr>
              <m:t xml:space="preserve">0</m:t>
            </m:r>
            <m:r>
              <w:rPr>
                <w:rFonts w:ascii="Cambria Math" w:hAnsi="Cambria Math" w:cs="Cambria Math" w:eastAsia="Cambria Math" w:hint="eastAsia"/>
                <w:color w:val="000000"/>
                <w:b w:val="0"/>
                <w:bCs w:val="0"/>
                <w:i w:val="0"/>
                <w:iCs w:val="0"/>
                <w:sz w:val="22"/>
                <w:szCs w:val="22"/>
                <w:lang w:val="en-US" w:eastAsia="zh-CN"/>
              </w:rPr>
              <m:t xml:space="preserve"> </m:t>
            </m:r>
            <m:sSub>
              <m:e>
                <m:r>
                  <w:rPr>
                    <w:rFonts w:ascii="Cambria Math" w:hAnsi="Cambria Math" w:cs="Cambria Math" w:eastAsia="Cambria Math" w:hint="eastAsia"/>
                    <w:color w:val="000000"/>
                    <w:b w:val="0"/>
                    <w:bCs w:val="0"/>
                    <w:i w:val="0"/>
                    <w:iCs w:val="0"/>
                    <w:sz w:val="22"/>
                    <w:szCs w:val="22"/>
                    <w:lang w:val="en-US" w:eastAsia="zh-CN"/>
                  </w:rPr>
                  <m:t xml:space="preserve">D</m:t>
                </m:r>
              </m:e>
              <m:sub>
                <m:r>
                  <w:rPr>
                    <w:rFonts w:ascii="Cambria Math" w:hAnsi="Cambria Math" w:cs="Cambria Math" w:eastAsia="Cambria Math" w:hint="eastAsia"/>
                    <w:color w:val="000000"/>
                    <w:b w:val="0"/>
                    <w:bCs w:val="0"/>
                    <w:i w:val="0"/>
                    <w:iCs w:val="0"/>
                    <w:sz w:val="22"/>
                    <w:szCs w:val="22"/>
                    <w:lang w:val="en-US" w:eastAsia="zh-CN"/>
                  </w:rPr>
                  <m:t xml:space="preserve">c</m:t>
                </m:r>
              </m:sub>
            </m:sSub>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0</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2</m:t>
            </m:r>
            <m:r>
              <w:rPr>
                <w:rFonts w:ascii="Cambria Math" w:hAnsi="Cambria Math" w:cs="Cambria Math" w:eastAsia="Cambria Math" w:hint="eastAsia"/>
                <w:color w:val="000000"/>
                <w:b w:val="0"/>
                <w:bCs w:val="0"/>
                <w:i w:val="0"/>
                <w:iCs w:val="0"/>
                <w:sz w:val="22"/>
                <w:szCs w:val="22"/>
                <w:lang w:val="en-US" w:eastAsia="zh-CN"/>
              </w:rPr>
              <m:t xml:space="preserve">5</m:t>
            </m:r>
            <m:r>
              <w:rPr>
                <w:rFonts w:ascii="Cambria Math" w:hAnsi="Cambria Math" w:cs="Cambria Math" w:eastAsia="Cambria Math" w:hint="eastAsia"/>
                <w:color w:val="000000"/>
                <w:b w:val="0"/>
                <w:bCs w:val="0"/>
                <w:i w:val="0"/>
                <w:iCs w:val="0"/>
                <w:sz w:val="22"/>
                <w:szCs w:val="22"/>
                <w:lang w:val="en-US" w:eastAsia="zh-CN"/>
              </w:rPr>
              <m:t xml:space="preserve"> </m:t>
            </m:r>
            <m:sSub>
              <m:e>
                <m:r>
                  <w:rPr>
                    <w:rFonts w:ascii="Cambria Math" w:hAnsi="Cambria Math" w:cs="Cambria Math" w:eastAsia="Cambria Math" w:hint="eastAsia"/>
                    <w:color w:val="000000"/>
                    <w:b w:val="0"/>
                    <w:bCs w:val="0"/>
                    <w:i w:val="0"/>
                    <w:iCs w:val="0"/>
                    <w:sz w:val="22"/>
                    <w:szCs w:val="22"/>
                    <w:lang w:val="en-US" w:eastAsia="zh-CN"/>
                  </w:rPr>
                  <m:t xml:space="preserve">D</m:t>
                </m:r>
              </m:e>
              <m:sub>
                <m:r>
                  <w:rPr>
                    <w:rFonts w:ascii="Cambria Math" w:hAnsi="Cambria Math" w:cs="Cambria Math" w:eastAsia="Cambria Math" w:hint="eastAsia"/>
                    <w:color w:val="000000"/>
                    <w:b w:val="0"/>
                    <w:bCs w:val="0"/>
                    <w:i w:val="0"/>
                    <w:iCs w:val="0"/>
                    <w:sz w:val="22"/>
                    <w:szCs w:val="22"/>
                    <w:lang w:val="en-US" w:eastAsia="zh-CN"/>
                  </w:rPr>
                  <m:t xml:space="preserve">t</m:t>
                </m:r>
              </m:sub>
            </m:sSub>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0</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5</m:t>
            </m:r>
            <m:r>
              <w:rPr>
                <w:rFonts w:ascii="Cambria Math" w:hAnsi="Cambria Math" w:cs="Cambria Math" w:eastAsia="Cambria Math" w:hint="eastAsia"/>
                <w:color w:val="000000"/>
                <w:b w:val="0"/>
                <w:bCs w:val="0"/>
                <w:i w:val="0"/>
                <w:iCs w:val="0"/>
                <w:sz w:val="22"/>
                <w:szCs w:val="22"/>
                <w:lang w:val="en-US" w:eastAsia="zh-CN"/>
              </w:rPr>
              <m:t xml:space="preserve"> </m:t>
            </m:r>
            <m:sSub>
              <m:e>
                <m:r>
                  <w:rPr>
                    <w:rFonts w:ascii="Cambria Math" w:hAnsi="Cambria Math" w:cs="Cambria Math" w:eastAsia="Cambria Math" w:hint="eastAsia"/>
                    <w:color w:val="000000"/>
                    <w:b w:val="0"/>
                    <w:bCs w:val="0"/>
                    <w:i w:val="0"/>
                    <w:iCs w:val="0"/>
                    <w:sz w:val="22"/>
                    <w:szCs w:val="22"/>
                    <w:lang w:val="en-US" w:eastAsia="zh-CN"/>
                  </w:rPr>
                  <m:t xml:space="preserve">D</m:t>
                </m:r>
              </m:e>
              <m:sub>
                <m:r>
                  <w:rPr>
                    <w:rFonts w:ascii="Cambria Math" w:hAnsi="Cambria Math" w:cs="Cambria Math" w:eastAsia="Cambria Math" w:hint="eastAsia"/>
                    <w:color w:val="000000"/>
                    <w:b w:val="0"/>
                    <w:bCs w:val="0"/>
                    <w:i w:val="0"/>
                    <w:iCs w:val="0"/>
                    <w:sz w:val="22"/>
                    <w:szCs w:val="22"/>
                    <w:lang w:val="en-US" w:eastAsia="zh-CN"/>
                  </w:rPr>
                  <m:t xml:space="preserve">x</m:t>
                </m:r>
              </m:sub>
            </m:sSub>
          </m:num>
          <m:den>
            <m:r>
              <w:rPr>
                <w:rFonts w:ascii="Cambria Math" w:hAnsi="Cambria Math" w:cs="Cambria Math" w:eastAsia="Cambria Math" w:hint="eastAsia"/>
                <w:color w:val="000000"/>
                <w:b w:val="0"/>
                <w:bCs w:val="0"/>
                <w:i w:val="0"/>
                <w:iCs w:val="0"/>
                <w:sz w:val="22"/>
                <w:szCs w:val="22"/>
                <w:lang w:val="en-US" w:eastAsia="zh-CN"/>
              </w:rPr>
              <m:t xml:space="preserve">W</m:t>
            </m:r>
          </m:den>
        </m:f>
      </m:oMath>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D_c D_t D_x分别为内容、标题和上下文Dice；W为有效特征权重之和，缺失的特征从分子和分母同时去除。</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内容是各条款ownContent去编号后的规范文本；标题使用title；上下文由父标题、前后邻接条款标题拼接。只有两边该特征非空才计入分子和分母；缺失标题时并非仍按总权重1除。</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例如内容Dice=0.90、标题=0.80、上下文=0.60，三项都有效，分数为0.54+0.20+0.09=0.83。若缺标题，则分母为0.75，按内容与上下文权重重新归一化。</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模糊匹配要求第一名S≥0.80，且第一名比第二名至少高0.10。不够分或差距不足不匹配，歧义写warnings。各旧条款的最佳候选按分数倒序贪心占用新条款，保证一对一；不是全局最优二分图匹配，也不会自动将一个旧条款对应多个新条款。</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未匹配新节点形成新增，未匹配旧节点形成删除；若父节点已整段新增或删除，不重复输出子节点。已匹配但可比内容不同才输出修改。仅编号或忽略后的排版变化可能不进入业务变化列表。</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15 段落对齐与Myers精细差异</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段落级动态规划</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每个匹配条款的contentParts形成旧新段落序列。用编辑距离动态规划对齐：相同段落代价0，替换 删除 插入代价均为1。首个内容段落比较时可去除条款编号，其他段落保留原文语义。</w:t>
      </w:r>
    </w:p>
    <w:p>
      <w:pPr>
        <w:spacing w:line="293" w:lineRule="auto" w:after="160"/>
        <w:jc w:val="center"/>
        <w:rPr>
          <w:rFonts w:ascii="Times New Roman" w:hAnsi="Times New Roman" w:cs="Times New Roman" w:eastAsia="SimSun" w:hint="eastAsia"/>
          <w:color w:val="000000"/>
          <w:b w:val="0"/>
          <w:bCs w:val="0"/>
          <w:i w:val="0"/>
          <w:iCs w:val="0"/>
          <w:sz w:val="22"/>
          <w:szCs w:val="22"/>
          <w:lang w:val="en-US" w:eastAsia="zh-CN"/>
        </w:rPr>
      </w:pPr>
      <m:oMath>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i</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j</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m:t>
        </m:r>
        <m:r>
          <w:rPr>
            <w:rFonts w:ascii="Cambria Math" w:hAnsi="Cambria Math" w:cs="Cambria Math" w:eastAsia="Cambria Math" w:hint="eastAsia"/>
            <w:color w:val="000000"/>
            <w:b w:val="0"/>
            <w:bCs w:val="0"/>
            <w:i w:val="0"/>
            <w:iCs w:val="0"/>
            <w:sz w:val="22"/>
            <w:szCs w:val="22"/>
            <w:lang w:val="en-US" w:eastAsia="zh-CN"/>
          </w:rPr>
          <m:t xml:space="preserve">i</m:t>
        </m:r>
        <m:r>
          <w:rPr>
            <w:rFonts w:ascii="Cambria Math" w:hAnsi="Cambria Math" w:cs="Cambria Math" w:eastAsia="Cambria Math" w:hint="eastAsia"/>
            <w:color w:val="000000"/>
            <w:b w:val="0"/>
            <w:bCs w:val="0"/>
            <w:i w:val="0"/>
            <w:iCs w:val="0"/>
            <w:sz w:val="22"/>
            <w:szCs w:val="22"/>
            <w:lang w:val="en-US" w:eastAsia="zh-CN"/>
          </w:rPr>
          <m:t xml:space="preserve">n</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i</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j</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δ</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i</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j</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C</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i</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j</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m:t>
        </m:r>
        <m:r>
          <w:rPr>
            <w:rFonts w:ascii="Cambria Math" w:hAnsi="Cambria Math" w:cs="Cambria Math" w:eastAsia="Cambria Math" w:hint="eastAsia"/>
            <w:color w:val="000000"/>
            <w:b w:val="0"/>
            <w:bCs w:val="0"/>
            <w:i w:val="0"/>
            <w:iCs w:val="0"/>
            <w:sz w:val="22"/>
            <w:szCs w:val="22"/>
            <w:lang w:val="en-US" w:eastAsia="zh-CN"/>
          </w:rPr>
          <m:t xml:space="preserve">1</m:t>
        </m:r>
        <m:r>
          <w:rPr>
            <w:rFonts w:ascii="Cambria Math" w:hAnsi="Cambria Math" w:cs="Cambria Math" w:eastAsia="Cambria Math" w:hint="eastAsia"/>
            <w:color w:val="000000"/>
            <w:b w:val="0"/>
            <w:bCs w:val="0"/>
            <w:i w:val="0"/>
            <w:iCs w:val="0"/>
            <w:sz w:val="22"/>
            <w:szCs w:val="22"/>
            <w:lang w:val="en-US" w:eastAsia="zh-CN"/>
          </w:rPr>
          <m:t xml:space="preserve"> </m:t>
        </m:r>
        <m:r>
          <w:rPr>
            <w:rFonts w:ascii="Cambria Math" w:hAnsi="Cambria Math" w:cs="Cambria Math" w:eastAsia="Cambria Math" w:hint="eastAsia"/>
            <w:color w:val="000000"/>
            <w:b w:val="0"/>
            <w:bCs w:val="0"/>
            <w:i w:val="0"/>
            <w:iCs w:val="0"/>
            <w:sz w:val="22"/>
            <w:szCs w:val="22"/>
            <w:lang w:val="en-US" w:eastAsia="zh-CN"/>
          </w:rPr>
          <m:t xml:space="preserve">)</m:t>
        </m:r>
      </m:oMath>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C表示cost；δ在两段相同时为0，否则为1。</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初始化cost(i,0)=i、cost(0,j)=j，填表后回溯。同代价时优先对角线，再考虑插入和删除。相等项不输出，其余成为MODIFIED ADDED DELETED变化段落。这是一种顺序文本对齐，不是对每个段落再做Embedding匹配。复杂度为O(mn)时间和空间。</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修改段落的文字差异</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新增或删除直接返回整段INSERTED或DELETED。修改时，若两段Dice&lt;0.35，直接整段REPLACED；否则进行分词和Myers最短编辑脚本，生成更细的INSERTED DELETED REPLACED片段。</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分词忽略空白和Word控制字符7。中文等默认按Unicode码点，英文单词按字母 数字 下划线 连字符组成词；数字 比例 日期 范围和版本号尽量作为整体。Token保存原文起止位置，比较key转小写，最后从原文截取差异内容，避免显示被分词改写。</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先去除相同Token前缀与后缀，减少中间差异规模。如果旧新中间Token总数超过2000，停止精细算法；无可靠细分结果时退回整段替换。2000是差异Token保护值，与分类5000字符上限不是一个参数。</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Myers如何工作</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把旧序列位置x与新序列位置y组成编辑图；相同Token沿对角线免费前进，插入或删除消耗一步。算法逐渐增大编辑距离D，在每条对角线上保留最远可达位置，命中终点后根据trace回溯出最短插删路径。相邻非相等原子聚合为插入 删除或替换。此实现保存每层数组快照，最坏内存代价较高，故需要Token上限。</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示例“认购后完成评估”改为“认购前完成评估”，共同前后缀剔除后，输出“后”替换为“前”。比例或日期作为整体有助于展示完整数值变化，而不是散落的单个字符。</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16 单文件变更函提取规则</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CHANGE_DOCUMENT不从完整旧新合同寻找差异，而是读取补充协议 征询意见函或协商函中已经描述的变更内容。ChangeDocumentExtractionService把正文段落和表格转为顺序TextBlock，自动编号前缀可补回。</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识别变更标题并分段</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常规标题需要数字序号、“《基金合同》”，以及约定如下、如下约定、增加、新增、删除、修改或变更等词。特殊标题识别“自本协议或函件变更执行日起”并带基金合同引用和变更动作。每个标题到下一个标题之间形成一个变更段。未找到标题直接业务报错。</w:t>
      </w:r>
    </w:p>
    <w:tbl>
      <w:tblPr>
        <w:tblW w:type="auto" w:w="0"/>
        <w:tblLayout w:type="fixed"/>
        <w:tblLook w:firstColumn="1" w:firstRow="1" w:lastColumn="0" w:lastRow="0" w:noHBand="0" w:noVBand="1" w:val="04A0"/>
      </w:tblPr>
      <w:tblGrid>
        <w:gridCol w:w="3168"/>
        <w:gridCol w:w="6552"/>
      </w:tblGrid>
      <w:tr>
        <w:trPr>
          <w:tblHeader/>
        </w:trP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标题与标记</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提取方式</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删除</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后续逻辑内容作为oldContent</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增加或新增</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后续逻辑内容作为newContent</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修改或其他默认修改</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以“内容变更如下”标记切分old和new</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同时含删除与新增</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按MODIFIED；有标记则正常切分，无标记按标题最后动作选择一侧并告警</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双引号包裹内容</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按支持的中文 英文或全角双引号读取，可跨段且处理中文嵌套</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标记后无引号</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newContent仅取后续第一块，不自动拼接全部剩余内容</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找不到修改标记时返回逻辑内容为旧侧、新侧为空并提示人工复核；不凭空生成修改后的文本。引号未闭合、旧新内容缺失或标题后为空都形成warning。目标条款引用由标题中《基金合同》起始部分去除动作后缀得到。</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一个变更标题通常输出一个逻辑ChangedParagraph，其文本可跨多个Word段落。因此“两个不同候选变化段落”的汇总门槛在单标题变更函中尤其容易不满足，不能把排版段落数量直接当作汇总支持数。</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提取到旧新内容后复用ClauseComparisonEngine.describeTextChange生成基础细节。这里依赖明确的文档格式和标记，不是通用语义阅读；格式差异、表格复杂文本和非标准措辞可能影响提取完整性。</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17 变化段落预测与上下文兜底</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ContractComparePredictionService对新增和修改取newContent，对删除取oldContent。规范化后相同基础文本分组，批量调用predictBatchLenient，并把同一结果回填到相同输入的目标段落。空内容标FAILED，超长标SKIPPED_TOO_LONG。</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宽容批量预测先保留Hash精确命中，再对剩余输入分批向量化。某批网关失败只把该批输入标FAILED，其他成功批次与EXACT结果保留。这区别于导入或单段严格predict链路遇错整体抛出。</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只有无可靠匹配才再试上下文</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仅PREDICTION_STATUS=NO_RELIABLE_MATCH时构造补充输入。FAILED和超长不会靠上下文重试；已返回CANDIDATE的段落也不因此自动再次识别。</w:t>
      </w:r>
    </w:p>
    <w:tbl>
      <w:tblPr>
        <w:tblW w:type="auto" w:w="0"/>
        <w:tblLayout w:type="fixed"/>
        <w:tblLook w:firstColumn="1" w:firstRow="1" w:lastColumn="0" w:lastRow="0" w:noHBand="0" w:noVBand="1" w:val="04A0"/>
      </w:tblPr>
      <w:tblGrid>
        <w:gridCol w:w="2520"/>
        <w:gridCol w:w="7200"/>
      </w:tblGrid>
      <w:tr>
        <w:trPr>
          <w:tblHeader/>
        </w:trP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模式</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兜底输入</w:t>
            </w:r>
          </w:p>
        </w:tc>
      </w:tr>
      <w:t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DOUBLE_VERSION</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条款编号 标题等加当前目标段落，余量用于旧侧或新侧条款周边文本</w:t>
            </w:r>
          </w:p>
        </w:tc>
      </w:tr>
      <w:t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CHANGE_DOCUMENT</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来源标题 目标条款等加当前目标文本，不补完整条款正文</w:t>
            </w:r>
          </w:p>
        </w:tc>
      </w:tr>
      <w:t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预算优先级</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目标段落不能被截断；标题按剩余预算缩短，再分配前后周边内容</w:t>
            </w:r>
          </w:p>
        </w:tc>
      </w:tr>
      <w:t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输出等级</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凡fallbackUsed=true的兜底结果，所有类型统一降为CANDIDATE</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兜底结果保存实际predictionText和OLD_CONTEXT或NEW_CONTEXT，替换原段落的预测对象。文件汇总仍以基础old/new段落文本去重，因此不能靠同一段落不同上下文制造两个独立证据。</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MATCHED指已有非空类型结果，可以只是候选；NO_RELIABLE_MATCH指正常执行但未得到类型；FAILED是执行或输入失败；SKIPPED_TOO_LONG是超限未识别。matchType另区分EXACT SEMANTIC NO_RELIABLE_MATCH，不能把MATCHED理解为HIGH。</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上下文降级的业务理由是：标题或整条款可能提供强主题信号，但并非当前变化内容本身。代价是单段上下文命中不能直接进入文件级结果，即使上下文包含精确历史文本。</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18 分析结果与三张审计表</w:t>
      </w:r>
    </w:p>
    <w:tbl>
      <w:tblPr>
        <w:tblW w:type="auto" w:w="0"/>
        <w:tblLayout w:type="fixed"/>
        <w:tblLook w:firstColumn="1" w:firstRow="1" w:lastColumn="0" w:lastRow="0" w:noHBand="0" w:noVBand="1" w:val="04A0"/>
      </w:tblPr>
      <w:tblGrid>
        <w:gridCol w:w="3384"/>
        <w:gridCol w:w="3960"/>
        <w:gridCol w:w="2376"/>
      </w:tblGrid>
      <w:tr>
        <w:trPr>
          <w:tblHeader/>
        </w:trP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表</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主要内容</w:t>
            </w:r>
          </w:p>
        </w:tc>
        <w:tc>
          <w:tcPr>
            <w:tcW w:type="dxa" w:w="23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关联</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HT_ANALYSIS_LOG</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流程ID 操作人 类型 路径 状态 耗时 模型 代码集合 RESULT_JSON 错误</w:t>
            </w:r>
          </w:p>
        </w:tc>
        <w:tc>
          <w:tcPr>
            <w:tcW w:type="dxa" w:w="23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ANALYSIS_ID定位一次分析</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HT_ANALYSIS_PARA_LOG</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条款和变化段落 旧新内容 实际预测文本 状态 输入范围 标签 最大相似度 匹配方式 兜底标记</w:t>
            </w:r>
          </w:p>
        </w:tc>
        <w:tc>
          <w:tcPr>
            <w:tcW w:type="dxa" w:w="23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ANALYSIS_ID连主表；ID是证据的PARAGRAPH_LOG_ID</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HT_ANALYSIS_MATCH_LOG</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历史样本ID 相似度 历史类型串 排名</w:t>
            </w:r>
          </w:p>
        </w:tc>
        <w:tc>
          <w:tcPr>
            <w:tcW w:type="dxa" w:w="23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关联段落ID及TPIF_HTDLYB.ID</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RESULT_JSON保存完整ContractCompareResponse，包括基础changes、warnings、predictionSummary、段落businessTypePrediction以及其中的changeTypes.score supportCount level和references。精简HTTP响应只返回analysisId fileChangeTypeCodes analysisStatus。</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段落表的CHANGE_TYPE_CODES只保存已返回类型编码，并不单独保存每个编码的score和level；要判断49是HIGH还是CANDIDATE，应读RESULT_JSON。MAX_SIMILARITY是最高历史相似度，不是类型score。证据表CHANGE_TYPE_CODES是每条历史参考的标签，不是最终预测。</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落库的原子性</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persistSuccess为一个事务，顺序插入每条段落、通过回填主键插入references，再更新主表状态和完整JSON。任一写入不成功回滚该次最终结果；之后独立markFailed。由此不应留下“主表SUCCESS但最终结果只写了一半”的正常提交状态。PROCESSING主记录此前已独立提交。</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精确命中通常只有1条reference；语义命中通常最多5条。无可靠匹配也可能保留参考。references是可追溯证据，不是一定被采用的类型结论。主表CHANGED_PARAGRAPH_COUNT为变化段落数，不是条款数，也不是匹配证据数。</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日志中的SIMILARITY数据库定义为NUMBER(10,6)，显示与保存精度有限；向量投票在内存用double。只有5条参考以及舍入的相似度，无法保证精确重算全部实际投票权重。</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19 状态含义与导出链路</w:t>
      </w:r>
    </w:p>
    <w:tbl>
      <w:tblPr>
        <w:tblW w:type="auto" w:w="0"/>
        <w:tblLayout w:type="fixed"/>
        <w:tblLook w:firstColumn="1" w:firstRow="1" w:lastColumn="0" w:lastRow="0" w:noHBand="0" w:noVBand="1" w:val="04A0"/>
      </w:tblPr>
      <w:tblGrid>
        <w:gridCol w:w="2232"/>
        <w:gridCol w:w="3816"/>
        <w:gridCol w:w="3672"/>
      </w:tblGrid>
      <w:tr>
        <w:trPr>
          <w:tblHeader/>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分析状态</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判定</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业务含义</w:t>
            </w:r>
          </w:p>
        </w:tc>
      </w:tr>
      <w:t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PROCESSING</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主记录已创建，分析未最终提交</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可能仍执行，也可能异常退出后未完成清理</w:t>
            </w:r>
          </w:p>
        </w:tc>
      </w:tr>
      <w:t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SUCCESS</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没有FAILED或超长跳过段落</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流程完成，可能全是NO_RELIABLE_MATCH或最终类型为空</w:t>
            </w:r>
          </w:p>
        </w:tc>
      </w:tr>
      <w:t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PARTIAL_SUCCESS</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failedCount&gt;0或skippedTooLongCount&gt;0</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基础解析完成，部分分类失败或未执行</w:t>
            </w:r>
          </w:p>
        </w:tc>
      </w:tr>
      <w:t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FAILED</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提取 序列化 最终保存等异常被外层捕获</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此次业务分析未正常完成</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noReliableMatchCount&gt;0不会自动变成PARTIAL_SUCCESS；常规warning也不改变SUCCESS。因此SUCCESS不是“所有变化都有确认业务类型”。模型不可用但有精确命中时，可以保存部分成功的基础变化和已识别标签。</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HTTP与业务code</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应同时检查HTTP状态、响应体code和analysisStatus。当前源码成功code=200、校验400、服务不可用503、未预期失败500；现场外层包装可能不同。不能把HTTP 200或类型集合为空作为唯一业务判据。</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export不是compare结果下载</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/export调用ContractCompareService重新读取并执行基础提取，不经过ContractChangeAnalysisService的历史预测和审计落库。它不是直接按analysisId导出之前的完整业务分类结果。</w:t>
      </w:r>
    </w:p>
    <w:tbl>
      <w:tblPr>
        <w:tblW w:type="auto" w:w="0"/>
        <w:tblLayout w:type="fixed"/>
        <w:tblLook w:firstColumn="1" w:firstRow="1" w:lastColumn="0" w:lastRow="0" w:noHBand="0" w:noVBand="1" w:val="04A0"/>
      </w:tblPr>
      <w:tblGrid>
        <w:gridCol w:w="3384"/>
        <w:gridCol w:w="6336"/>
      </w:tblGrid>
      <w:tr>
        <w:trPr>
          <w:tblHeader/>
        </w:trP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导出模式</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内容</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DOUBLE_VERSION SIMPLE</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9列基础差异，含条款编号 旧新段落与具体变化</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DOUBLE_VERSION CONTEXT</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11列，增加完整旧新条款上下文</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CHANGE_DOCUMENT</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8列，含来源标题 目标条款 旧新内容与变化</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工作表结构</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第1行为标题 第2行为表头 后面才是数据；有warning时另加提示信息表</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Excel每个变化段落通常生成1数据行，不一定等于条款变化数。单元格文本清理非法控制字符，超过32767字符会截断并加提示。当前导出不含业务类型预测列，不应据导出缺少49推断compare没有分类。</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20 原有完整合同解析与Oracle函数</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完整合同解析集成是另一条入口</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/document/analyze-and-predict通过ContractDocumentParagraphReader复用原docx4j解析模块。只读取顶层P段落，按模块与标题规则选择特别约定 风险揭示 合格投资者承诺 合同正文和附件等预测内容，跳过标题及模块分界文字。不能把这条读取能力等同于新双版本结构解析器的正文表格遍历。</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选出的段落规范化去重后，严格predictBatch分类，再用同一FileChangeTypeAggregator汇总。全部预测正常结束后才通过LegacyDocxAnalysisTransactionService开启事务调用原DocxModifyAndLandService.analyzeAndLand，保存旧解析主表明细并返回mainId。段落预测本身不写HT_ANALYSIS三表。正常无可靠匹配属于已执行结果，模型异常则会阻止后续旧解析落库。</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Oracle函数只生成请求报文</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FN_CONTRACT_COMPARE_REQUEST返回CLOB JSON，不发送HTTP。它把LiveBOS字典1或DOUBLE_VERSION转换为双版本，把2或CHANGE_DOCUMENT转换为单文件，检查正整数instId、用户长度及对应文件路径。未使用路径传SQL NULL。</w:t>
      </w:r>
    </w:p>
    <w:p>
      <w:pPr>
        <w:spacing w:line="252" w:lineRule="auto"/>
        <w:rPr>
          <w:rFonts w:ascii="Consolas" w:hAnsi="Consolas" w:cs="Consolas" w:eastAsia="SimSun" w:hint="eastAsia"/>
          <w:color w:val="000000"/>
          <w:b w:val="0"/>
          <w:bCs w:val="0"/>
          <w:i w:val="0"/>
          <w:iCs w:val="0"/>
          <w:sz w:val="18"/>
          <w:szCs w:val="18"/>
          <w:lang w:val="en-US" w:eastAsia="zh-CN"/>
        </w:rPr>
      </w:pPr>
      <w:r>
        <w:rPr>
          <w:rFonts w:ascii="Consolas" w:hAnsi="Consolas" w:cs="Consolas" w:eastAsia="SimSun" w:hint="eastAsia"/>
          <w:sz w:val="18"/>
          <w:color w:val="000000"/>
          <w:b w:val="0"/>
          <w:bCs w:val="0"/>
          <w:i w:val="0"/>
          <w:iCs w:val="0"/>
          <w:szCs w:val="18"/>
          <w:lang w:val="en-US" w:eastAsia="zh-CN"/>
        </w:rPr>
        <w:t>SELECT FN_CONTRACT_COMPARE_REQUEST(</w:t>
        <w:br/>
        <w:t xml:space="preserve">  10001, 'employee-001', '1',</w:t>
        <w:br/>
        <w:t xml:space="preserve">  '/contracts/before.docx', '/contracts/after.docx', NULL</w:t>
        <w:br/>
        <w:t>) FROM DUAL;</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函数使用||拼接字符串，JSON_QUOTE转义双引号 反斜杠及控制字符；TO_CHAR(TRUNC(I_INSTID),'TM9')把流程整数转为紧凑数字文本，不给JSON数字加引号。它不能代替Java的SFTP读取和分析，也不会向量化合同。</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LiveBOS或其他调用方接收JSON后调用Java HTTP接口，并保存请求响应和analysisId。业务调用记录的主键与Java analysisId属于不同记录体系，不能混用。源码提供Oracle 11g兼容的手工JSON构造，不应据本地OracleFree测试替代目标版本兼容验收。</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21 现行规则的业务适用性</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以下为业务设计评估，不是已实施改动。当前机制适合从已标注历史案例中寻找近邻，倾向抑制误报；它不能自动证明某个相似段落在法律或业务上必然属于同一变更类型。</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历史标签到底标注什么</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如果标签代表条款主题，使用当前文本继承标签较自然。如果标签代表从旧约定到新约定的变化行为或方向，仅看新文本可能不充分。例如1%改为2%与3%改为2%，新条款相同但变化方向不同；否定词 主体 金额 期限也可能改变业务含义。需要确认标注口径，并考虑同时使用旧新文本和差异片段。</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HIGH不等于已校准的正确概率</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投票score高表示参与近邻同意程度高。两条略高于0.60且同标签的样本就可能得HIGH；多条同模板历史样本可能只是重复证据。样本来源 去重 类别不均衡与模型空间都会影响结果，0.55与0.80应通过真实模型和人工标注校准，而不是当成自然业务标准。</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单段候选被过滤的风险</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一个业务变更可以只出现在一处条款。“至少两个不同变化段落”有利于压低误报，却可能系统性漏掉单条款修改，而且结果受文档分段方式影响。在CHANGE_DOCUMENT中一个标题通常聚合为一个逻辑段落，影响更明显。两个不同文本也不一定是独立事实证据。</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建议保留确认类型与待复核候选</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若系统用于人工审核，建议让确认类型和待复核候选分别可见，展示得分 支持数 最高相似度 原文证据及未入选理由。单段候选可不触发自动业务动作，但不宜从审核视野消失。若直接触发自动分类或流程分派，则需更严格的标注验证与误报控制。</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不建议只因一个案例就降低HIGH阈值。先确认完整10条投票、实际模型版本及段落等级，再用独立标注集分别统计精确率 召回率和各类型漏报，判断哪些标签需要更保守或更敏感的策略。</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22 参数管理与现场排查</w:t>
      </w:r>
    </w:p>
    <w:tbl>
      <w:tblPr>
        <w:tblW w:type="auto" w:w="0"/>
        <w:tblLayout w:type="fixed"/>
        <w:tblLook w:firstColumn="1" w:firstRow="1" w:lastColumn="0" w:lastRow="0" w:noHBand="0" w:noVBand="1" w:val="04A0"/>
      </w:tblPr>
      <w:tblGrid>
        <w:gridCol w:w="4752"/>
        <w:gridCol w:w="1872"/>
        <w:gridCol w:w="3096"/>
      </w:tblGrid>
      <w:tr>
        <w:trPr>
          <w:tblHeader/>
        </w:trP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配置或保护值</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当前值</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调整影响</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embedding.dimension / batch-size</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1024 / 16</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维度变更须重生成历史向量；批量有16上限校验</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model-version</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模型空间版本标记</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必须与实际生成模型语义一致，不应只改名称混用旧向量</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import max-rows / max-total-samples</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1000 / 10000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控制单批和物理库规模，不是成功性能承诺</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retrieve / vote / evidence Top K</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10 / 10 / 5</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召回 投票与展示分别控制；vote和evidence不能大于retrieve</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min-similarity</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0.60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降低可引入更弱近邻，改变投票分母</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candidate / high threshold</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0.55 / 0.80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改变段落输出等级，不直接改变汇总两段落门槛</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min-support / strong-match</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2 / 0.80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分别约束语义HIGH与空投票兜底</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max-paragraph-length</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yml 5000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字符不是Token；当前配置类初始值2000</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compare min-score / ambiguity</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0.80 / 0.10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控制旧新条款模糊对齐，不是向量分类阈值</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精细差异保护值</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中间Token总数2000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代码常量；超限退整段替换</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23 现场排查与结果核验</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空类型集合的排查顺序</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先查主表状态与完整JSON，确认是否有基础变化；再查段落MATCHED与matchType，区分无匹配 失败 超长和正常候选；读取changeTypes的score level supportCount，再检查有多少不同基础变化文本支持该类型。最后核对网关 模型版本 实际Top K阈值及所有服务实例的索引快照。</w:t>
      </w:r>
    </w:p>
    <w:p>
      <w:pPr>
        <w:spacing w:line="252" w:lineRule="auto"/>
        <w:rPr>
          <w:rFonts w:ascii="Consolas" w:hAnsi="Consolas" w:cs="Consolas" w:eastAsia="SimSun" w:hint="eastAsia"/>
          <w:color w:val="000000"/>
          <w:b w:val="0"/>
          <w:bCs w:val="0"/>
          <w:i w:val="0"/>
          <w:iCs w:val="0"/>
          <w:sz w:val="18"/>
          <w:szCs w:val="18"/>
          <w:lang w:val="en-US" w:eastAsia="zh-CN"/>
        </w:rPr>
      </w:pPr>
      <w:r>
        <w:rPr>
          <w:rFonts w:ascii="Consolas" w:hAnsi="Consolas" w:cs="Consolas" w:eastAsia="SimSun" w:hint="eastAsia"/>
          <w:sz w:val="18"/>
          <w:color w:val="000000"/>
          <w:b w:val="0"/>
          <w:bCs w:val="0"/>
          <w:i w:val="0"/>
          <w:iCs w:val="0"/>
          <w:szCs w:val="18"/>
          <w:lang w:val="en-US" w:eastAsia="zh-CN"/>
        </w:rPr>
        <w:t>SELECT ID, PREDICTION_STATUS, MATCH_TYPE, CHANGE_TYPE_CODES,</w:t>
        <w:br/>
        <w:t xml:space="preserve">       MAX_SIMILARITY, INPUT_SCOPE, FALLBACK_USED</w:t>
        <w:br/>
        <w:t>FROM HT_ANALYSIS_PARA_LOG WHERE ANALYSIS_ID = :analysis_id;</w:t>
        <w:br/>
        <w:br/>
        <w:t>SELECT HISTORICAL_SAMPLE_ID, SIMILARITY, CHANGE_TYPE_CODES, RANK_NO</w:t>
        <w:br/>
        <w:t>FROM HT_ANALYSIS_MATCH_LOG</w:t>
        <w:br/>
        <w:t>WHERE ANALYSIS_ID = :analysis_id AND PARAGRAPH_LOG_ID = :paragraph_id</w:t>
        <w:br/>
        <w:t>ORDER BY RANK_NO;</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 xml:space="preserve">修改标签后应刷新索引；仅改模型版本不会生成新向量；仅index/reload也不会调用模型。调整候选阈值不会让单段候选自动通过固定的两段落汇总规则。排查时不要启用会打印API Key 合同正文或向量JSON的SQL和HTTP DEBUG日志。</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24 代码定位与职责映射</w:t>
      </w:r>
    </w:p>
    <w:tbl>
      <w:tblPr>
        <w:tblW w:type="auto" w:w="0"/>
        <w:tblLayout w:type="fixed"/>
        <w:tblLook w:firstColumn="1" w:firstRow="1" w:lastColumn="0" w:lastRow="0" w:noHBand="0" w:noVBand="1" w:val="04A0"/>
      </w:tblPr>
      <w:tblGrid>
        <w:gridCol w:w="2160"/>
        <w:gridCol w:w="7560"/>
      </w:tblGrid>
      <w:tr>
        <w:trPr>
          <w:tblHeader/>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职责</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rPr>
                <w:rFonts w:ascii="Arial" w:hAnsi="Arial" w:cs="Arial" w:eastAsia="SimHei" w:hint="eastAsia"/>
                <w:color w:val="000000"/>
                <w:b w:val="0"/>
                <w:bCs w:val="0"/>
                <w:i w:val="0"/>
                <w:iCs w:val="0"/>
                <w:sz w:val="20"/>
                <w:szCs w:val="20"/>
                <w:lang w:val="en-US" w:eastAsia="zh-CN"/>
              </w:rPr>
            </w:pPr>
            <w:r>
              <w:rPr>
                <w:rFonts w:ascii="Arial" w:hAnsi="Arial" w:cs="Arial" w:eastAsia="SimHei" w:hint="eastAsia"/>
                <w:b w:val="0"/>
                <w:sz w:val="20"/>
                <w:color w:val="000000"/>
                <w:bCs w:val="0"/>
                <w:i w:val="0"/>
                <w:iCs w:val="0"/>
                <w:szCs w:val="20"/>
                <w:lang w:val="en-US" w:eastAsia="zh-CN"/>
              </w:rPr>
              <w:t>源码位置</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入口与参数</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controller/ContractChangeController.java；contractcompare/controller/ContractCompareController.java；resources/application.yml</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导入与事务</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service/ContractParagraphImportService.java；ContractParagraphPersistenceService.java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网关与向量</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embedding/HttpEmbeddingClient.java；util/VectorUtils.java；VectorCodec.java；ChangeTypeCodes.java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索引与投票</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service/ParagraphVectorIndexService.java；ContractParagraphPredictionService.java；FileChangeTypeAggregator.java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比较解析</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contractcompare/aspose/AsposeCompareService.java；service/ContractStructureParser.java；ClauseComparisonEngine.java；ContractCompareText.java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单文件与上下文</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contractcompare/service/ChangeDocumentExtractionService.java；ContractComparePredictionService.java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编排与留痕</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contractcompare/service/ContractChangeAnalysisService.java；AnalysisResultPersistenceService.java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原解析集成</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service/ContractDocumentChangePredictionService.java；ContractDocumentParagraphReader.java；LegacyDocxAnalysisTransactionService.java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建表与请求函数</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rPr>
                <w:rFonts w:ascii="Times New Roman" w:hAnsi="Times New Roman" w:cs="Times New Roman" w:eastAsia="SimSun" w:hint="eastAsia"/>
                <w:color w:val="000000"/>
                <w:b w:val="0"/>
                <w:bCs w:val="0"/>
                <w:i w:val="0"/>
                <w:iCs w:val="0"/>
                <w:sz w:val="20"/>
                <w:szCs w:val="20"/>
                <w:lang w:val="en-US" w:eastAsia="zh-CN"/>
              </w:rPr>
            </w:pPr>
            <w:r>
              <w:rPr>
                <w:rFonts w:ascii="Times New Roman" w:hAnsi="Times New Roman" w:cs="Times New Roman" w:eastAsia="SimSun" w:hint="eastAsia"/>
                <w:b w:val="0"/>
                <w:sz w:val="20"/>
                <w:color w:val="000000"/>
                <w:bCs w:val="0"/>
                <w:i w:val="0"/>
                <w:iCs w:val="0"/>
                <w:szCs w:val="20"/>
                <w:lang w:val="en-US" w:eastAsia="zh-CN"/>
              </w:rPr>
              <w:t>database/oracle/01_schema.sql；02_analysis_log.sql；03_compare_request_function.sql</w:t>
            </w:r>
          </w:p>
        </w:tc>
      </w:tr>
    </w:tbl>
    <w:p>
      <w:pPr>
        <w:spacing w:after="160" w:line="293" w:lineRule="auto"/>
        <w:rPr>
          <w:rFonts w:ascii="Times New Roman" w:hAnsi="Times New Roman" w:cs="Times New Roman" w:eastAsia="SimSun" w:hint="eastAsia"/>
          <w:color w:val="000000"/>
          <w:b w:val="0"/>
          <w:bCs w:val="0"/>
          <w:i w:val="0"/>
          <w:iCs w:val="0"/>
          <w:sz w:val="22"/>
          <w:szCs w:val="22"/>
          <w:lang w:val="en-US" w:eastAsia="zh-CN"/>
        </w:rPr>
      </w:pP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Java路径以src/main/java/com/citics/glxt/contractchange为根，resources以src/main为根。以上位置便于将文档规则与实际部署源码逐项核对；不同提交或外层接口包装可能改变响应与配置。</w:t>
      </w:r>
    </w:p>
    <w:p>
      <w:pPr>
        <w:pStyle w:val="Heading1"/>
        <w:pageBreakBefore/>
        <w:rPr>
          <w:rFonts w:ascii="Arial" w:hAnsi="Arial" w:cs="Arial" w:eastAsia="SimHei" w:hint="eastAsia"/>
          <w:color w:val="000000"/>
          <w:b w:val="0"/>
          <w:bCs w:val="0"/>
          <w:i w:val="0"/>
          <w:iCs w:val="0"/>
          <w:sz w:val="34"/>
          <w:szCs w:val="34"/>
          <w:lang w:val="en-US" w:eastAsia="zh-CN"/>
        </w:rPr>
      </w:pPr>
      <w:r>
        <w:rPr>
          <w:rFonts w:ascii="Arial" w:hAnsi="Arial" w:cs="Arial" w:eastAsia="SimHei" w:hint="eastAsia"/>
          <w:color w:val="000000"/>
          <w:b w:val="0"/>
          <w:bCs w:val="0"/>
          <w:i w:val="0"/>
          <w:iCs w:val="0"/>
          <w:sz w:val="34"/>
          <w:szCs w:val="34"/>
          <w:lang w:val="en-US" w:eastAsia="zh-CN"/>
        </w:rPr>
        <w:t>25 完整案例与算法边界复盘</w:t>
      </w:r>
    </w:p>
    <w:p>
      <w:pPr>
        <w:pStyle w:val="Heading2"/>
        <w:rPr>
          <w:rFonts w:ascii="Arial" w:hAnsi="Arial" w:cs="Arial" w:eastAsia="SimHei" w:hint="eastAsia"/>
          <w:color w:val="000000"/>
          <w:b w:val="0"/>
          <w:bCs w:val="0"/>
          <w:i w:val="0"/>
          <w:iCs w:val="0"/>
          <w:sz w:val="24"/>
          <w:szCs w:val="24"/>
          <w:lang w:val="en-US" w:eastAsia="zh-CN"/>
        </w:rPr>
      </w:pPr>
      <w:r>
        <w:rPr>
          <w:rFonts w:ascii="Arial" w:hAnsi="Arial" w:cs="Arial" w:eastAsia="SimHei" w:hint="eastAsia"/>
          <w:color w:val="000000"/>
          <w:b w:val="0"/>
          <w:bCs w:val="0"/>
          <w:i w:val="0"/>
          <w:iCs w:val="0"/>
          <w:sz w:val="24"/>
          <w:szCs w:val="24"/>
          <w:lang w:val="en-US" w:eastAsia="zh-CN"/>
        </w:rPr>
        <w:t>一个修改从文件到类型的完整过程</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 xml:space="preserve">先导入“认购前完成风险评估”及其人工标签：规范化 Hash查重 生成1024维向量 归一化 CLOB JSON事务保存并重载。再提交旧合同“认购后完成风险评估”和新合同“认购前完成风险评估”：读取最终稿 解析条款 标题或模糊匹配 动态规划对齐 Myers输出后替换为前。</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类型识别使用新段落。如果新文本与历史规范化文本完全相同，EXACT返回历史标签为HIGH，单段即可进入合同汇总；若只是语义接近，走余弦召回 平方投票 分级，候选则需另一个不同变化段落共同支持。最终保存主表 完整JSON 段落及历史references，返回analysisId与类型集合。</w:t>
      </w:r>
    </w:p>
    <w:p>
      <w:pPr>
        <w:spacing w:line="293" w:lineRule="auto" w:after="160"/>
        <w:rPr>
          <w:rFonts w:ascii="Times New Roman" w:hAnsi="Times New Roman" w:cs="Times New Roman" w:eastAsia="SimSun" w:hint="eastAsia"/>
          <w:color w:val="000000"/>
          <w:b w:val="0"/>
          <w:bCs w:val="0"/>
          <w:i w:val="0"/>
          <w:iCs w:val="0"/>
          <w:sz w:val="22"/>
          <w:szCs w:val="22"/>
          <w:lang w:val="en-US" w:eastAsia="zh-CN"/>
        </w:rPr>
      </w:pPr>
      <w:r>
        <w:rPr>
          <w:rFonts w:ascii="Times New Roman" w:hAnsi="Times New Roman" w:cs="Times New Roman" w:eastAsia="SimSun" w:hint="eastAsia"/>
          <w:color w:val="000000"/>
          <w:b w:val="0"/>
          <w:bCs w:val="0"/>
          <w:i w:val="0"/>
          <w:iCs w:val="0"/>
          <w:sz w:val="22"/>
          <w:szCs w:val="22"/>
          <w:lang w:val="en-US" w:eastAsia="zh-CN"/>
        </w:rPr>
        <w:t>同一合同可以存在多个变化段落，每个段落可以多个标签；合同类型集合不是段落标签简单并集。需要审核人解释结果时，应同时提供基础差异、段落等级和历史证据，不能只提供最终编码集合。</w:t>
      </w:r>
    </w:p>
    <w:p>
      <w:pPr>
        <w:pStyle w:val="Heading1"/>
        <w:pageBreakBefore/>
      </w:pPr>
      <w:r>
        <w:rPr>
          <w:color w:val="000000"/>
        </w:rPr>
        <w:t>模型升级同步重建</w:t>
      </w:r>
    </w:p>
    <w:p>
      <w:r>
        <w:t>当前历史样本约几百条且模型升级低频，普通导入和模型升级均同步执行，不使用后台执行器，也不返回异步受理202。MODEL_VERSION按完整兼容标识比较，同版本实际模型名称或维度变化时拒绝导入及识别，要求更新版本标识。</w:t>
      </w:r>
    </w:p>
    <w:p>
      <w:r>
        <w:t>升级时合并当前有效历史样本与本次Excel，按规范化Hash去重，同标签优先Excel原文、标签冲突整批拒绝。人工停用及历史失效记录不自动恢复；源文本、Hash、标签、版本异常时拒绝重建。所有合并样本都重新调用新模型，旧向量不复制。</w:t>
      </w:r>
    </w:p>
    <w:p>
      <w:r>
        <w:t>全部新向量生成成功后，一个事务插入新版本、停用旧有效行并切换有效版本。唯一约束为MODEL_VERSION与TEXT_HASH组合，旧ID、正文、标签、向量及创建时间保留。容量只计当前版本有效样本，默认10000条；Excel单次1000行限制保持。</w:t>
      </w:r>
    </w:p>
    <w:p>
      <w:r>
        <w:t>只新增HT_SAMPLE_LIBRARY一张控制表，保存有效模型身份、修订号、操作ID、状态及待恢复样本数。状态为IDLE、RUNNING、DB_COMMITTED；所有导入和人工重载通过控制行互斥，模型调用在事务外。重建成功响应code=200，含rebuild、operationId及全量入库统计。索引状态包含有效版本、配置版本、操作状态及recognitionAvailable，不提供历史任务查询。</w:t>
      </w:r>
    </w:p>
    <w:p>
      <w:r>
        <w:t>提交前失败整批回滚，旧有效版本不变并释放占用；提交后索引失败保持DB_COMMITTED并暂停识别，通过重载或重启校验数量并恢复，不再生成或重复插入。进程提交前中断时重启释放RUNNING占用；提交后中断则加载新索引后回到IDLE。精确匹配也不能绕过模型兼容检查，合同比对保留基础差异并标记识别失败。</w:t>
      </w:r>
    </w:p>
    <w:p>
      <w:r>
        <w:t>仍按单实例部署，模型配置修改后重启生效；不提供热切换或多实例广播，不保存历史重建任务。本次不执行已有库迁移或清库。请求超时后先查索引状态及有效版本，确认结果再决定重试。向量CLOB JSON、余弦相似度、Top K、加权投票及合同级汇总规则不变。详细字段和响应示例见technical-guides下的模型升级同步重建说明。</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rPr>
        <w:rFonts w:ascii="Times New Roman" w:hAnsi="Times New Roman" w:cs="Times New Roman" w:eastAsia="SimSun" w:hint="eastAsia"/>
        <w:color w:val="000000"/>
        <w:b w:val="0"/>
        <w:bCs w:val="0"/>
        <w:i w:val="0"/>
        <w:iCs w:val="0"/>
        <w:sz w:val="18"/>
        <w:szCs w:val="18"/>
        <w:lang w:val="en-US" w:eastAsia="zh-CN"/>
      </w:rPr>
    </w:pPr>
    <w:r>
      <w:rPr>
        <w:rFonts w:ascii="Times New Roman" w:hAnsi="Times New Roman" w:cs="Times New Roman" w:eastAsia="SimSun" w:hint="eastAsia"/>
        <w:sz w:val="18"/>
        <w:color w:val="000000"/>
        <w:b w:val="0"/>
        <w:bCs w:val="0"/>
        <w:i w:val="0"/>
        <w:iCs w:val="0"/>
        <w:szCs w:val="18"/>
        <w:lang w:val="en-US" w:eastAsia="zh-CN"/>
      </w:rPr>
      <w:t xml:space="preserve">第 </w:t>
    </w:r>
    <w:fldSimple w:instr="PAGE"/>
    <w:r>
      <w:rPr>
        <w:rFonts w:ascii="Times New Roman" w:hAnsi="Times New Roman" w:cs="Times New Roman" w:eastAsia="SimSun" w:hint="eastAsia"/>
        <w:sz w:val="18"/>
        <w:color w:val="000000"/>
        <w:b w:val="0"/>
        <w:bCs w:val="0"/>
        <w:i w:val="0"/>
        <w:iCs w:val="0"/>
        <w:szCs w:val="18"/>
        <w:lang w:val="en-US" w:eastAsia="zh-CN"/>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rFonts w:ascii="Times New Roman" w:hAnsi="Times New Roman" w:cs="Times New Roman" w:eastAsia="SimSun" w:hint="eastAsia"/>
        <w:color w:val="000000"/>
        <w:b w:val="0"/>
        <w:bCs w:val="0"/>
        <w:i w:val="0"/>
        <w:iCs w:val="0"/>
        <w:sz w:val="18"/>
        <w:szCs w:val="18"/>
        <w:lang w:val="en-US" w:eastAsia="zh-CN"/>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rFonts w:ascii="Times New Roman" w:hAnsi="Times New Roman" w:cs="Times New Roman" w:eastAsia="SimSun" w:hint="eastAsia"/>
        <w:color w:val="000000"/>
        <w:b w:val="0"/>
        <w:bCs w:val="0"/>
        <w:i w:val="0"/>
        <w:iCs w:val="0"/>
        <w:sz w:val="18"/>
        <w:szCs w:val="18"/>
        <w:lang w:val="en-US" w:eastAsia="zh-CN"/>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rFonts w:ascii="Times New Roman" w:hAnsi="Times New Roman" w:cs="Times New Roman" w:eastAsia="SimSun" w:hint="eastAsia"/>
        <w:color w:val="000000"/>
        <w:b w:val="0"/>
        <w:bCs w:val="0"/>
        <w:i w:val="0"/>
        <w:iCs w:val="0"/>
        <w:sz w:val="18"/>
        <w:szCs w:val="18"/>
        <w:lang w:val="en-US" w:eastAsia="zh-C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rFonts w:ascii="Times New Roman" w:hAnsi="Times New Roman" w:cs="Times New Roman" w:eastAsia="SimSun" w:hint="eastAsia"/>
        <w:color w:val="000000"/>
        <w:b w:val="0"/>
        <w:bCs w:val="0"/>
        <w:i w:val="0"/>
        <w:iCs w:val="0"/>
        <w:sz w:val="18"/>
        <w:szCs w:val="18"/>
        <w:lang w:val="en-US" w:eastAsia="zh-CN"/>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rFonts w:ascii="Times New Roman" w:hAnsi="Times New Roman" w:cs="Times New Roman" w:eastAsia="SimSun" w:hint="eastAsia"/>
        <w:color w:val="000000"/>
        <w:b w:val="0"/>
        <w:bCs w:val="0"/>
        <w:i w:val="0"/>
        <w:iCs w:val="0"/>
        <w:sz w:val="18"/>
        <w:szCs w:val="18"/>
        <w:lang w:val="en-US" w:eastAsia="zh-CN"/>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val="true"/>
  <w:hideGrammaticalErro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SimSun" w:hint="eastAsia"/>
        <w:sz w:val="22"/>
        <w:szCs w:val="22"/>
        <w:lang w:val="en-US" w:eastAsia="zh-CN"/>
        <w:color w:val="000000"/>
        <w:b w:val="0"/>
        <w:bCs w:val="0"/>
        <w:i w:val="0"/>
        <w:iCs w:val="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60"/>
    </w:pPr>
    <w:rPr>
      <w:rFonts w:ascii="Times New Roman" w:hAnsi="Times New Roman" w:cs="Times New Roman" w:eastAsia="SimSun" w:hint="eastAsia"/>
      <w:color w:val="000000"/>
      <w:sz w:val="22"/>
      <w:b w:val="0"/>
      <w:bCs w:val="0"/>
      <w:i w:val="0"/>
      <w:iCs w:val="0"/>
      <w:szCs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SimSun" w:hint="eastAsia"/>
      <w:color w:val="000000"/>
      <w:b w:val="0"/>
      <w:bCs w:val="0"/>
      <w:i w:val="0"/>
      <w:iCs w:val="0"/>
      <w:sz w:val="22"/>
      <w:szCs w:val="22"/>
      <w:lang w:val="en-US" w:eastAsia="zh-CN"/>
    </w:rPr>
  </w:style>
  <w:style w:type="character" w:customStyle="1" w:styleId="HeaderChar">
    <w:name w:val="Header Char"/>
    <w:basedOn w:val="DefaultParagraphFont"/>
    <w:link w:val="Header"/>
    <w:uiPriority w:val="99"/>
    <w:rsid w:val="00E618BF"/>
    <w:rPr>
      <w:rFonts w:ascii="Times New Roman" w:hAnsi="Times New Roman" w:cs="Times New Roman" w:eastAsia="SimSun" w:hint="eastAsia"/>
      <w:color w:val="000000"/>
      <w:b w:val="0"/>
      <w:bCs w:val="0"/>
      <w:i w:val="0"/>
      <w:iCs w:val="0"/>
      <w:sz w:val="22"/>
      <w:szCs w:val="22"/>
      <w:lang w:val="en-US" w:eastAsia="zh-C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SimSun" w:hint="eastAsia"/>
      <w:color w:val="000000"/>
      <w:b w:val="0"/>
      <w:bCs w:val="0"/>
      <w:i w:val="0"/>
      <w:iCs w:val="0"/>
      <w:sz w:val="22"/>
      <w:szCs w:val="22"/>
      <w:lang w:val="en-US" w:eastAsia="zh-CN"/>
    </w:rPr>
  </w:style>
  <w:style w:type="character" w:customStyle="1" w:styleId="FooterChar">
    <w:name w:val="Footer Char"/>
    <w:basedOn w:val="DefaultParagraphFont"/>
    <w:link w:val="Footer"/>
    <w:uiPriority w:val="99"/>
    <w:rsid w:val="00E618BF"/>
    <w:rPr>
      <w:rFonts w:ascii="Times New Roman" w:hAnsi="Times New Roman" w:cs="Times New Roman" w:eastAsia="SimSun" w:hint="eastAsia"/>
      <w:color w:val="000000"/>
      <w:b w:val="0"/>
      <w:bCs w:val="0"/>
      <w:i w:val="0"/>
      <w:iCs w:val="0"/>
      <w:sz w:val="22"/>
      <w:szCs w:val="22"/>
      <w:lang w:val="en-US" w:eastAsia="zh-CN"/>
    </w:rPr>
  </w:style>
  <w:style w:type="paragraph" w:styleId="Heading1">
    <w:name w:val="heading 1"/>
    <w:basedOn w:val="Normal"/>
    <w:next w:val="Normal"/>
    <w:link w:val="Heading1Char"/>
    <w:uiPriority w:val="9"/>
    <w:qFormat/>
    <w:rsid w:val="00FC693F"/>
    <w:pPr>
      <w:keepNext/>
      <w:keepLines/>
      <w:spacing w:before="480" w:after="280" w:line="293" w:lineRule="auto"/>
      <w:outlineLvl w:val="0"/>
    </w:pPr>
    <w:rPr>
      <w:rFonts w:ascii="Arial" w:hAnsi="Arial" w:cs="Arial" w:eastAsia="SimHei" w:hint="eastAsia"/>
      <w:b w:val="0"/>
      <w:bCs w:val="0"/>
      <w:color w:val="000000"/>
      <w:sz w:val="34"/>
      <w:szCs w:val="34"/>
      <w:i w:val="0"/>
      <w:iCs w:val="0"/>
      <w:lang w:val="en-US" w:eastAsia="zh-CN"/>
    </w:rPr>
  </w:style>
  <w:style w:type="paragraph" w:styleId="Heading2">
    <w:name w:val="heading 2"/>
    <w:basedOn w:val="Normal"/>
    <w:next w:val="Normal"/>
    <w:link w:val="Heading2Char"/>
    <w:uiPriority w:val="9"/>
    <w:unhideWhenUsed/>
    <w:qFormat/>
    <w:rsid w:val="00FC693F"/>
    <w:pPr>
      <w:keepNext/>
      <w:keepLines/>
      <w:spacing w:before="180" w:after="160" w:line="293" w:lineRule="auto"/>
      <w:outlineLvl w:val="1"/>
    </w:pPr>
    <w:rPr>
      <w:rFonts w:ascii="Arial" w:hAnsi="Arial" w:cs="Arial" w:eastAsia="SimHei" w:hint="eastAsia"/>
      <w:b w:val="0"/>
      <w:bCs w:val="0"/>
      <w:color w:val="000000"/>
      <w:sz w:val="24"/>
      <w:szCs w:val="24"/>
      <w:i w:val="0"/>
      <w:iCs w:val="0"/>
      <w:lang w:val="en-US"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SimHei" w:hint="eastAsia"/>
      <w:b w:val="0"/>
      <w:bCs w:val="0"/>
      <w:color w:val="000000"/>
      <w:i w:val="0"/>
      <w:iCs w:val="0"/>
      <w:sz w:val="22"/>
      <w:szCs w:val="22"/>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SimHei" w:hint="eastAsia"/>
      <w:b w:val="0"/>
      <w:bCs w:val="0"/>
      <w:i w:val="0"/>
      <w:iCs w:val="0"/>
      <w:color w:val="000000"/>
      <w:sz w:val="22"/>
      <w:szCs w:val="22"/>
      <w:lang w:val="en-US" w:eastAsia="zh-C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SimHei" w:hint="eastAsia"/>
      <w:color w:val="000000"/>
      <w:b w:val="0"/>
      <w:bCs w:val="0"/>
      <w:i w:val="0"/>
      <w:iCs w:val="0"/>
      <w:sz w:val="22"/>
      <w:szCs w:val="22"/>
      <w:lang w:val="en-US" w:eastAsia="zh-C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SimHei" w:hint="eastAsia"/>
      <w:i w:val="0"/>
      <w:iCs w:val="0"/>
      <w:color w:val="000000"/>
      <w:b w:val="0"/>
      <w:bCs w:val="0"/>
      <w:sz w:val="22"/>
      <w:szCs w:val="22"/>
      <w:lang w:val="en-US" w:eastAsia="zh-C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SimHei" w:hint="eastAsia"/>
      <w:i w:val="0"/>
      <w:iCs w:val="0"/>
      <w:color w:val="000000"/>
      <w:b w:val="0"/>
      <w:bCs w:val="0"/>
      <w:sz w:val="22"/>
      <w:szCs w:val="22"/>
      <w:lang w:val="en-US" w:eastAsia="zh-C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SimHei" w:hint="eastAsia"/>
      <w:color w:val="000000"/>
      <w:sz w:val="22"/>
      <w:szCs w:val="22"/>
      <w:b w:val="0"/>
      <w:bCs w:val="0"/>
      <w:i w:val="0"/>
      <w:iCs w:val="0"/>
      <w:lang w:val="en-US" w:eastAsia="zh-C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SimHei" w:hint="eastAsia"/>
      <w:i w:val="0"/>
      <w:iCs w:val="0"/>
      <w:color w:val="000000"/>
      <w:sz w:val="22"/>
      <w:szCs w:val="22"/>
      <w:b w:val="0"/>
      <w:bCs w:val="0"/>
      <w:lang w:val="en-US" w:eastAsia="zh-CN"/>
    </w:rPr>
  </w:style>
  <w:style w:type="character" w:default="1" w:styleId="DefaultParagraphFont">
    <w:name w:val="Default Paragraph Font"/>
    <w:uiPriority w:val="1"/>
    <w:semiHidden/>
    <w:unhideWhenUsed/>
    <w:rPr>
      <w:rFonts w:ascii="Times New Roman" w:hAnsi="Times New Roman" w:cs="Times New Roman" w:eastAsia="SimSun" w:hint="eastAsia"/>
      <w:color w:val="000000"/>
      <w:b w:val="0"/>
      <w:bCs w:val="0"/>
      <w:i w:val="0"/>
      <w:iCs w:val="0"/>
      <w:sz w:val="22"/>
      <w:szCs w:val="22"/>
      <w:lang w:val="en-US" w:eastAsia="zh-C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cs="Times New Roman" w:eastAsia="SimSun" w:hint="eastAsia"/>
      <w:color w:val="000000"/>
      <w:b w:val="0"/>
      <w:bCs w:val="0"/>
      <w:i w:val="0"/>
      <w:iCs w:val="0"/>
      <w:sz w:val="22"/>
      <w:szCs w:val="22"/>
      <w:lang w:val="en-US" w:eastAsia="zh-CN"/>
    </w:rPr>
  </w:style>
  <w:style w:type="numbering" w:default="1" w:styleId="NoList">
    <w:name w:val="No List"/>
    <w:uiPriority w:val="99"/>
    <w:semiHidden/>
    <w:unhideWhenUsed/>
    <w:rPr>
      <w:rFonts w:ascii="Times New Roman" w:hAnsi="Times New Roman" w:cs="Times New Roman" w:eastAsia="SimSun" w:hint="eastAsia"/>
      <w:color w:val="000000"/>
      <w:b w:val="0"/>
      <w:bCs w:val="0"/>
      <w:i w:val="0"/>
      <w:iCs w:val="0"/>
      <w:sz w:val="22"/>
      <w:szCs w:val="22"/>
      <w:lang w:val="en-US" w:eastAsia="zh-CN"/>
    </w:rPr>
  </w:style>
  <w:style w:type="paragraph" w:styleId="NoSpacing">
    <w:name w:val="No Spacing"/>
    <w:uiPriority w:val="1"/>
    <w:qFormat/>
    <w:rsid w:val="00FC693F"/>
    <w:pPr>
      <w:spacing w:after="0" w:line="240" w:lineRule="auto"/>
    </w:pPr>
    <w:rPr>
      <w:rFonts w:ascii="Times New Roman" w:hAnsi="Times New Roman" w:cs="Times New Roman" w:eastAsia="SimSun" w:hint="eastAsia"/>
      <w:color w:val="000000"/>
      <w:b w:val="0"/>
      <w:bCs w:val="0"/>
      <w:i w:val="0"/>
      <w:iCs w:val="0"/>
      <w:sz w:val="22"/>
      <w:szCs w:val="22"/>
      <w:lang w:val="en-US" w:eastAsia="zh-CN"/>
    </w:rPr>
  </w:style>
  <w:style w:type="character" w:customStyle="1" w:styleId="Heading1Char">
    <w:name w:val="Heading 1 Char"/>
    <w:basedOn w:val="DefaultParagraphFont"/>
    <w:link w:val="Heading1"/>
    <w:uiPriority w:val="9"/>
    <w:rsid w:val="00FC693F"/>
    <w:rPr>
      <w:rFonts w:ascii="Arial" w:hAnsi="Arial" w:cs="Arial" w:eastAsia="SimHei" w:hint="eastAsia"/>
      <w:b w:val="0"/>
      <w:bCs w:val="0"/>
      <w:color w:val="000000"/>
      <w:sz w:val="22"/>
      <w:szCs w:val="22"/>
      <w:i w:val="0"/>
      <w:iCs w:val="0"/>
      <w:lang w:val="en-US" w:eastAsia="zh-CN"/>
    </w:rPr>
  </w:style>
  <w:style w:type="character" w:customStyle="1" w:styleId="Heading2Char">
    <w:name w:val="Heading 2 Char"/>
    <w:basedOn w:val="DefaultParagraphFont"/>
    <w:link w:val="Heading2"/>
    <w:uiPriority w:val="9"/>
    <w:rsid w:val="00FC693F"/>
    <w:rPr>
      <w:rFonts w:ascii="Arial" w:hAnsi="Arial" w:cs="Arial" w:eastAsia="SimHei" w:hint="eastAsia"/>
      <w:b w:val="0"/>
      <w:bCs w:val="0"/>
      <w:color w:val="000000"/>
      <w:sz w:val="22"/>
      <w:szCs w:val="22"/>
      <w:i w:val="0"/>
      <w:iCs w:val="0"/>
      <w:lang w:val="en-US" w:eastAsia="zh-CN"/>
    </w:rPr>
  </w:style>
  <w:style w:type="character" w:customStyle="1" w:styleId="Heading3Char">
    <w:name w:val="Heading 3 Char"/>
    <w:basedOn w:val="DefaultParagraphFont"/>
    <w:link w:val="Heading3"/>
    <w:uiPriority w:val="9"/>
    <w:rsid w:val="00FC693F"/>
    <w:rPr>
      <w:rFonts w:ascii="Arial" w:hAnsi="Arial" w:cs="Arial" w:eastAsia="SimHei" w:hint="eastAsia"/>
      <w:b w:val="0"/>
      <w:bCs w:val="0"/>
      <w:color w:val="000000"/>
      <w:i w:val="0"/>
      <w:iCs w:val="0"/>
      <w:sz w:val="22"/>
      <w:szCs w:val="22"/>
      <w:lang w:val="en-US" w:eastAsia="zh-CN"/>
    </w:rPr>
  </w:style>
  <w:style w:type="paragraph" w:styleId="Title">
    <w:name w:val="Title"/>
    <w:basedOn w:val="Normal"/>
    <w:next w:val="Normal"/>
    <w:link w:val="TitleChar"/>
    <w:uiPriority w:val="10"/>
    <w:qFormat/>
    <w:rsid w:val="00FC693F"/>
    <w:pPr>
      <w:spacing w:after="160" w:line="293" w:lineRule="auto"/>
      <w:contextualSpacing/>
    </w:pPr>
    <w:rPr>
      <w:rFonts w:ascii="Arial" w:hAnsi="Arial" w:cs="Arial" w:eastAsia="SimHei" w:hint="eastAsia"/>
      <w:color w:val="000000"/>
      <w:spacing w:val="5"/>
      <w:kern w:val="28"/>
      <w:sz w:val="46"/>
      <w:szCs w:val="46"/>
      <w:b w:val="0"/>
      <w:bCs w:val="0"/>
      <w:i w:val="0"/>
      <w:iCs w:val="0"/>
      <w:lang w:val="en-US" w:eastAsia="zh-CN"/>
    </w:rPr>
  </w:style>
  <w:style w:type="character" w:customStyle="1" w:styleId="TitleChar">
    <w:name w:val="Title Char"/>
    <w:basedOn w:val="DefaultParagraphFont"/>
    <w:link w:val="Title"/>
    <w:uiPriority w:val="10"/>
    <w:rsid w:val="00FC693F"/>
    <w:rPr>
      <w:rFonts w:ascii="Times New Roman" w:hAnsi="Times New Roman" w:cs="Times New Roman" w:eastAsia="SimSun" w:hint="eastAsia"/>
      <w:color w:val="000000"/>
      <w:spacing w:val="5"/>
      <w:kern w:val="28"/>
      <w:sz w:val="22"/>
      <w:szCs w:val="22"/>
      <w:b w:val="0"/>
      <w:bCs w:val="0"/>
      <w:i w:val="0"/>
      <w:iCs w:val="0"/>
      <w:lang w:val="en-US" w:eastAsia="zh-CN"/>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Sun" w:hint="eastAsia"/>
      <w:i w:val="0"/>
      <w:iCs w:val="0"/>
      <w:color w:val="000000"/>
      <w:spacing w:val="15"/>
      <w:sz w:val="22"/>
      <w:szCs w:val="22"/>
      <w:b w:val="0"/>
      <w:bCs w:val="0"/>
      <w:lang w:val="en-US" w:eastAsia="zh-CN"/>
    </w:rPr>
  </w:style>
  <w:style w:type="character" w:customStyle="1" w:styleId="SubtitleChar">
    <w:name w:val="Subtitle Char"/>
    <w:basedOn w:val="DefaultParagraphFont"/>
    <w:link w:val="Subtitle"/>
    <w:uiPriority w:val="11"/>
    <w:rsid w:val="00FC693F"/>
    <w:rPr>
      <w:rFonts w:ascii="Times New Roman" w:hAnsi="Times New Roman" w:cs="Times New Roman" w:eastAsia="SimSun" w:hint="eastAsia"/>
      <w:i w:val="0"/>
      <w:iCs w:val="0"/>
      <w:color w:val="000000"/>
      <w:spacing w:val="15"/>
      <w:sz w:val="22"/>
      <w:szCs w:val="22"/>
      <w:b w:val="0"/>
      <w:bCs w:val="0"/>
      <w:lang w:val="en-US" w:eastAsia="zh-CN"/>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hint="eastAsia"/>
      <w:color w:val="000000"/>
      <w:b w:val="0"/>
      <w:bCs w:val="0"/>
      <w:i w:val="0"/>
      <w:iCs w:val="0"/>
      <w:sz w:val="22"/>
      <w:szCs w:val="22"/>
      <w:lang w:val="en-US" w:eastAsia="zh-CN"/>
    </w:rPr>
  </w:style>
  <w:style w:type="character" w:customStyle="1" w:styleId="BodyTextChar">
    <w:name w:val="Body Text Char"/>
    <w:basedOn w:val="DefaultParagraphFont"/>
    <w:link w:val="BodyText"/>
    <w:uiPriority w:val="99"/>
    <w:rsid w:val="00AA1D8D"/>
    <w:rPr>
      <w:rFonts w:ascii="Times New Roman" w:hAnsi="Times New Roman" w:cs="Times New Roman" w:eastAsia="SimSun" w:hint="eastAsia"/>
      <w:color w:val="000000"/>
      <w:b w:val="0"/>
      <w:bCs w:val="0"/>
      <w:i w:val="0"/>
      <w:iCs w:val="0"/>
      <w:sz w:val="22"/>
      <w:szCs w:val="22"/>
      <w:lang w:val="en-US" w:eastAsia="zh-C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hint="eastAsia"/>
      <w:color w:val="000000"/>
      <w:b w:val="0"/>
      <w:bCs w:val="0"/>
      <w:i w:val="0"/>
      <w:iCs w:val="0"/>
      <w:sz w:val="22"/>
      <w:szCs w:val="22"/>
      <w:lang w:val="en-US" w:eastAsia="zh-CN"/>
    </w:rPr>
  </w:style>
  <w:style w:type="character" w:customStyle="1" w:styleId="BodyText2Char">
    <w:name w:val="Body Text 2 Char"/>
    <w:basedOn w:val="DefaultParagraphFont"/>
    <w:link w:val="BodyText2"/>
    <w:uiPriority w:val="99"/>
    <w:rsid w:val="00AA1D8D"/>
    <w:rPr>
      <w:rFonts w:ascii="Times New Roman" w:hAnsi="Times New Roman" w:cs="Times New Roman" w:eastAsia="SimSun" w:hint="eastAsia"/>
      <w:color w:val="000000"/>
      <w:b w:val="0"/>
      <w:bCs w:val="0"/>
      <w:i w:val="0"/>
      <w:iCs w:val="0"/>
      <w:sz w:val="22"/>
      <w:szCs w:val="22"/>
      <w:lang w:val="en-US" w:eastAsia="zh-C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hint="eastAsia"/>
      <w:sz w:val="22"/>
      <w:szCs w:val="22"/>
      <w:color w:val="000000"/>
      <w:b w:val="0"/>
      <w:bCs w:val="0"/>
      <w:i w:val="0"/>
      <w:iCs w:val="0"/>
      <w:lang w:val="en-US" w:eastAsia="zh-CN"/>
    </w:rPr>
  </w:style>
  <w:style w:type="character" w:customStyle="1" w:styleId="BodyText3Char">
    <w:name w:val="Body Text 3 Char"/>
    <w:basedOn w:val="DefaultParagraphFont"/>
    <w:link w:val="BodyText3"/>
    <w:uiPriority w:val="99"/>
    <w:rsid w:val="00AA1D8D"/>
    <w:rPr>
      <w:rFonts w:ascii="Times New Roman" w:hAnsi="Times New Roman" w:cs="Times New Roman" w:eastAsia="SimSun" w:hint="eastAsia"/>
      <w:sz w:val="22"/>
      <w:szCs w:val="22"/>
      <w:color w:val="000000"/>
      <w:b w:val="0"/>
      <w:bCs w:val="0"/>
      <w:i w:val="0"/>
      <w:iCs w:val="0"/>
      <w:lang w:val="en-US" w:eastAsia="zh-CN"/>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hint="eastAsia"/>
      <w:color w:val="000000"/>
      <w:b w:val="0"/>
      <w:bCs w:val="0"/>
      <w:i w:val="0"/>
      <w:iCs w:val="0"/>
      <w:sz w:val="22"/>
      <w:szCs w:val="22"/>
      <w:lang w:val="en-US" w:eastAsia="zh-C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hint="eastAsia"/>
      <w:sz w:val="22"/>
      <w:szCs w:val="22"/>
      <w:color w:val="000000"/>
      <w:b w:val="0"/>
      <w:bCs w:val="0"/>
      <w:i w:val="0"/>
      <w:iCs w:val="0"/>
      <w:lang w:val="en-US" w:eastAsia="zh-CN"/>
    </w:rPr>
  </w:style>
  <w:style w:type="character" w:customStyle="1" w:styleId="MacroTextChar">
    <w:name w:val="Macro Text Char"/>
    <w:basedOn w:val="DefaultParagraphFont"/>
    <w:link w:val="MacroText"/>
    <w:uiPriority w:val="99"/>
    <w:rsid w:val="0029639D"/>
    <w:rPr>
      <w:rFonts w:ascii="Times New Roman" w:hAnsi="Times New Roman" w:cs="Times New Roman" w:eastAsia="SimSun" w:hint="eastAsia"/>
      <w:sz w:val="22"/>
      <w:szCs w:val="22"/>
      <w:color w:val="000000"/>
      <w:b w:val="0"/>
      <w:bCs w:val="0"/>
      <w:i w:val="0"/>
      <w:iCs w:val="0"/>
      <w:lang w:val="en-US" w:eastAsia="zh-CN"/>
    </w:rPr>
  </w:style>
  <w:style w:type="paragraph" w:styleId="Quote">
    <w:name w:val="Quote"/>
    <w:basedOn w:val="Normal"/>
    <w:next w:val="Normal"/>
    <w:link w:val="QuoteChar"/>
    <w:uiPriority w:val="29"/>
    <w:qFormat/>
    <w:rsid w:val="00FC693F"/>
    <w:rPr>
      <w:rFonts w:ascii="Times New Roman" w:hAnsi="Times New Roman" w:cs="Times New Roman" w:eastAsia="SimSun" w:hint="eastAsia"/>
      <w:i w:val="0"/>
      <w:iCs w:val="0"/>
      <w:color w:val="000000"/>
      <w:b w:val="0"/>
      <w:bCs w:val="0"/>
      <w:sz w:val="22"/>
      <w:szCs w:val="22"/>
      <w:lang w:val="en-US" w:eastAsia="zh-CN"/>
    </w:rPr>
  </w:style>
  <w:style w:type="character" w:customStyle="1" w:styleId="QuoteChar">
    <w:name w:val="Quote Char"/>
    <w:basedOn w:val="DefaultParagraphFont"/>
    <w:link w:val="Quote"/>
    <w:uiPriority w:val="29"/>
    <w:rsid w:val="00FC693F"/>
    <w:rPr>
      <w:rFonts w:ascii="Times New Roman" w:hAnsi="Times New Roman" w:cs="Times New Roman" w:eastAsia="SimSun" w:hint="eastAsia"/>
      <w:i w:val="0"/>
      <w:iCs w:val="0"/>
      <w:color w:val="000000"/>
      <w:b w:val="0"/>
      <w:bCs w:val="0"/>
      <w:sz w:val="22"/>
      <w:szCs w:val="22"/>
      <w:lang w:val="en-US" w:eastAsia="zh-CN"/>
    </w:rPr>
  </w:style>
  <w:style w:type="character" w:customStyle="1" w:styleId="Heading4Char">
    <w:name w:val="Heading 4 Char"/>
    <w:basedOn w:val="DefaultParagraphFont"/>
    <w:link w:val="Heading4"/>
    <w:uiPriority w:val="9"/>
    <w:semiHidden/>
    <w:rsid w:val="00FC693F"/>
    <w:rPr>
      <w:rFonts w:ascii="Arial" w:hAnsi="Arial" w:cs="Arial" w:eastAsia="SimHei" w:hint="eastAsia"/>
      <w:b w:val="0"/>
      <w:bCs w:val="0"/>
      <w:i w:val="0"/>
      <w:iCs w:val="0"/>
      <w:color w:val="000000"/>
      <w:sz w:val="22"/>
      <w:szCs w:val="22"/>
      <w:lang w:val="en-US" w:eastAsia="zh-CN"/>
    </w:rPr>
  </w:style>
  <w:style w:type="character" w:customStyle="1" w:styleId="Heading5Char">
    <w:name w:val="Heading 5 Char"/>
    <w:basedOn w:val="DefaultParagraphFont"/>
    <w:link w:val="Heading5"/>
    <w:uiPriority w:val="9"/>
    <w:semiHidden/>
    <w:rsid w:val="00FC693F"/>
    <w:rPr>
      <w:rFonts w:ascii="Arial" w:hAnsi="Arial" w:cs="Arial" w:eastAsia="SimHei" w:hint="eastAsia"/>
      <w:color w:val="000000"/>
      <w:b w:val="0"/>
      <w:bCs w:val="0"/>
      <w:i w:val="0"/>
      <w:iCs w:val="0"/>
      <w:sz w:val="22"/>
      <w:szCs w:val="22"/>
      <w:lang w:val="en-US" w:eastAsia="zh-CN"/>
    </w:rPr>
  </w:style>
  <w:style w:type="character" w:customStyle="1" w:styleId="Heading6Char">
    <w:name w:val="Heading 6 Char"/>
    <w:basedOn w:val="DefaultParagraphFont"/>
    <w:link w:val="Heading6"/>
    <w:uiPriority w:val="9"/>
    <w:semiHidden/>
    <w:rsid w:val="00FC693F"/>
    <w:rPr>
      <w:rFonts w:ascii="Arial" w:hAnsi="Arial" w:cs="Arial" w:eastAsia="SimHei" w:hint="eastAsia"/>
      <w:i w:val="0"/>
      <w:iCs w:val="0"/>
      <w:color w:val="000000"/>
      <w:b w:val="0"/>
      <w:bCs w:val="0"/>
      <w:sz w:val="22"/>
      <w:szCs w:val="22"/>
      <w:lang w:val="en-US" w:eastAsia="zh-CN"/>
    </w:rPr>
  </w:style>
  <w:style w:type="character" w:customStyle="1" w:styleId="Heading7Char">
    <w:name w:val="Heading 7 Char"/>
    <w:basedOn w:val="DefaultParagraphFont"/>
    <w:link w:val="Heading7"/>
    <w:uiPriority w:val="9"/>
    <w:semiHidden/>
    <w:rsid w:val="00FC693F"/>
    <w:rPr>
      <w:rFonts w:ascii="Arial" w:hAnsi="Arial" w:cs="Arial" w:eastAsia="SimHei" w:hint="eastAsia"/>
      <w:i w:val="0"/>
      <w:iCs w:val="0"/>
      <w:color w:val="000000"/>
      <w:b w:val="0"/>
      <w:bCs w:val="0"/>
      <w:sz w:val="22"/>
      <w:szCs w:val="22"/>
      <w:lang w:val="en-US" w:eastAsia="zh-CN"/>
    </w:rPr>
  </w:style>
  <w:style w:type="character" w:customStyle="1" w:styleId="Heading8Char">
    <w:name w:val="Heading 8 Char"/>
    <w:basedOn w:val="DefaultParagraphFont"/>
    <w:link w:val="Heading8"/>
    <w:uiPriority w:val="9"/>
    <w:semiHidden/>
    <w:rsid w:val="00FC693F"/>
    <w:rPr>
      <w:rFonts w:ascii="Arial" w:hAnsi="Arial" w:cs="Arial" w:eastAsia="SimHei" w:hint="eastAsia"/>
      <w:color w:val="000000"/>
      <w:sz w:val="22"/>
      <w:szCs w:val="22"/>
      <w:b w:val="0"/>
      <w:bCs w:val="0"/>
      <w:i w:val="0"/>
      <w:iCs w:val="0"/>
      <w:lang w:val="en-US" w:eastAsia="zh-CN"/>
    </w:rPr>
  </w:style>
  <w:style w:type="character" w:customStyle="1" w:styleId="Heading9Char">
    <w:name w:val="Heading 9 Char"/>
    <w:basedOn w:val="DefaultParagraphFont"/>
    <w:link w:val="Heading9"/>
    <w:uiPriority w:val="9"/>
    <w:semiHidden/>
    <w:rsid w:val="00FC693F"/>
    <w:rPr>
      <w:rFonts w:ascii="Arial" w:hAnsi="Arial" w:cs="Arial" w:eastAsia="SimHei" w:hint="eastAsia"/>
      <w:i w:val="0"/>
      <w:iCs w:val="0"/>
      <w:color w:val="000000"/>
      <w:sz w:val="22"/>
      <w:szCs w:val="22"/>
      <w:b w:val="0"/>
      <w:bCs w:val="0"/>
      <w:lang w:val="en-US" w:eastAsia="zh-CN"/>
    </w:rPr>
  </w:style>
  <w:style w:type="paragraph" w:styleId="Caption">
    <w:name w:val="caption"/>
    <w:basedOn w:val="Normal"/>
    <w:next w:val="Normal"/>
    <w:uiPriority w:val="35"/>
    <w:semiHidden/>
    <w:unhideWhenUsed/>
    <w:qFormat/>
    <w:rsid w:val="00FC693F"/>
    <w:pPr>
      <w:spacing w:line="293" w:lineRule="auto" w:after="160"/>
    </w:pPr>
    <w:rPr>
      <w:rFonts w:ascii="Times New Roman" w:hAnsi="Times New Roman" w:cs="Times New Roman" w:eastAsia="SimSun" w:hint="eastAsia"/>
      <w:b w:val="0"/>
      <w:bCs w:val="0"/>
      <w:color w:val="000000"/>
      <w:sz w:val="18"/>
      <w:szCs w:val="18"/>
      <w:i w:val="0"/>
      <w:iCs w:val="0"/>
      <w:lang w:val="en-US" w:eastAsia="zh-CN"/>
    </w:rPr>
  </w:style>
  <w:style w:type="character" w:styleId="Strong">
    <w:name w:val="Strong"/>
    <w:basedOn w:val="DefaultParagraphFont"/>
    <w:uiPriority w:val="22"/>
    <w:qFormat/>
    <w:rsid w:val="00FC693F"/>
    <w:rPr>
      <w:rFonts w:ascii="Times New Roman" w:hAnsi="Times New Roman" w:cs="Times New Roman" w:eastAsia="SimSun" w:hint="eastAsia"/>
      <w:b w:val="0"/>
      <w:bCs w:val="0"/>
      <w:color w:val="000000"/>
      <w:i w:val="0"/>
      <w:iCs w:val="0"/>
      <w:sz w:val="22"/>
      <w:szCs w:val="22"/>
      <w:lang w:val="en-US" w:eastAsia="zh-CN"/>
    </w:rPr>
  </w:style>
  <w:style w:type="character" w:styleId="Emphasis">
    <w:name w:val="Emphasis"/>
    <w:basedOn w:val="DefaultParagraphFont"/>
    <w:uiPriority w:val="20"/>
    <w:qFormat/>
    <w:rsid w:val="00FC693F"/>
    <w:rPr>
      <w:rFonts w:ascii="Times New Roman" w:hAnsi="Times New Roman" w:cs="Times New Roman" w:eastAsia="SimSun" w:hint="eastAsia"/>
      <w:i w:val="0"/>
      <w:iCs w:val="0"/>
      <w:color w:val="000000"/>
      <w:b w:val="0"/>
      <w:bCs w:val="0"/>
      <w:sz w:val="22"/>
      <w:szCs w:val="22"/>
      <w:lang w:val="en-US" w:eastAsia="zh-CN"/>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rFonts w:ascii="Times New Roman" w:hAnsi="Times New Roman" w:cs="Times New Roman" w:eastAsia="SimSun" w:hint="eastAsia"/>
      <w:b w:val="0"/>
      <w:bCs w:val="0"/>
      <w:i w:val="0"/>
      <w:iCs w:val="0"/>
      <w:color w:val="000000"/>
      <w:sz w:val="22"/>
      <w:szCs w:val="22"/>
      <w:lang w:val="en-US" w:eastAsia="zh-CN"/>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SimSun" w:hint="eastAsia"/>
      <w:b w:val="0"/>
      <w:bCs w:val="0"/>
      <w:i w:val="0"/>
      <w:iCs w:val="0"/>
      <w:color w:val="000000"/>
      <w:sz w:val="22"/>
      <w:szCs w:val="22"/>
      <w:lang w:val="en-US" w:eastAsia="zh-CN"/>
    </w:rPr>
  </w:style>
  <w:style w:type="character" w:styleId="SubtleEmphasis">
    <w:name w:val="Subtle Emphasis"/>
    <w:basedOn w:val="DefaultParagraphFont"/>
    <w:uiPriority w:val="19"/>
    <w:qFormat/>
    <w:rsid w:val="00FC693F"/>
    <w:rPr>
      <w:rFonts w:ascii="Times New Roman" w:hAnsi="Times New Roman" w:cs="Times New Roman" w:eastAsia="SimSun" w:hint="eastAsia"/>
      <w:i w:val="0"/>
      <w:iCs w:val="0"/>
      <w:color w:val="000000"/>
      <w:b w:val="0"/>
      <w:bCs w:val="0"/>
      <w:sz w:val="22"/>
      <w:szCs w:val="22"/>
      <w:lang w:val="en-US" w:eastAsia="zh-CN"/>
    </w:rPr>
  </w:style>
  <w:style w:type="character" w:styleId="IntenseEmphasis">
    <w:name w:val="Intense Emphasis"/>
    <w:basedOn w:val="DefaultParagraphFont"/>
    <w:uiPriority w:val="21"/>
    <w:qFormat/>
    <w:rsid w:val="00FC693F"/>
    <w:rPr>
      <w:rFonts w:ascii="Times New Roman" w:hAnsi="Times New Roman" w:cs="Times New Roman" w:eastAsia="SimSun" w:hint="eastAsia"/>
      <w:b w:val="0"/>
      <w:bCs w:val="0"/>
      <w:i w:val="0"/>
      <w:iCs w:val="0"/>
      <w:color w:val="000000"/>
      <w:sz w:val="22"/>
      <w:szCs w:val="22"/>
      <w:lang w:val="en-US" w:eastAsia="zh-CN"/>
    </w:rPr>
  </w:style>
  <w:style w:type="character" w:styleId="SubtleReference">
    <w:name w:val="Subtle Reference"/>
    <w:basedOn w:val="DefaultParagraphFont"/>
    <w:uiPriority w:val="31"/>
    <w:qFormat/>
    <w:rsid w:val="00FC693F"/>
    <w:rPr>
      <w:rFonts w:ascii="Times New Roman" w:hAnsi="Times New Roman" w:cs="Times New Roman" w:eastAsia="SimSun" w:hint="eastAsia"/>
      <w:smallCaps/>
      <w:color w:val="000000"/>
      <w:b w:val="0"/>
      <w:bCs w:val="0"/>
      <w:i w:val="0"/>
      <w:iCs w:val="0"/>
      <w:sz w:val="22"/>
      <w:szCs w:val="22"/>
      <w:lang w:val="en-US" w:eastAsia="zh-CN"/>
    </w:rPr>
  </w:style>
  <w:style w:type="character" w:styleId="IntenseReference">
    <w:name w:val="Intense Reference"/>
    <w:basedOn w:val="DefaultParagraphFont"/>
    <w:uiPriority w:val="32"/>
    <w:qFormat/>
    <w:rsid w:val="00FC693F"/>
    <w:rPr>
      <w:rFonts w:ascii="Times New Roman" w:hAnsi="Times New Roman" w:cs="Times New Roman" w:eastAsia="SimSun" w:hint="eastAsia"/>
      <w:b w:val="0"/>
      <w:bCs w:val="0"/>
      <w:smallCaps/>
      <w:color w:val="000000"/>
      <w:spacing w:val="5"/>
      <w:i w:val="0"/>
      <w:iCs w:val="0"/>
      <w:sz w:val="22"/>
      <w:szCs w:val="22"/>
      <w:lang w:val="en-US" w:eastAsia="zh-CN"/>
    </w:rPr>
  </w:style>
  <w:style w:type="character" w:styleId="BookTitle">
    <w:name w:val="Book Title"/>
    <w:basedOn w:val="DefaultParagraphFont"/>
    <w:uiPriority w:val="33"/>
    <w:qFormat/>
    <w:rsid w:val="00FC693F"/>
    <w:rPr>
      <w:rFonts w:ascii="Times New Roman" w:hAnsi="Times New Roman" w:cs="Times New Roman" w:eastAsia="SimSun" w:hint="eastAsia"/>
      <w:b w:val="0"/>
      <w:bCs w:val="0"/>
      <w:smallCaps/>
      <w:spacing w:val="5"/>
      <w:color w:val="000000"/>
      <w:i w:val="0"/>
      <w:iCs w:val="0"/>
      <w:sz w:val="22"/>
      <w:szCs w:val="22"/>
      <w:lang w:val="en-US" w:eastAsia="zh-CN"/>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hint="eastAsia"/>
      <w:color w:val="000000"/>
      <w:b w:val="0"/>
      <w:bCs w:val="0"/>
      <w:i w:val="0"/>
      <w:iCs w:val="0"/>
      <w:sz w:val="22"/>
      <w:szCs w:val="22"/>
      <w:lang w:val="en-US" w:eastAsia="zh-C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cs="Times New Roman" w:eastAsia="SimSun" w:hint="eastAsia"/>
      <w:color w:val="000000"/>
      <w:b w:val="0"/>
      <w:bCs w:val="0"/>
      <w:i w:val="0"/>
      <w:iCs w:val="0"/>
      <w:sz w:val="22"/>
      <w:szCs w:val="22"/>
      <w:lang w:val="en-US" w:eastAsia="zh-CN"/>
    </w:rPr>
  </w:style>
  <w:style w:type="table" w:styleId="LightShading">
    <w:name w:val="Light Shading"/>
    <w:basedOn w:val="TableNormal"/>
    <w:uiPriority w:val="60"/>
    <w:rsid w:val="00FC693F"/>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cstheme="majorBidi"/>
        <w:b/>
        <w:bCs/>
      </w:rPr>
    </w:tblStylePr>
    <w:tblStylePr w:type="lastCol">
      <w:rPr>
        <w:rFonts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cstheme="majorBid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cstheme="majorBidi"/>
        <w:b/>
        <w:bCs/>
      </w:rPr>
    </w:tblStylePr>
    <w:tblStylePr w:type="lastCol">
      <w:rPr>
        <w:rFonts w:cstheme="majorBid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cstheme="majorBid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cstheme="majorBidi"/>
        <w:b/>
        <w:bCs/>
      </w:rPr>
    </w:tblStylePr>
    <w:tblStylePr w:type="lastCol">
      <w:rPr>
        <w:rFonts w:cstheme="majorBid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cstheme="majorBid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cstheme="majorBidi"/>
        <w:b/>
        <w:bCs/>
      </w:rPr>
    </w:tblStylePr>
    <w:tblStylePr w:type="lastCol">
      <w:rPr>
        <w:rFonts w:cstheme="majorBid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cstheme="majorBid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cstheme="majorBidi"/>
        <w:b/>
        <w:bCs/>
      </w:rPr>
    </w:tblStylePr>
    <w:tblStylePr w:type="lastCol">
      <w:rPr>
        <w:rFonts w:cstheme="majorBid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cstheme="majorBid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cstheme="majorBidi"/>
        <w:b/>
        <w:bCs/>
      </w:rPr>
    </w:tblStylePr>
    <w:tblStylePr w:type="lastCol">
      <w:rPr>
        <w:rFonts w:cstheme="majorBid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cstheme="majorBidi"/>
        <w:b/>
        <w:bCs/>
      </w:rPr>
    </w:tblStylePr>
    <w:tblStylePr w:type="lastCol">
      <w:rPr>
        <w:rFonts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List1">
    <w:name w:val="Medium List 1"/>
    <w:basedOn w:val="TableNormal"/>
    <w:uiPriority w:val="65"/>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heme="majorBidi"/>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heme="majorBidi"/>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heme="majorBidi"/>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heme="majorBidi"/>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heme="majorBidi"/>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heme="majorBidi"/>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2">
    <w:name w:val="Medium Grid 2"/>
    <w:basedOn w:val="TableNormal"/>
    <w:uiPriority w:val="68"/>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rPr>
      <w:rFonts w:ascii="Times New Roman" w:hAnsi="Times New Roman" w:cs="Times New Roman" w:eastAsia="SimSun" w:hint="eastAsia"/>
      <w:color w:val="000000"/>
      <w:b w:val="0"/>
      <w:bCs w:val="0"/>
      <w:i w:val="0"/>
      <w:iCs w:val="0"/>
      <w:sz w:val="22"/>
      <w:szCs w:val="22"/>
      <w:lang w:val="en-US" w:eastAsia="zh-CN"/>
    </w:rPr>
  </w:style>
  <w:style w:type="table" w:styleId="DarkList">
    <w:name w:val="Dark List"/>
    <w:basedOn w:val="TableNormal"/>
    <w:uiPriority w:val="70"/>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SimSun" w:hint="eastAsia"/>
      <w:color w:val="000000"/>
      <w:b w:val="0"/>
      <w:bCs w:val="0"/>
      <w:i w:val="0"/>
      <w:iCs w:val="0"/>
      <w:sz w:val="22"/>
      <w:szCs w:val="22"/>
      <w:lang w:val="en-US" w:eastAsia="zh-CN"/>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合同变更识别完整流程与算法说明</dc:title>
  <dc:subject>历史导入 向量化 合同解析比对与类型投票</dc:subject>
  <dc:creator>项目技术说明</dc:creator>
  <cp:keywords/>
  <dc:description>generated by python-docx</dc:description>
  <cp:lastModifiedBy/>
  <cp:revision>1</cp:revision>
  <dcterms:created xsi:type="dcterms:W3CDTF">2013-12-23T23:15:00Z</dcterms:created>
  <dcterms:modified xsi:type="dcterms:W3CDTF">2013-12-23T23:15:00Z</dcterms:modified>
  <cp:category/>
</cp:coreProperties>
</file>