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Calibri" w:hAnsi="Calibri" w:eastAsia="Microsoft YaHei"/>
          <w:b/>
          <w:color w:val="2E74B5"/>
          <w:sz w:val="20"/>
        </w:rPr>
        <w:t>PROJECT BUSINESS &amp; API GUIDE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83B56"/>
          <w:sz w:val="56"/>
        </w:rPr>
        <w:t>合同段落变更类型识别服务</w:t>
      </w:r>
    </w:p>
    <w:p>
      <w:pPr>
        <w:spacing w:after="720"/>
        <w:jc w:val="center"/>
      </w:pPr>
      <w:r>
        <w:rPr>
          <w:rFonts w:ascii="Calibri" w:hAnsi="Calibri" w:eastAsia="Microsoft YaHei"/>
          <w:b/>
          <w:color w:val="2E74B5"/>
          <w:sz w:val="34"/>
        </w:rPr>
        <w:t>项目业务与接口说明</w:t>
      </w:r>
    </w:p>
    <w:p>
      <w:pPr>
        <w:spacing w:after="680" w:line="312" w:lineRule="auto"/>
        <w:jc w:val="center"/>
      </w:pPr>
      <w:r>
        <w:rPr>
          <w:rFonts w:ascii="Calibri" w:hAnsi="Calibri" w:eastAsia="Microsoft YaHei"/>
          <w:color w:val="667085"/>
          <w:sz w:val="22"/>
        </w:rPr>
        <w:t>历史样本导入  ·  统一Embedding网关  ·  JVM内存检索</w:t>
        <w:br/>
        <w:t>多标签加权投票  ·  Oracle持久化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20"/>
              </w:rPr>
              <w:t>项目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20"/>
              </w:rPr>
              <w:t>内容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文档版本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V1.0（交付版）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适用项目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glxt-service-contract-change 1.0.0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技术基线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Java 8 / Spring Boot 2.1.5 / Oracle 11g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编制日期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2026年8月27日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交付范围：</w:t>
      </w:r>
      <w:r>
        <w:rPr>
          <w:rFonts w:ascii="Calibri" w:hAnsi="Calibri" w:eastAsia="Microsoft YaHei"/>
          <w:color w:val="222222"/>
          <w:sz w:val="21"/>
        </w:rPr>
        <w:t>本文档以当前代码实现为准，覆盖业务边界、四个业务接口、模型网关契约、配置、数据库、部署、错误处理和验收。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目录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项目说明与业务边界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总体架构与核心流程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公共调用约定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历史样本Excel导入接口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新合同段落预测接口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内存索引运维接口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统一Embedding模型网关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业务算法与结果解释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配置项说明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Oracle数据结构与数据一致性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部署、启动与模型迁移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错误处理、日志与安全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联调与验收清单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附录：调用示例与Excel模板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阅读建议：</w:t>
      </w:r>
      <w:r>
        <w:rPr>
          <w:rFonts w:ascii="Calibri" w:hAnsi="Calibri" w:eastAsia="Microsoft YaHei"/>
          <w:color w:val="222222"/>
          <w:sz w:val="21"/>
        </w:rPr>
        <w:t>业务调用方重点阅读第3至6章；开发人员重点阅读第7至10章；部署与运维人员重点阅读第9至12章。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1. 项目说明与业务边界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本服务利用已经确认过的历史合同段落及其变更类型编码，识别新合同段落可能对应的一个或多个变更类型。历史样本通过Excel导入，向量保存到Oracle；预测时在JVM内存中进行精确向量比较。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1.1 业务目标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保存“历史合同段落—变更类型编码”的稳定对应关系。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对新段落优先做完全相同文本匹配，未命中时再进行语义相似度检索。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从最相似的历史段落标签中综合判断新段落的多个候选变更类型。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返回类型得分、可信等级和参考历史段落，便于调用方理解结果来源。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1.2 第一版明确边界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边界项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当前约定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输入粒度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每次输入已经切分好的单个合同段落；不解析整份PDF或Word。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历史数据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第一张Sheet固定两列，单次最多1000条，累计物理记录最多10000条。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变更类型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只使用稳定的类型编码；不依赖TPIF_XBGHTZJ，不查询类型名称和层级。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检索方式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JVM内存逐条计算，不引入向量数据库或HNSW。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模型能力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调用公司内网统一Embedding网关，本项目不部署Python服务或模型容器。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预测留痕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预测结果不入库，不建设任务表、反馈表和人工确认表。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部署形态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第一版按单个Java实例设计；多实例时需要额外解决各实例索引同步。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1.3 技术组成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组件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应用框架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Java 8，Spring Boot 2.1.5.RELEASE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数据访问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MyBatis-Plus 3.4.3.4；业务SQL全部写在XML中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Oracle 11g；一张业务表、一条Sequence、一个普通索引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Apache POI 4.1.2；仅支持.xlsx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接口文档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Springfox Swagger 2.9.2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公司内网统一Embedding网关；Qwen3-Embedding-8B部署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2. 总体架构与核心流程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852160" cy="2470912"/>
            <wp:docPr id="1" name="Picture 1" title="合同段落变更类型识别业务闭环" descr="历史Excel经统一模型网关生成向量后保存到Oracle并加载JVM内存索引，新段落据此返回变更类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7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667085"/>
          <w:sz w:val="18"/>
        </w:rPr>
        <w:t>图1  合同段落变更类型识别业务闭环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2.1 历史样本导入主流程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校验上传文件、xlsx扩展名、表头、行数、段落长度和类型编码。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规范化合同段落，计算SHA-256，并检查Excel内部重复或标签冲突。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分批查询Oracle，判断新增、幂等跳过、模型版本更新或标签冲突。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按照batch-size调用统一模型网关，校验维度和数值并执行L2归一化。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全部向量生成成功后，在一个数据库事务中新增或更新全部记录。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事务提交后从Oracle重建JVM内存索引，并原子替换旧快照。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事务原则：</w:t>
      </w:r>
      <w:r>
        <w:rPr>
          <w:rFonts w:ascii="Calibri" w:hAnsi="Calibri" w:eastAsia="Microsoft YaHei"/>
          <w:color w:val="222222"/>
          <w:sz w:val="21"/>
        </w:rPr>
        <w:t>模型调用发生在数据库事务之前。任何一批模型调用失败，本次Excel不会写入数据库；数据库写入阶段任意一条失败，整批回滚。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2.2 新段落预测主流程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使用与导入相同的规则规范化文本并计算Hash。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Hash完全命中时直接返回历史类型，跳过模型调用。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未命中且索引可用时，调用模型生成新段落的1024维向量。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将新段落向量与当前内存中的历史段落向量逐条比较，保留前10条。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过滤相似度低于0.60的记录，对前10条可靠记录执行平方加权投票。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返回达到阈值的类型、可信等级以及最多5条参考历史段落。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重要澄清：</w:t>
      </w:r>
      <w:r>
        <w:rPr>
          <w:rFonts w:ascii="Calibri" w:hAnsi="Calibri" w:eastAsia="Microsoft YaHei"/>
          <w:color w:val="222222"/>
          <w:sz w:val="21"/>
        </w:rPr>
        <w:t>新段落只与历史段落进行向量比较，不会与变更类型编码做向量比较。变更类型编码只是历史段落已经确认的标签。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3. 公共调用约定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3.1 服务地址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值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默认端口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8080，可由SERVER_PORT覆盖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服务上下文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业务接口前缀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/service/contract-change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Swagger UI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/glxt-service-contract-change/swagger-ui.html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Actuator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/glxt-service-contract-change/actuator/health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3.2 统一响应结构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900"/>
        <w:gridCol w:w="1600"/>
        <w:gridCol w:w="58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字段</w:t>
            </w:r>
          </w:p>
        </w:tc>
        <w:tc>
          <w:tcPr>
            <w:tcW w:type="dxa" w:w="16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类型</w:t>
            </w:r>
          </w:p>
        </w:tc>
        <w:tc>
          <w:tcPr>
            <w:tcW w:type="dxa" w:w="5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code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Integer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业务响应码；调用方必须优先判断该字段。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message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String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可向操作人员展示的结果说明。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data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Object / null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成功数据，或Excel校验失败时的结构化错误详情。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3.3 业务响应码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200"/>
        <w:gridCol w:w="2400"/>
        <w:gridCol w:w="5760"/>
      </w:tblGrid>
      <w:tr>
        <w:trPr>
          <w:tblHeader w:val="true"/>
        </w:trPr>
        <w:tc>
          <w:tcPr>
            <w:tcW w:type="dxa" w:w="1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code</w:t>
            </w:r>
          </w:p>
        </w:tc>
        <w:tc>
          <w:tcPr>
            <w:tcW w:type="dxa" w:w="24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含义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常见场景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200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处理成功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导入成功、预测成功、索引操作成功。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400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参数或业务校验失败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缺少UserId、Excel格式错误、标签冲突、段落超长。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500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未预期的系统错误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数据库或代码内部出现未处理异常。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503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依赖服务不可用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模型网关不可用、索引不可用。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HTTP状态说明：</w:t>
      </w:r>
      <w:r>
        <w:rPr>
          <w:rFonts w:ascii="Calibri" w:hAnsi="Calibri" w:eastAsia="Microsoft YaHei"/>
          <w:color w:val="222222"/>
          <w:sz w:val="21"/>
        </w:rPr>
        <w:t>当前实现通过统一JSON响应体返回业务结果，业务异常通常仍由HTTP 200承载。调用方不要只判断HTTP状态，必须判断响应体code。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3.4 UserId请求头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历史样本导入和段落预测必须携带UserId，值为实际操作人工号。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服务将UserId透传到模型网关的UserId请求头，用于模型平台审计。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UserId不写数据库、不输出日志；索引状态和索引重载不需要该请求头。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调用方Authorization不会转发到模型平台；模型Bearer Token来自服务端EMBEDDING_API_KEY。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4. 历史样本Excel导入接口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/service/contract-change/samples/import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完整路径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/glxt-service-contract-change/service/contract-change/samples/import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Content-Type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multipart/form-data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必填请求头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UserId: 实际操作人工号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表单字段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file：.xlsx文件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执行方式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同步执行；请求等待到模型调用、入库和索引刷新完成。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4.1 Excel格式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只读取第一张Sheet的前两列，首行表头必须完全一致。整行为空时跳过，不计入数据行数。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6000"/>
        <w:gridCol w:w="3360"/>
      </w:tblGrid>
      <w:tr>
        <w:trPr>
          <w:tblHeader w:val="true"/>
        </w:trPr>
        <w:tc>
          <w:tcPr>
            <w:tcW w:type="dxa" w:w="6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合同段落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变更类型编码</w:t>
            </w:r>
          </w:p>
        </w:tc>
      </w:tr>
      <w:tr>
        <w:tc>
          <w:tcPr>
            <w:tcW w:type="dxa" w:w="6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历史段落A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TYPE01;TYPE02;TYPE03</w:t>
            </w:r>
          </w:p>
        </w:tc>
      </w:tr>
      <w:tr>
        <w:tc>
          <w:tcPr>
            <w:tcW w:type="dxa" w:w="6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历史段落B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TYPE05;TYPE09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类型编码可使用英文分号、中文分号、英文逗号或中文逗号分隔；入库前统一为英文分号。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类型编码会去空、去重并按字典序排序；单个编码最长64字符，总长度最长4000字符。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编码内部不能包含空白字符。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规范化后的合同段落默认最多2000字符；超过时明确拒绝，不自动截断。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文件最大20MB；单次最多1000个非空数据行。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4.2 重复、更新与冲突规则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800"/>
        <w:gridCol w:w="5560"/>
      </w:tblGrid>
      <w:tr>
        <w:trPr>
          <w:tblHeader w:val="true"/>
        </w:trPr>
        <w:tc>
          <w:tcPr>
            <w:tcW w:type="dxa" w:w="3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情况</w:t>
            </w:r>
          </w:p>
        </w:tc>
        <w:tc>
          <w:tcPr>
            <w:tcW w:type="dxa" w:w="5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处理结果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Excel内相同段落、相同类型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保留第一条，后续行计入skipped。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Excel内相同段落、不同类型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整批校验失败，返回首次出现行号。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数据库已有相同段落、相同类型、当前模型/维度且生效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幂等跳过，计入skipped。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数据库已有相同段落、相同类型，但停用或模型/维度变化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重新生成向量、更新原记录并启用，计入updated。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数据库已有相同段落、不同类型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整批拒绝，不静默覆盖历史标签。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新增后物理记录将超过10000条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拒绝导入；更新旧记录不增加物理记录数。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4.3 成功响应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"success": true,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"totalRows": 3,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"inserted": 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"updated":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"skipped": 1,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"indexReloaded": true,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"errors": []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字段</w:t>
            </w:r>
          </w:p>
        </w:tc>
        <w:tc>
          <w:tcPr>
            <w:tcW w:type="dxa" w:w="70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success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本批是否通过校验并完成数据库写入。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totalRows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Excel实际读取的非空数据行数。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inserted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新增记录数。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updated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重新启用或按当前模型重新生成向量的记录数。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skipped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Excel内或数据库中标签一致的重复记录数。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indexReloaded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数据库提交后是否成功切换到新内存索引。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errors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逐行校验错误；成功时为空数组。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索引刷新失败：</w:t>
      </w:r>
      <w:r>
        <w:rPr>
          <w:rFonts w:ascii="Calibri" w:hAnsi="Calibri" w:eastAsia="Microsoft YaHei"/>
          <w:color w:val="222222"/>
          <w:sz w:val="21"/>
        </w:rPr>
        <w:t>如果数据库已经提交但索引重载失败，success仍为true，indexReloaded为false。此时应排查日志并调用索引重载接口；数据库数据不会回滚。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4.4 校验失败响应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400,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"Excel导入校验失败",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"success": false,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"totalRows": 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"inserted":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"updated":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"skipped":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"indexReloaded": false,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{"row": 3, "message": "变更类型编码不能为空"}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文件为空、扩展名错误、损坏的xlsx等请求级错误会返回code=400且data=null；模型网关失败返回code=503且data=null。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5. 新合同段落预测接口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/service/contract-change/predict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完整路径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/glxt-service-contract-change/service/contract-change/predict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Content-Type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application/json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必填请求头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UserId: 实际操作人工号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已经切分好的单个合同段落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结果落库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不落库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5.1 请求报文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"paragraph": "需要识别变更类型的新合同段落"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paragraph不能为空。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规范化后默认不能超过2000字符。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服务不自动截断，防止丢失否定词、金额、比例、主体或权利义务信息。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5.2 EXACT精确命中响应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"EXACT",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1.0000,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"TYPE01", "score": 1.0000, "supportCount": 1, "level": "HIGH"}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1001,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"历史合同段落原文",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1.0000,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["TYPE01"]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EXACT表示规范化文本Hash完全相同，因此直接复用历史标签，不调用模型。精确命中属于确定性规则，类型直接标记为HIGH。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5.3 SEMANTIC语义匹配响应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"SEMANTIC",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0.8796,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"35", "score": 0.8462, "supportCount": 3, "level": "HIGH"},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"40", "score": 0.6127, "supportCount": 2, "level": "CANDIDATE"}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1006,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"与新段落最接近的历史段落",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0.8796,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["35", "40"]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5.4 NO_RELIABLE_MATCH响应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"NO_RELIABLE_MATCH",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0.5934,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1012,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"当前最接近但仍不足以可靠判断的历史段落",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0.5934,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["TYPE09"]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NO_RELIABLE_MATCH不表示没有找到任何相似段落，而是没有类型达到当前可靠返回规则。references仍可能提供排查和人工判断依据。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5.5 响应字段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6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EXACT、SEMANTIC或NO_RELIABLE_MATCH。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modelVersion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本次使用的向量兼容版本。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maxSimilarity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新段落与召回历史段落中的最高余弦相似度；精确命中为1。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changeTypes[].code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候选变更类型编码。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changeTypes[].score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该类型获得的权重占全部投票样本权重的比例。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changeTypes[].supportCount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参与投票的历史样本中包含该类型的记录数。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changeTypes[].level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HIGH或CANDIDATE。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references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按相似度倒序返回的历史参考段落，最多5条。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references[].similarity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新段落与该条历史段落的余弦相似度。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数值位数：</w:t>
      </w:r>
      <w:r>
        <w:rPr>
          <w:rFonts w:ascii="Calibri" w:hAnsi="Calibri" w:eastAsia="Microsoft YaHei"/>
          <w:color w:val="222222"/>
          <w:sz w:val="21"/>
        </w:rPr>
        <w:t>相似度和类型得分在JSON中最多保留四位小数；内部排序、阈值判断和投票使用完整精度。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6. 内存索引运维接口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6.1 手工重载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/service/contract-change/index/reload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请求体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无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不需要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作用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从Oracle重新构建当前模型版本和维度的只读内存快照；不重新生成向量。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调用时机：</w:t>
      </w:r>
      <w:r>
        <w:rPr>
          <w:rFonts w:ascii="Calibri" w:hAnsi="Calibri" w:eastAsia="Microsoft YaHei"/>
          <w:color w:val="222222"/>
          <w:sz w:val="21"/>
        </w:rPr>
        <w:t>数据库被人工维护、索引重载失败或需要重新核对索引时调用。正常Excel导入成功后会自动重载，一般不需要重复调用。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6.2 查询索引状态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GET /service/contract-change/index/status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请求体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无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不需要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作用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返回当前实际提供预测服务的内存索引快照状态。</w:t>
            </w:r>
          </w:p>
        </w:tc>
      </w:tr>
    </w:tbl>
    <w:p>
      <w:pPr>
        <w:spacing w:after="40"/>
      </w:pP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"status": "READY",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"sampleCount": 8234,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"vectorDimension": 1024,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"loadedAt": "2026-08-27T10:15:30.000+0800",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"errorCount": 0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loadedAt的具体JSON日期格式由项目统一Jackson配置决定；调用方应按日期时间字段解析，不应依赖展示字符串。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6.3 状态含义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700"/>
        <w:gridCol w:w="4100"/>
        <w:gridCol w:w="3560"/>
      </w:tblGrid>
      <w:tr>
        <w:trPr>
          <w:tblHeader w:val="true"/>
        </w:trPr>
        <w:tc>
          <w:tcPr>
            <w:tcW w:type="dxa" w:w="1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状态</w:t>
            </w:r>
          </w:p>
        </w:tc>
        <w:tc>
          <w:tcPr>
            <w:tcW w:type="dxa" w:w="4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含义</w:t>
            </w:r>
          </w:p>
        </w:tc>
        <w:tc>
          <w:tcPr>
            <w:tcW w:type="dxa" w:w="3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预测行为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NOT_READY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应用尚未完成首次加载。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返回code=503。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READY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全部目标记录加载成功。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正常提供精确和语义预测。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EMPTY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当前模型版本、维度和生效条件下没有数据。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返回NO_RELIABLE_MATCH，不调用模型。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DEGRADED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部分数据库向量损坏并被跳过。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有可用样本时继续预测；样本数为0时返回503。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LOAD_FAILED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首次查询Oracle失败且没有旧索引可用。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返回code=503。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索引重载先在临时结构中完整构建，再使用AtomicReference一次性替换。重载过程中，正在执行的预测继续使用旧快照，不会读到半成品索引。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6.4 Actuator健康状态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NOT_READY和LOAD_FAILED：DOWN。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DEGRADED且sampleCount=0：DOWN。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READY、EMPTY，以及仍有可用样本的DEGRADED：UP。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健康检查只检查Java服务、数据库自动健康项和内存索引，不主动调用模型推理接口。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7. 统一Embedding模型网关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7.1 当前已确认参数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参数</w:t>
            </w:r>
          </w:p>
        </w:tc>
        <w:tc>
          <w:tcPr>
            <w:tcW w:type="dxa" w:w="6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当前值/规则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测试地址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http://aihub-test.citicsinfo.com/embedding/api/qwen3-embedding-local/v1/embeddings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生产地址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http://aihub.citicsinfo.com/embedding/api/qwen3-embedding-local/v1/embeddings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请求模型名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gen-studio-Qwen3-Embedding-8B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项目模型版本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gen-studio-Qwen3-Embedding-8B-1024-v1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维度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显式请求1024；平台省略时默认4096。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编码格式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float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用户头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UserId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认证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Authorization: Bearer &lt;EMBEDDING_API_KEY&gt;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平台额度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每日最高6000万Token；项目仍以2000字符控制单段输入。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7.2 Java发往网关的请求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POST &lt;EMBEDDING_URL&gt;</w:t>
        <w:br/>
      </w:r>
      <w:r>
        <w:rPr>
          <w:rFonts w:ascii="Courier New" w:hAnsi="Courier New" w:eastAsia="Microsoft YaHei"/>
          <w:color w:val="273142"/>
          <w:sz w:val="17"/>
        </w:rPr>
        <w:t>Content-Type: application/json</w:t>
        <w:br/>
      </w:r>
      <w:r>
        <w:rPr>
          <w:rFonts w:ascii="Courier New" w:hAnsi="Courier New" w:eastAsia="Microsoft YaHei"/>
          <w:color w:val="273142"/>
          <w:sz w:val="17"/>
        </w:rPr>
        <w:t>Authorization: Bearer &lt;服务端API Key&gt;</w:t>
        <w:br/>
      </w:r>
      <w:r>
        <w:rPr>
          <w:rFonts w:ascii="Courier New" w:hAnsi="Courier New" w:eastAsia="Microsoft YaHei"/>
          <w:color w:val="273142"/>
          <w:sz w:val="17"/>
        </w:rPr>
        <w:t>UserId: &lt;实际操作人工号&gt;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"model": "gen-studio-Qwen3-Embedding-8B",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"input": "规范化后的合同段落",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"dimensions": "1024",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"encoding_format": "float"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batch-size大于1时，input改为字符串数组。当前默认batch-size=1，以避免超过平台尚未确认的批量上限。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7.3 响应校验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data数量必须与输入文本数量一致。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批量结果必须通过data[].index还原输入顺序；缺失、重复或越界均拒绝。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每条embedding必须恰好1024维。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不能包含null、NaN、无穷值或全零向量。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Java端对每条向量执行L2归一化后再保存和比较。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7.4 重试规则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网关结果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处理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400/422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请求格式、输入长度或批量参数被拒绝；不重试。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401/403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Key错误或无权限；不重试。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404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URL或部署名称错误；不重试。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429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平台限流；不重试，提示稍后重试。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5xx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模型平台异常；按max-retries重试，当前最多重试1次。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连接/读取异常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按max-retries重试，当前最多重试1次。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响应格式或向量异常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不重试，统一转换为code=503。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8. 业务算法与结果解释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8.1 文本规范化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导入与预测共用同一规范化规则：统一全角空格、统一换行、去除首尾空白并把连续空白压缩为一个空格。不会删除否定词、数字、比例、主体名称或标点。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8.2 L2归一化和相似度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L2归一化是把一条向量按相同比例缩放，使其整体长度变为1，同时保持向量方向不变。这样后续关注的是段落语义方向，而不是向量数值大小。历史向量和新向量都归一化后，逐项相乘再相加就是余弦相似度。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相似度含义：</w:t>
      </w:r>
      <w:r>
        <w:rPr>
          <w:rFonts w:ascii="Calibri" w:hAnsi="Calibri" w:eastAsia="Microsoft YaHei"/>
          <w:color w:val="222222"/>
          <w:sz w:val="21"/>
        </w:rPr>
        <w:t>references[].similarity只表示“新段落与这一条历史段落有多接近”。它不是变更类型得分，也不等于某个类型最终一定成立。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8.3 Top 10平方加权投票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从全部历史样本中保留相似度最高的10条。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过滤相似度低于min-similarity（默认0.60）的记录。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每条历史样本权重 = similarity²；相似度越高，影响越大。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某类型得分 = 支持该类型的样本权重之和 ÷ 全部投票样本权重之和。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得分不低于0.55才返回；得分不低于0.80且至少2条样本支持时标记HIGH。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历史样本可以同时包含多个类型，因此各类型score之和可能大于1。这是多标签投票的正常结果，不是概率分布。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8.4 强相似单条候选兜底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当多样本投票没有任何类型达到0.55，但第一名历史段落相似度达到0.80时，服务返回第一名已有的全部类型作为CANDIDATE。该兜底不标记HIGH，因为主要证据仍只有一条。返回的score仍是统一投票得分，因此可能低于0.55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8.5 matchType与level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800"/>
        <w:gridCol w:w="2500"/>
        <w:gridCol w:w="5060"/>
      </w:tblGrid>
      <w:tr>
        <w:trPr>
          <w:tblHeader w:val="true"/>
        </w:trPr>
        <w:tc>
          <w:tcPr>
            <w:tcW w:type="dxa" w:w="1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值</w:t>
            </w:r>
          </w:p>
        </w:tc>
        <w:tc>
          <w:tcPr>
            <w:tcW w:type="dxa" w:w="50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EXACT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规范化文本Hash完全相同，直接返回历史标签。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SEMANTIC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语义检索后至少返回一个类型。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NO_RELIABLE_MATCH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没有类型满足当前规则；仍可能返回参考段落。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level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HIGH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精确命中，或语义得分≥0.80且支持数≥2。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level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CANDIDATE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达到候选阈值但未满足HIGH条件，或来自强相似兜底。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9. 配置项说明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配置位于application.yml，可通过环境变量覆盖。当前代码未启用动态刷新；修改配置后需要重启应用。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9.1 服务与数据库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000"/>
        <w:gridCol w:w="2500"/>
        <w:gridCol w:w="3860"/>
      </w:tblGrid>
      <w:tr>
        <w:trPr>
          <w:tblHeader w:val="true"/>
        </w:trPr>
        <w:tc>
          <w:tcPr>
            <w:tcW w:type="dxa" w:w="3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环境变量</w:t>
            </w:r>
          </w:p>
        </w:tc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默认值</w:t>
            </w:r>
          </w:p>
        </w:tc>
        <w:tc>
          <w:tcPr>
            <w:tcW w:type="dxa" w:w="3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作用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SERVER_PORT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8080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Java服务监听端口。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ORACLE_URL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本机开发占位地址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 JDBC连接地址。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ORACLE_USERNAME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glxt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Oracle用户名。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ORACLE_PASSWORD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change-me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Oracle密码；生产必须覆盖。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DB_POOL_MAX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10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Hikari最大连接数。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DB_POOL_MIN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Hikari最小空闲连接数。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9.2 模型网关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200"/>
        <w:gridCol w:w="2800"/>
        <w:gridCol w:w="3360"/>
      </w:tblGrid>
      <w:tr>
        <w:trPr>
          <w:tblHeader w:val="true"/>
        </w:trPr>
        <w:tc>
          <w:tcPr>
            <w:tcW w:type="dxa" w:w="3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环境变量</w:t>
            </w:r>
          </w:p>
        </w:tc>
        <w:tc>
          <w:tcPr>
            <w:tcW w:type="dxa" w:w="2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默认值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EMBEDDING_URL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测试网关完整地址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生产必须覆盖为生产地址。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EMBEDDING_API_KEY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无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Bearer Token；缺少时应用启动失败。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EMBEDDING_MODEL_NAME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gen-studio-Qwen3-Embedding-8B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网关请求体model。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EMBEDDING_MODEL_VERSION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gen-studio-Qwen3-Embedding-8B-1024-v1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数据库和索引兼容版本。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EMBEDDING_DIMENSION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1024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显式请求维度、响应校验、存储和检索维度。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EMBEDDING_BATCH_SIZE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单次网关请求文本数。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EMBEDDING_CONNECT_TIMEOUT_MS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3000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连接超时，毫秒。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EMBEDDING_READ_TIMEOUT_MS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30000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读取超时，毫秒。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EMBEDDING_MAX_RETRIES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连接异常和5xx的额外重试次数。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9.3 导入和检索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400"/>
        <w:gridCol w:w="1800"/>
        <w:gridCol w:w="4160"/>
      </w:tblGrid>
      <w:tr>
        <w:trPr>
          <w:tblHeader w:val="true"/>
        </w:trPr>
        <w:tc>
          <w:tcPr>
            <w:tcW w:type="dxa" w:w="34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环境变量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默认值</w:t>
            </w:r>
          </w:p>
        </w:tc>
        <w:tc>
          <w:tcPr>
            <w:tcW w:type="dxa" w:w="41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IMPORT_MAX_ROWS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单份Excel最大非空数据行数。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IMPORT_MAX_TOTAL_SAMPLES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历史样本物理记录总上限。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SEARCH_RETRIEVE_TOP_K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向量检索保留条数。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SEARCH_VOTE_TOP_K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最多参与投票的历史记录数。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SEARCH_EVIDENCE_TOP_K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5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最多返回参考段落数。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SEARCH_MAX_PARAGRAPH_LENGTH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2000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规范化段落最大字符数。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SEARCH_MIN_SIMILARITY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0.60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参与投票的最低相似度。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SEARCH_CANDIDATE_THRESHOLD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0.55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类型候选得分阈值。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SEARCH_HIGH_THRESHOLD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0.80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类型高可信得分阈值。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SEARCH_MIN_SUPPORT_COUNT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2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HIGH所需最低支持样本数。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SEARCH_STRONG_MATCH_THRESHOLD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0.80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单条强相似候选兜底阈值。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配置校验：</w:t>
      </w:r>
      <w:r>
        <w:rPr>
          <w:rFonts w:ascii="Calibri" w:hAnsi="Calibri" w:eastAsia="Microsoft YaHei"/>
          <w:color w:val="222222"/>
          <w:sz w:val="21"/>
        </w:rPr>
        <w:t>vote-top-k和evidence-top-k不能大于retrieve-top-k，candidate-threshold不能大于high-threshold；配置不合法时应用启动失败。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10. Oracle数据结构与数据一致性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第一版只新增TPIF_HTDLYB一张业务表，不依赖TPIF_XBGHTZJ。初始化脚本为database/oracle/01_schema.sql。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100"/>
        <w:gridCol w:w="2300"/>
        <w:gridCol w:w="4960"/>
      </w:tblGrid>
      <w:tr>
        <w:trPr>
          <w:tblHeader w:val="true"/>
        </w:trPr>
        <w:tc>
          <w:tcPr>
            <w:tcW w:type="dxa" w:w="2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23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类型</w:t>
            </w:r>
          </w:p>
        </w:tc>
        <w:tc>
          <w:tcPr>
            <w:tcW w:type="dxa" w:w="49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ID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NUMBER(19)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主键，由SEQ_TPIF_HTDLYB生成。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YWBW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Excel原始合同段落。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GFBW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规范化段落。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TEXT_HASH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VARCHAR2(64)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规范化段落SHA-256；唯一约束。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BGLX_CODES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VARCHAR2(4000)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去重排序后的英文分号分隔类型编码。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VECTOR_DATA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L2归一化后保留Float32精度的JSON数字数组。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VECTOR_DIM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向量维度，当前1024。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MODEL_VERSION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VARCHAR2(100)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向量兼容版本。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SFSX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1参与检索，0停用。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CREATE_TIME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DATE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创建时间。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 xml:space="preserve">当前1024维向量保存为CLOB JSON数字数组，字符数不固定；Java计算仍使用Float32数组。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索引只加载MODEL_VERSION、VECTOR_DIM与当前配置一致且SFSX=1的记录。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所有业务SQL位于ContractParagraphMapper.xml，Mapper接口不使用@Select等SQL注解。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 xml:space="preserve">CLOB JSON与正文CLOB在XML中显式指定jdbcType，避免Oracle驱动按错误类型读取。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TEXT_HASH唯一约束保证同一规范化段落只有一条物理记录。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10.1 向量存储与加载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 xml:space="preserve">Java使用float[]计算，写库前用独立Jackson编码为CLOB JSON数字数组，保留Float32精度。重载时严格校验JSON类型、维度、有限值和溢出，拒绝尾随内容，再归一化。坏记录跳过并标记DEGRADED；CLOB字符数不固定，不能据长度校验维度。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10.2 事务和并发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一份Excel的新增和更新在同一个Spring事务中完成，任意一条失败整批回滚。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导入方法在单实例内使用synchronized，同一时刻只处理一份Excel。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Oracle查重按500个Hash一批查询，避免逐行查询并规避IN列表过长。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多实例部署时，当前实例导入后只会刷新自身内存索引；第一版因此明确按单实例部署。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11. 部署、启动与模型迁移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11.1 首次部署顺序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确认测试或生产模型网关地址、API Key、模型名称、版本和维度。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确认应用主机到测试10.63.36.231:80或生产10.121.148.231:80网络可达。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使用业务库账号执行database/oracle/01_schema.sql。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设置Oracle和Embedding环境变量。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使用Java 8执行Maven测试和打包，启动Spring Boot Jar或应用Docker镜像。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检查Actuator与index/status；首次空库应为EMPTY。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导入少量历史样本，核对inserted、indexReloaded和sampleCount。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完成精确、相似和无关段落验证后再全量导入。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11.2 启动示例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$env:JAVA_HOME='D:\tools\Java\jdk1.8.0_481'</w:t>
        <w:br/>
      </w:r>
      <w:r>
        <w:rPr>
          <w:rFonts w:ascii="Courier New" w:hAnsi="Courier New" w:eastAsia="Microsoft YaHei"/>
          <w:color w:val="273142"/>
          <w:sz w:val="17"/>
        </w:rPr>
        <w:t>$env:ORACLE_URL='jdbc:oracle:thin:@10.0.0.10:1521:ORCL'</w:t>
        <w:br/>
      </w:r>
      <w:r>
        <w:rPr>
          <w:rFonts w:ascii="Courier New" w:hAnsi="Courier New" w:eastAsia="Microsoft YaHei"/>
          <w:color w:val="273142"/>
          <w:sz w:val="17"/>
        </w:rPr>
        <w:t>$env:ORACLE_USERNAME='glxt'</w:t>
        <w:br/>
      </w:r>
      <w:r>
        <w:rPr>
          <w:rFonts w:ascii="Courier New" w:hAnsi="Courier New" w:eastAsia="Microsoft YaHei"/>
          <w:color w:val="273142"/>
          <w:sz w:val="17"/>
        </w:rPr>
        <w:t>$env:ORACLE_PASSWORD='&lt;数据库密码&gt;'</w:t>
        <w:br/>
      </w:r>
      <w:r>
        <w:rPr>
          <w:rFonts w:ascii="Courier New" w:hAnsi="Courier New" w:eastAsia="Microsoft YaHei"/>
          <w:color w:val="273142"/>
          <w:sz w:val="17"/>
        </w:rPr>
        <w:t>$env:EMBEDDING_URL='&lt;测试或生产完整Embedding地址&gt;'</w:t>
        <w:br/>
      </w:r>
      <w:r>
        <w:rPr>
          <w:rFonts w:ascii="Courier New" w:hAnsi="Courier New" w:eastAsia="Microsoft YaHei"/>
          <w:color w:val="273142"/>
          <w:sz w:val="17"/>
        </w:rPr>
        <w:t>$env:EMBEDDING_API_KEY='&lt;API Key&gt;'</w:t>
        <w:br/>
      </w:r>
      <w:r>
        <w:rPr>
          <w:rFonts w:ascii="Courier New" w:hAnsi="Courier New" w:eastAsia="Microsoft YaHei"/>
          <w:color w:val="273142"/>
          <w:sz w:val="17"/>
        </w:rPr>
        <w:t>$env:EMBEDDING_MODEL_NAME='gen-studio-Qwen3-Embedding-8B'</w:t>
        <w:br/>
      </w:r>
      <w:r>
        <w:rPr>
          <w:rFonts w:ascii="Courier New" w:hAnsi="Courier New" w:eastAsia="Microsoft YaHei"/>
          <w:color w:val="273142"/>
          <w:sz w:val="17"/>
        </w:rPr>
        <w:t>$env:EMBEDDING_MODEL_VERSION='gen-studio-Qwen3-Embedding-8B-1024-v1'</w:t>
        <w:br/>
      </w:r>
      <w:r>
        <w:rPr>
          <w:rFonts w:ascii="Courier New" w:hAnsi="Courier New" w:eastAsia="Microsoft YaHei"/>
          <w:color w:val="273142"/>
          <w:sz w:val="17"/>
        </w:rPr>
        <w:t>$env:EMBEDDING_DIMENSION='1024'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mvn test</w:t>
        <w:br/>
      </w:r>
      <w:r>
        <w:rPr>
          <w:rFonts w:ascii="Courier New" w:hAnsi="Courier New" w:eastAsia="Microsoft YaHei"/>
          <w:color w:val="273142"/>
          <w:sz w:val="17"/>
        </w:rPr>
        <w:t>mvn -DskipTests package</w:t>
        <w:br/>
      </w:r>
      <w:r>
        <w:rPr>
          <w:rFonts w:ascii="Courier New" w:hAnsi="Courier New" w:eastAsia="Microsoft YaHei"/>
          <w:color w:val="273142"/>
          <w:sz w:val="17"/>
        </w:rPr>
        <w:t>java -jar target/glxt-service-contract-change-1.0.0.jar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API Key保存：</w:t>
      </w:r>
      <w:r>
        <w:rPr>
          <w:rFonts w:ascii="Calibri" w:hAnsi="Calibri" w:eastAsia="Microsoft YaHei"/>
          <w:color w:val="222222"/>
          <w:sz w:val="21"/>
        </w:rPr>
        <w:t>开发环境可放在IDEA Run Configuration的Environment variables中；生产环境应由部署平台的密钥或环境变量机制注入。不得写入application.yml、代码、Git、Word示例或日志。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11.3 模型或维度切换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为新模型或新维度设置新的EMBEDDING_MODEL_VERSION。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设置平台确认的EMBEDDING_MODEL_NAME和EMBEDDING_DIMENSION。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在维护窗口使用原历史Excel重新导入全部样本。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相同Hash、相同类型的旧记录会更新向量、维度、模型版本并重新启用。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确认index/status中的模型版本、维度和样本数正确。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使用人工确认样本重新验证阈值，再开放预测。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不同模型或不同维度的向量禁止混合比较。即使模型别名未变化，只要平台底层模型发生变化，也必须修改MODEL_VERSION并重新生成全部历史向量。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12. 错误处理、日志与安全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12.1 常见业务错误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900"/>
        <w:gridCol w:w="1200"/>
        <w:gridCol w:w="4260"/>
      </w:tblGrid>
      <w:tr>
        <w:trPr>
          <w:tblHeader w:val="true"/>
        </w:trPr>
        <w:tc>
          <w:tcPr>
            <w:tcW w:type="dxa" w:w="39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现象</w:t>
            </w:r>
          </w:p>
        </w:tc>
        <w:tc>
          <w:tcPr>
            <w:tcW w:type="dxa" w:w="1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业务码</w:t>
            </w:r>
          </w:p>
        </w:tc>
        <w:tc>
          <w:tcPr>
            <w:tcW w:type="dxa" w:w="42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排查方向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UserId请求头不能为空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导入或预测请求缺少UserId。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只支持xlsx格式文件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上传了.xls、csv或其他扩展名。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Excel文件不能超过20MB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文件超过Multipart限制。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Embedding网关认证或权限失败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检查API Key、模型授权和配置来源。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Embedding接口地址或模型部署名称错误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检查完整URL和部署名称。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Embedding请求格式、输入长度或批量参数被拒绝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检查model、dimensions、input和batch-size。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历史段落向量索引不可用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查看index/status和应用启动日志。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系统处理失败，请联系管理员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查看服务端错误日志和数据库状态。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12.2 日志规则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记录导入、事务、索引、模型调用和预测的数量、状态与耗时。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合同正文只记录规范化文本SHA-256，不记录完整内容。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不记录API Key、UserId、请求体、模型响应体或向量。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 xml:space="preserve">生产环境不要开启Mapper或RestTemplate DEBUG，避免输出正文CLOB、向量JSON或网关请求信息。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12.3 安全要求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API Key只保存在服务端部署环境，调用方无权指定或覆盖。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历史合同段落属于敏感业务数据，应限制导入、预测和参考段落响应的访问权限。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references会返回历史段落原文，上层网关必须落实鉴权和访问审计。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回滚脚本会PURGE删除表及数据，生产环境必须经过审批后执行。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13. 联调与验收清单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验收项</w:t>
            </w:r>
          </w:p>
        </w:tc>
        <w:tc>
          <w:tcPr>
            <w:tcW w:type="dxa" w:w="71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验收标准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表、Sequence、索引创建成功；CLOB JSON与正文CLOB可正常插入和读取。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配置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Key未写入代码；模型名称、版本、维度与平台确认值一致。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网络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应用主机可访问对应环境的Embedding网关。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模型契约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单条请求返回200，data[0].embedding长度为1024。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导入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正确文件可导入；错误表头、空段落、标签冲突可明确返回。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幂等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同段落同标签重复导入计入skipped，不新增记录。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事务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模型失败或数据库中途失败时不会出现半批数据。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索引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重启后自动恢复；sampleCount与当前有效数据库记录数一致。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精确预测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相同规范化段落返回EXACT且不调用模型。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语义预测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相似段落返回类型、score、level和参考段落。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无可靠匹配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无关段落返回NO_RELIABLE_MATCH，不返回假类型。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错误处理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401/403/404/422/429/5xx和超时能转换为明确业务错误。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性能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1万条1024维内存检索达到百毫秒级目标；完整预测P95以网关实测为准。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安全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日志中无正文、向量、API Key和UserId。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阈值验收：</w:t>
      </w:r>
      <w:r>
        <w:rPr>
          <w:rFonts w:ascii="Calibri" w:hAnsi="Calibri" w:eastAsia="Microsoft YaHei"/>
          <w:color w:val="222222"/>
          <w:sz w:val="21"/>
        </w:rPr>
        <w:t>更换模型后不能仅凭模型名称调整阈值。应使用人工确认样本统计实际相似度和类型结果，再通过环境变量调参。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14. 附录：调用示例与Excel模板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14.1 PowerShell上传Excel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"http://localhost:8080/glxt-service-contract-change/service/contract-change/samples/import"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-F "file=@D:\data\合同历史段落.xlsx"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14.2 PowerShell预测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Windows PowerShell调用原生curl.exe时，复杂JSON建议保存为UTF-8文件，避免命令行引号被错误拆分。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Set-Content -Path .\predict.json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-Value '{"paragraph":"需要识别变更类型的新合同段落"}'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-Encoding UTF8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"http://localhost:8080/glxt-service-contract-change/service/contract-change/predict"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"Content-Type: application/json"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--data-binary "@predict.json"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14.3 索引接口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GET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"http://localhost:8080/glxt-service-contract-change/service/contract-change/index/status"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"http://localhost:8080/glxt-service-contract-change/service/contract-change/index/reload"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14.4 模型网关联调请求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以下仅供服务端联调。不要把真实API Key保存到脚本、截图或文档中。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"model": "gen-studio-Qwen3-Embedding-8B",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"input": "需要转换为向量的合同段落",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"dimensions": "1024",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"encoding_format": "float"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POST "&lt;EMBEDDING_URL&gt;"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"Content-Type: application/json"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"Authorization: Bearer &lt;EMBEDDING_API_KEY&gt;"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--data-binary "@embedding-request.json"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14.5 关键文件索引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文件</w:t>
            </w:r>
          </w:p>
        </w:tc>
        <w:tc>
          <w:tcPr>
            <w:tcW w:type="dxa" w:w="52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README.md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项目边界、配置、启动和核心流程说明。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src/main/resources/application.yml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运行配置与默认参数。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ContractChangeController.java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四个业务接口定义。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ContractParagraphImportService.java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Excel解析、校验、向量化与导入流程。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ContractParagraphPredictionService.java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精确匹配、语义检索与投票规则。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ParagraphVectorIndexService.java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Oracle向量加载、状态和Top-K检索。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HttpEmbeddingClient.java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统一模型网关请求、校验和重试。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ContractParagraphMapper.xml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全部业务SQL。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database/oracle/01_schema.sql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Oracle表、Sequence、索引与字段备注。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文档基准：</w:t>
      </w:r>
      <w:r>
        <w:rPr>
          <w:rFonts w:ascii="Calibri" w:hAnsi="Calibri" w:eastAsia="Microsoft YaHei"/>
          <w:color w:val="222222"/>
          <w:sz w:val="21"/>
        </w:rPr>
        <w:t>本文档根据2026年8月27日当前项目代码生成。后续接口字段、模型版本、阈值或部署方式调整时，应同步更新本文档。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667085"/>
        <w:sz w:val="17"/>
      </w:rPr>
      <w:t>合同段落变更类型识别服务  |  项目业务与接口说明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合同段落变更类型识别服务项目业务与接口说明</dc:title>
  <dc:subject>合同段落变更类型识别服务交付文档</dc:subject>
  <dc:creator>项目组</dc:creator>
  <cp:keywords>合同段落, 变更类型, Embedding, Oracle, API</cp:keywords>
  <dc:description>以当前项目代码实现为准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