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rPr>
          <w:rFonts w:ascii="Arial" w:hAnsi="Arial" w:cs="Arial" w:eastAsia="SimHei" w:hint="eastAsia"/>
          <w:color w:val="000000"/>
          <w:b w:val="0"/>
          <w:bCs w:val="0"/>
          <w:i w:val="0"/>
          <w:iCs w:val="0"/>
          <w:sz w:val="46"/>
          <w:szCs w:val="46"/>
          <w:lang w:val="en-US" w:eastAsia="zh-CN"/>
        </w:rPr>
      </w:pPr>
      <w:r>
        <w:rPr>
          <w:rFonts w:ascii="Arial" w:hAnsi="Arial" w:cs="Arial" w:eastAsia="SimHei" w:hint="eastAsia"/>
          <w:color w:val="000000"/>
          <w:b w:val="0"/>
          <w:bCs w:val="0"/>
          <w:i w:val="0"/>
          <w:iCs w:val="0"/>
          <w:sz w:val="46"/>
          <w:szCs w:val="46"/>
          <w:lang w:val="en-US" w:eastAsia="zh-CN"/>
        </w:rPr>
        <w:t>合同变更识别</w:t>
        <w:br/>
        <w:t>完整流程与算法说明</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项目 glxt-service-contract-change    编写日期 2026年10月8日</w:t>
        <w:br/>
        <w:t xml:space="preserve">版本依据 当前CLOB改造及基线edddf97    面向业务审核人员 开发人员及联调人员</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系统先把历史段落及人工标注类型导入 Oracle，调用 Embedding 网关生成向量，再加载到 JVM 内存。新合同的变化内容由确定性解析与差异算法提取，随后通过精确匹配或向量检索继承历史标签，并按可信度规则汇总成合同级类型。</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本文说明现有实现的执行顺序、算法、参数、数据关系和异常行为，不把规划能力写成已实现功能。全部阈值以当前 application.yml 默认值为说明基准；部署环境变量可以覆盖。当前工作区字符上限为5000，配置类初始值为2000，运行时应核对实际绑定值。</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阅读导航</w:t>
      </w:r>
    </w:p>
    <w:tbl>
      <w:tblPr>
        <w:tblW w:type="auto" w:w="0"/>
        <w:tblLayout w:type="fixed"/>
        <w:tblLook w:firstColumn="1" w:firstRow="1" w:lastColumn="0" w:lastRow="0" w:noHBand="0" w:noVBand="1" w:val="04A0"/>
      </w:tblPr>
      <w:tblGrid>
        <w:gridCol w:w="1656"/>
        <w:gridCol w:w="6264"/>
        <w:gridCol w:w="1800"/>
      </w:tblGrid>
      <w:tr>
        <w:trPr>
          <w:tblHeader/>
        </w:trP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范围</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内容</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章节</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知识库准备</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Excel校验 查重 向量化 Oracle保存 内存索引</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2至6</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语义分类算法</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余弦相似度 Top K 精确命中 加权投票与案例</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7至10</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合同分析</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请求编排 文件读取 双版本匹配 差异 单文件提取</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11至17</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结果与集成</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主表 明细 证据 状态 导出 原有解析与Oracle函数</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18至20</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业务和运维</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规则适用性 参数 排查 代码定位与完整案例</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21至25</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最重要的区别：历史样本支持数用于段落类型判定；本次合同的不同变化段落数用于文件级候选汇总。相似度、类型投票得分和条款匹配分数是三个不同指标，不能互相替代。</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 全链路与能力边界</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历史准备链路</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 xml:space="preserve">Excel历史段落与类型 → 文本及标签规范化 → SHA 256查重与冲突检查 → 分批Embedding → 响应校验与L2归一化 → CLOB JSON编码 → 单事务写TPIF_HTDLYB → 从Oracle重建内存快照。</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合同分析链路</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调用 /service/contract-compare/compare → 校验userId instId analysisType及路径 → 创建PROCESSING记录 → 按分析类型从SFTP读取文件 → 提取结构变化 → 对变化段落预测类型 → 合同级汇总 → 原子保存段落与证据及完整JSON → 返回精简结果。</w:t>
      </w:r>
    </w:p>
    <w:tbl>
      <w:tblPr>
        <w:tblW w:type="auto" w:w="0"/>
        <w:tblLayout w:type="fixed"/>
        <w:tblLook w:firstColumn="1" w:firstRow="1" w:lastColumn="0" w:lastRow="0" w:noHBand="0" w:noVBand="1" w:val="04A0"/>
      </w:tblPr>
      <w:tblGrid>
        <w:gridCol w:w="2736"/>
        <w:gridCol w:w="2448"/>
        <w:gridCol w:w="4536"/>
      </w:tblGrid>
      <w:tr>
        <w:trPr>
          <w:tblHeader/>
        </w:trP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分支</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输入</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输出与边界</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DOUBLE_VERSION</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旧合同和新合同</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Aspose比较加结构匹配，输出新增 删除 修改及文字差异</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CHANGE_DOCUMENT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补充协议或变更函</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按标题 标记 引号等规则提取旧新内容，不读取两份完整合同</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document/analyze-and-predict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一份完整合同</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沿用旧解析模块选段并分类，预测后执行原解析落库</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export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两版合同或变更函</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只提取并导出基础差异，不执行业务类型预测</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“基础变化类型”是ADDED DELETED MODIFIED等结构结果；“业务变更类型”是49 71等历史标签。前者来自解析和文本差异，后者来自知识库分类。</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Embedding只把文本变成数字，不直接返回业务编码。本项目没有训练分类器，也没有用生成式模型独立解释合同变化。Aspose是外部库，项目配置其比较行为，但其内部专有比较算法不由项目源码定义。</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2 接口入口与请求约定</w:t>
      </w:r>
    </w:p>
    <w:tbl>
      <w:tblPr>
        <w:tblW w:type="auto" w:w="0"/>
        <w:tblLayout w:type="fixed"/>
        <w:tblLook w:firstColumn="1" w:firstRow="1" w:lastColumn="0" w:lastRow="0" w:noHBand="0" w:noVBand="1" w:val="04A0"/>
      </w:tblPr>
      <w:tblGrid>
        <w:gridCol w:w="4392"/>
        <w:gridCol w:w="2448"/>
        <w:gridCol w:w="2880"/>
      </w:tblGrid>
      <w:tr>
        <w:trPr>
          <w:tblHeader/>
        </w:trP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接口</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输入与身份</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职责</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POST /service/contract-change/samples/import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multipart file及UserId请求头</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同步导入历史xlsx</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POST /service/contract-change/predict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JSON paragraph及UserId请求头</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返回单段类型 等级 得分与参考样本</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GET /service/contract-change/index/status</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无正文</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查看实际内存快照状态</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POST /service/contract-change/index/reload</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无正文</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 xml:space="preserve">读取已有CLOB JSON，不重新生成向量</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POST /service/contract-compare/compare</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JSON userId instId analysisType及活动路径</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提取 分类 留痕并返回文件级结果</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POST /service/contract-compare/export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分析类型 路径 resultMode</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输出基础结果Excel</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POST /service/contract-change/document/analyze-and-predict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DocxAnalysisDTO及UserId请求头</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原完整合同解析与分类集成</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双版本请求示例</w:t>
      </w:r>
    </w:p>
    <w:p>
      <w:pPr>
        <w:spacing w:line="252" w:lineRule="auto"/>
        <w:rPr>
          <w:rFonts w:ascii="Consolas" w:hAnsi="Consolas" w:cs="Consolas" w:eastAsia="SimSun" w:hint="eastAsia"/>
          <w:color w:val="000000"/>
          <w:b w:val="0"/>
          <w:bCs w:val="0"/>
          <w:i w:val="0"/>
          <w:iCs w:val="0"/>
          <w:sz w:val="18"/>
          <w:szCs w:val="18"/>
          <w:lang w:val="en-US" w:eastAsia="zh-CN"/>
        </w:rPr>
      </w:pPr>
      <w:r>
        <w:rPr>
          <w:rFonts w:ascii="Consolas" w:hAnsi="Consolas" w:cs="Consolas" w:eastAsia="SimSun" w:hint="eastAsia"/>
          <w:sz w:val="18"/>
          <w:color w:val="000000"/>
          <w:b w:val="0"/>
          <w:bCs w:val="0"/>
          <w:i w:val="0"/>
          <w:iCs w:val="0"/>
          <w:szCs w:val="18"/>
          <w:lang w:val="en-US" w:eastAsia="zh-CN"/>
        </w:rPr>
        <w:t>{"instId":10001,"userId":"employee-001",</w:t>
        <w:br/>
        <w:t xml:space="preserve"> "analysisType":"DOUBLE_VERSION",</w:t>
        <w:br/>
        <w:t xml:space="preserve"> "oldFileGetPath":"/contracts/before.docx",</w:t>
        <w:br/>
        <w:t xml:space="preserve"> "newFileGetPath":"/contracts/after.docx"}</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单文件变更请求示例</w:t>
      </w:r>
    </w:p>
    <w:p>
      <w:pPr>
        <w:spacing w:line="252" w:lineRule="auto"/>
        <w:rPr>
          <w:rFonts w:ascii="Consolas" w:hAnsi="Consolas" w:cs="Consolas" w:eastAsia="SimSun" w:hint="eastAsia"/>
          <w:color w:val="000000"/>
          <w:b w:val="0"/>
          <w:bCs w:val="0"/>
          <w:i w:val="0"/>
          <w:iCs w:val="0"/>
          <w:sz w:val="18"/>
          <w:szCs w:val="18"/>
          <w:lang w:val="en-US" w:eastAsia="zh-CN"/>
        </w:rPr>
      </w:pPr>
      <w:r>
        <w:rPr>
          <w:rFonts w:ascii="Consolas" w:hAnsi="Consolas" w:cs="Consolas" w:eastAsia="SimSun" w:hint="eastAsia"/>
          <w:sz w:val="18"/>
          <w:color w:val="000000"/>
          <w:b w:val="0"/>
          <w:bCs w:val="0"/>
          <w:i w:val="0"/>
          <w:iCs w:val="0"/>
          <w:szCs w:val="18"/>
          <w:lang w:val="en-US" w:eastAsia="zh-CN"/>
        </w:rPr>
        <w:t>{"instId":10001,"userId":"employee-001",</w:t>
        <w:br/>
        <w:t xml:space="preserve"> "analysisType":"CHANGE_DOCUMENT",</w:t>
        <w:br/>
        <w:t xml:space="preserve"> "changeFileGetPath":"/contracts/change.docx"}</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ompare要求明确提供analysisType，不自动默认为双版本。userId不能为空且trim后不超过100字符；instId必须大于0；活动路径不超过1000字符且策略校验非空。路径是SFTP服务器上的文件路径，不是调用方电脑路径，也不是HTTP下载地址。</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3 历史样本导入与一致性检查</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ContractParagraphImportService按顺序处理整份Excel。文件必须非空且扩展名为.xlsx，实际由XSSFWorkbook解析；只读取第一张工作表，第一行前两列表头必须是“合同段落”和“变更类型编码”。上传大小另由Spring Multipart配置限制。</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文本与标签规范化</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合同文本统一全角空格、换行和连续空白，trim后作为GFBW；原文本作为YWBW保留。规范化不删除数字、标点、否定词和主体名称，也不统一英文大小写。对规范化文本计算SHA 256十六进制Hash，建立全局唯一身份。</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标签接受英文或中文分号、逗号，去空、去重后按字符串字典序排序，并以英文分号连接。单编码不超过64字符且不能包含空白，整串不超过4000字符。仅校验格式，不在此步骤查询真实业务字典，所以49并不在导入阶段自动转换为业务名称。</w:t>
      </w:r>
    </w:p>
    <w:tbl>
      <w:tblPr>
        <w:tblW w:type="auto" w:w="0"/>
        <w:tblLayout w:type="fixed"/>
        <w:tblLook w:firstColumn="1" w:firstRow="1" w:lastColumn="0" w:lastRow="0" w:noHBand="0" w:noVBand="1" w:val="04A0"/>
      </w:tblPr>
      <w:tblGrid>
        <w:gridCol w:w="4104"/>
        <w:gridCol w:w="4032"/>
        <w:gridCol w:w="1584"/>
      </w:tblGrid>
      <w:tr>
        <w:trPr>
          <w:tblHeader/>
        </w:trP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条件</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处理</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是否写库</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两列均为空</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忽略，不计有效数据行</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否</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文件内同Hash且同标签</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保留首次行，重复行计skipped</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仅首次行可能写库</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文件内同Hash但标签不同</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返回冲突行与首次行号，整批拒绝</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否</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数据库无该Hash</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准备新增并生成向量</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是</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数据库当前版本 维度 生效 标签均相同</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幂等跳过，不重新调用模型</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否</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数据库标签相同但停用或版本维度旧</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更新原ID，重生成向量并启用</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是</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数据库同Hash但标签不同</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整批拒绝，不自动覆盖标签</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否</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默认最多1000个非空数据行；文件内重复行也占行数限制。物理样本总数默认10000，包含停用与旧模型记录。按500个Hash一批查询数据库，避免逐行查询及Oracle IN列表过长。synchronized只串行化当前JVM的导入，不是跨实例分布式锁。</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4 Embedding调用与数值校验</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仅对待新增和待更新段落生成向量，标签编码不进入模型输入。默认每批最多16条；41条需拆为16 16 9。模型名称是网关请求字段，modelVersion是本项目管理检索空间的版本标记，两者职责不同。</w:t>
      </w:r>
    </w:p>
    <w:p>
      <w:pPr>
        <w:spacing w:line="252" w:lineRule="auto"/>
        <w:rPr>
          <w:rFonts w:ascii="Consolas" w:hAnsi="Consolas" w:cs="Consolas" w:eastAsia="SimSun" w:hint="eastAsia"/>
          <w:color w:val="000000"/>
          <w:b w:val="0"/>
          <w:bCs w:val="0"/>
          <w:i w:val="0"/>
          <w:iCs w:val="0"/>
          <w:sz w:val="18"/>
          <w:szCs w:val="18"/>
          <w:lang w:val="en-US" w:eastAsia="zh-CN"/>
        </w:rPr>
      </w:pPr>
      <w:r>
        <w:rPr>
          <w:rFonts w:ascii="Consolas" w:hAnsi="Consolas" w:cs="Consolas" w:eastAsia="SimSun" w:hint="eastAsia"/>
          <w:sz w:val="18"/>
          <w:color w:val="000000"/>
          <w:b w:val="0"/>
          <w:bCs w:val="0"/>
          <w:i w:val="0"/>
          <w:iCs w:val="0"/>
          <w:szCs w:val="18"/>
          <w:lang w:val="en-US" w:eastAsia="zh-CN"/>
        </w:rPr>
        <w:t>POST &lt;部署配置中的完整Embedding URL&gt;</w:t>
        <w:br/>
        <w:t>Authorization: Bearer &lt;服务端安全配置&gt;</w:t>
        <w:br/>
        <w:t>UserId: &lt;实际操作人&gt;</w:t>
        <w:br/>
        <w:t>Content-Type: application/json</w:t>
        <w:br/>
        <w:br/>
        <w:t>{"model":"gen-studio-Qwen3-Embedding-8B",</w:t>
        <w:br/>
        <w:t xml:space="preserve"> "input":["规范化段落A","规范化段落B"],</w:t>
        <w:br/>
        <w:t xml:space="preserve"> "dimensions":"1024","encoding_format":"float"}</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单条请求的input为字符串，多条为数组；dimensions按当前客户端实现发送字符串。密钥只能由服务端注入，不能从前端传入，也不应进入日志。</w:t>
      </w:r>
    </w:p>
    <w:tbl>
      <w:tblPr>
        <w:tblW w:type="auto" w:w="0"/>
        <w:tblLayout w:type="fixed"/>
        <w:tblLook w:firstColumn="1" w:firstRow="1" w:lastColumn="0" w:lastRow="0" w:noHBand="0" w:noVBand="1" w:val="04A0"/>
      </w:tblPr>
      <w:tblGrid>
        <w:gridCol w:w="1872"/>
        <w:gridCol w:w="7848"/>
      </w:tblGrid>
      <w:tr>
        <w:trPr>
          <w:tblHeader/>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校验</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实际行为</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数量</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data数量必须等于输入数量</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顺序</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多条响应必须有唯一且合法的index，按index回填；单条允许无index，有则必须为0</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维度</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每个embedding必须恰有配置dimension个数值</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数值</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拒绝null NaN Infinity，以及Double转Float后溢出的数值</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模长</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拒绝全零或非法模长，随后原地L2归一化</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连接与读取</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默认建连3000ms 读取30000ms</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重试</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默认maxRetries=1，即首次加一次；仅5xx及连接读取异常重试</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4xx直接终止，包含429，不在当前客户端自动重试。响应数量、index或数值校验失败也不重试；重试循环没有额外退避等待。导入任一模型批次失败即终止，数据库尚未写入；已发生的网关调用不能通过数据库事务撤销。</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5 向量归一化与Oracle入库</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L2归一化</w:t>
      </w:r>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v</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₂</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v</m:t>
        </m:r>
        <m:r>
          <w:rPr>
            <w:rFonts w:ascii="Cambria Math" w:hAnsi="Cambria Math" w:cs="Cambria Math" w:eastAsia="Cambria Math" w:hint="eastAsia"/>
            <w:color w:val="000000"/>
            <w:b w:val="0"/>
            <w:bCs w:val="0"/>
            <w:i w:val="0"/>
            <w:iCs w:val="0"/>
            <w:sz w:val="22"/>
            <w:szCs w:val="22"/>
            <w:lang w:val="en-US" w:eastAsia="zh-CN"/>
          </w:rPr>
          <m:t xml:space="preserve">₁</m:t>
        </m:r>
        <m:r>
          <w:rPr>
            <w:rFonts w:ascii="Cambria Math" w:hAnsi="Cambria Math" w:cs="Cambria Math" w:eastAsia="Cambria Math" w:hint="eastAsia"/>
            <w:color w:val="000000"/>
            <w:b w:val="0"/>
            <w:bCs w:val="0"/>
            <w:i w:val="0"/>
            <w:iCs w:val="0"/>
            <w:sz w:val="22"/>
            <w:szCs w:val="22"/>
            <w:lang w:val="en-US" w:eastAsia="zh-CN"/>
          </w:rPr>
          <m:t xml:space="preserve">²</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v</m:t>
        </m:r>
        <m:r>
          <w:rPr>
            <w:rFonts w:ascii="Cambria Math" w:hAnsi="Cambria Math" w:cs="Cambria Math" w:eastAsia="Cambria Math" w:hint="eastAsia"/>
            <w:color w:val="000000"/>
            <w:b w:val="0"/>
            <w:bCs w:val="0"/>
            <w:i w:val="0"/>
            <w:iCs w:val="0"/>
            <w:sz w:val="22"/>
            <w:szCs w:val="22"/>
            <w:lang w:val="en-US" w:eastAsia="zh-CN"/>
          </w:rPr>
          <m:t xml:space="preserve">₂</m:t>
        </m:r>
        <m:r>
          <w:rPr>
            <w:rFonts w:ascii="Cambria Math" w:hAnsi="Cambria Math" w:cs="Cambria Math" w:eastAsia="Cambria Math" w:hint="eastAsia"/>
            <w:color w:val="000000"/>
            <w:b w:val="0"/>
            <w:bCs w:val="0"/>
            <w:i w:val="0"/>
            <w:iCs w:val="0"/>
            <w:sz w:val="22"/>
            <w:szCs w:val="22"/>
            <w:lang w:val="en-US" w:eastAsia="zh-CN"/>
          </w:rPr>
          <m:t xml:space="preserve">²</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sSub>
          <m:e>
            <m:r>
              <w:rPr>
                <w:rFonts w:ascii="Cambria Math" w:hAnsi="Cambria Math" w:cs="Cambria Math" w:eastAsia="Cambria Math" w:hint="eastAsia"/>
                <w:color w:val="000000"/>
                <w:b w:val="0"/>
                <w:bCs w:val="0"/>
                <w:i w:val="0"/>
                <w:iCs w:val="0"/>
                <w:sz w:val="22"/>
                <w:szCs w:val="22"/>
                <w:lang w:val="en-US" w:eastAsia="zh-CN"/>
              </w:rPr>
              <m:t xml:space="preserve">v</m:t>
            </m:r>
          </m:e>
          <m:sub>
            <m:r>
              <w:rPr>
                <w:rFonts w:ascii="Cambria Math" w:hAnsi="Cambria Math" w:cs="Cambria Math" w:eastAsia="Cambria Math" w:hint="eastAsia"/>
                <w:color w:val="000000"/>
                <w:b w:val="0"/>
                <w:bCs w:val="0"/>
                <w:i w:val="0"/>
                <w:iCs w:val="0"/>
                <w:sz w:val="22"/>
                <w:szCs w:val="22"/>
                <w:lang w:val="en-US" w:eastAsia="zh-CN"/>
              </w:rPr>
              <m:t xml:space="preserve">d</m:t>
            </m:r>
          </m:sub>
        </m:sSub>
        <m:r>
          <w:rPr>
            <w:rFonts w:ascii="Cambria Math" w:hAnsi="Cambria Math" w:cs="Cambria Math" w:eastAsia="Cambria Math" w:hint="eastAsia"/>
            <w:color w:val="000000"/>
            <w:b w:val="0"/>
            <w:bCs w:val="0"/>
            <w:i w:val="0"/>
            <w:iCs w:val="0"/>
            <w:sz w:val="22"/>
            <w:szCs w:val="22"/>
            <w:lang w:val="en-US" w:eastAsia="zh-CN"/>
          </w:rPr>
          <m:t xml:space="preserve">²</m:t>
        </m:r>
        <m:r>
          <w:rPr>
            <w:rFonts w:ascii="Cambria Math" w:hAnsi="Cambria Math" w:cs="Cambria Math" w:eastAsia="Cambria Math" w:hint="eastAsia"/>
            <w:color w:val="000000"/>
            <w:b w:val="0"/>
            <w:bCs w:val="0"/>
            <w:i w:val="0"/>
            <w:iCs w:val="0"/>
            <w:sz w:val="22"/>
            <w:szCs w:val="22"/>
            <w:lang w:val="en-US" w:eastAsia="zh-CN"/>
          </w:rPr>
          <m:t xml:space="preserve">)</m:t>
        </m:r>
      </m:oMath>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u</m:t>
        </m:r>
        <m:r>
          <w:rPr>
            <w:rFonts w:ascii="Cambria Math" w:hAnsi="Cambria Math" w:cs="Cambria Math" w:eastAsia="Cambria Math" w:hint="eastAsia"/>
            <w:color w:val="000000"/>
            <w:b w:val="0"/>
            <w:bCs w:val="0"/>
            <w:i w:val="0"/>
            <w:iCs w:val="0"/>
            <w:sz w:val="22"/>
            <w:szCs w:val="22"/>
            <w:lang w:val="en-US" w:eastAsia="zh-CN"/>
          </w:rPr>
          <m:t xml:space="preserve">ᵢ</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f>
          <m:num>
            <m:r>
              <w:rPr>
                <w:rFonts w:ascii="Cambria Math" w:hAnsi="Cambria Math" w:cs="Cambria Math" w:eastAsia="Cambria Math" w:hint="eastAsia"/>
                <w:color w:val="000000"/>
                <w:b w:val="0"/>
                <w:bCs w:val="0"/>
                <w:i w:val="0"/>
                <w:iCs w:val="0"/>
                <w:sz w:val="22"/>
                <w:szCs w:val="22"/>
                <w:lang w:val="en-US" w:eastAsia="zh-CN"/>
              </w:rPr>
              <m:t xml:space="preserve">v</m:t>
            </m:r>
            <m:r>
              <w:rPr>
                <w:rFonts w:ascii="Cambria Math" w:hAnsi="Cambria Math" w:cs="Cambria Math" w:eastAsia="Cambria Math" w:hint="eastAsia"/>
                <w:color w:val="000000"/>
                <w:b w:val="0"/>
                <w:bCs w:val="0"/>
                <w:i w:val="0"/>
                <w:iCs w:val="0"/>
                <w:sz w:val="22"/>
                <w:szCs w:val="22"/>
                <w:lang w:val="en-US" w:eastAsia="zh-CN"/>
              </w:rPr>
              <m:t xml:space="preserve">ᵢ</m:t>
            </m:r>
          </m:num>
          <m:den>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v</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₂</m:t>
            </m:r>
          </m:den>
        </m:f>
      </m:oMath>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记u为v归一化后的向量，uᵢ为第i个分量。</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把向量整体除以欧氏长度，保持方向，得到长度约为1的向量。例如[3,4]归一化为[0.6,0.8]。计算模长和累加使用double，保存元素使用float，因此范数通常接近1而非数学上绝对等于1。</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 xml:space="preserve">CLOB JSON编码</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 xml:space="preserve">VectorCodec用独立Jackson配置将float[]编码为CLOB JSON数字数组，不受接口小数格式化影响，不固定小数位。解码严格校验数字类型、维度、有限值、Float32溢出及尾随内容，全零向量由归一化拒绝。JSON长度为字符数且不固定；Oracle本身不执行向量检索。</w:t>
      </w:r>
    </w:p>
    <w:tbl>
      <w:tblPr>
        <w:tblW w:type="auto" w:w="0"/>
        <w:tblLayout w:type="fixed"/>
        <w:tblLook w:firstColumn="1" w:firstRow="1" w:lastColumn="0" w:lastRow="0" w:noHBand="0" w:noVBand="1" w:val="04A0"/>
      </w:tblPr>
      <w:tblGrid>
        <w:gridCol w:w="3744"/>
        <w:gridCol w:w="5976"/>
      </w:tblGrid>
      <w:tr>
        <w:trPr>
          <w:tblHeader/>
        </w:trP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字段</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含义</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YWBW / GFBW</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原文与规范化文本，均为CLOB</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TEXT_HASH</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规范化文本SHA 256，全局唯一索引</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BGLX_CODES</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规范标签串，例如20;25;28</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VECTOR_DATA / VECTOR_DIM</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 xml:space="preserve">CLOB JSON数字数组与维度</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MODEL_VERSION / SFSX</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向量空间版本与生效标记1或0</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 xml:space="preserve">ID / CREATE_TIME</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 xml:space="preserve">序列主键与创建时间</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全部向量生成完成后，ContractParagraphPersistenceService.saveAll开启一个数据库事务逐条INSERT或UPDATE。更新必须影响1行，任一异常回滚整批。独立Service上的Spring事务代理避免同类内部调用造成事务不生效。</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提交成功后才重载索引。如果索引刷新失败，导入仍返回success=true但indexReloaded=false，因为数据库已经提交；此时应重载或检查索引，不能把刷新失败理解为数据未入库。唯一Hash只保留一行，模型升级重新导入会更新该行，不同时保存多版本向量。</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6 JVM内存索引与Top K检索</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 xml:space="preserve">ParagraphVectorIndexService在启动时和手工reload时，从TPIF_HTDLYB读取MODEL_VERSION等于当前配置、VECTOR_DIM匹配且SFSX=1的样本。每行解析CLOB JSON，再归一化并解析标签，构造语义样本列表和Hash查找表。</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新快照先在临时变量中完整构建，完成后通过AtomicReference整体替换。加载期间请求仍使用旧快照，不会读到半份索引。reload查询失败时已有可用快照继续保留；首次无可用样本时可标为LOAD_FAILED。不同JVM有各自快照，单实例导入不会自动通知其他实例刷新。</w:t>
      </w:r>
    </w:p>
    <w:tbl>
      <w:tblPr>
        <w:tblW w:type="auto" w:w="0"/>
        <w:tblLayout w:type="fixed"/>
        <w:tblLook w:firstColumn="1" w:firstRow="1" w:lastColumn="0" w:lastRow="0" w:noHBand="0" w:noVBand="1" w:val="04A0"/>
      </w:tblPr>
      <w:tblGrid>
        <w:gridCol w:w="1944"/>
        <w:gridCol w:w="4032"/>
        <w:gridCol w:w="3744"/>
      </w:tblGrid>
      <w:tr>
        <w:trPr>
          <w:tblHeader/>
        </w:trP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状态</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含义</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预测影响</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NOT_READY</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初始状态，未加载完成</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语义识别不可用</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EMPTY</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本版本维度查询到0行</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返回无可靠匹配，不当作网关失败</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READY</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所有查询样本正常加载</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正常检索</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DEGRADED</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部分或全部样本解析失败</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有可用样本时继续，sampleCount=0时识别不可用</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LOAD_FAILED</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首次或空快照时数据库查询失败</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语义识别不可用</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精确检索算法</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HashMap按TEXT_HASH查找相同段落，平均查找复杂度为O(1)。Hash命中使用快照内已有标签，不调用Embedding。只有成功加载到该快照的样本才能参与精确匹配。</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语义检索算法</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遍历全部N个历史向量，逐项点积计算相似度，用容量K的最小堆维护当前前K名。堆顶是已保留结果中最小值，新的分数更高就替换；最后对这K项倒序排序。没有HNSW或其他近似向量索引。</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时间复杂度约为O(Nd + N log K + K log K)，额外Top K空间为O(K)，历史向量空间为O(Nd)。10000×1024×4约40.96MB是向量原始载荷，还不包含Java对象、文本、标签及容器开销。</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7 余弦相似度与三个分数的区别</w:t>
      </w:r>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o</m:t>
        </m:r>
        <m:r>
          <w:rPr>
            <w:rFonts w:ascii="Cambria Math" w:hAnsi="Cambria Math" w:cs="Cambria Math" w:eastAsia="Cambria Math" w:hint="eastAsia"/>
            <w:color w:val="000000"/>
            <w:b w:val="0"/>
            <w:bCs w:val="0"/>
            <w:i w:val="0"/>
            <w:iCs w:val="0"/>
            <w:sz w:val="22"/>
            <w:szCs w:val="22"/>
            <w:lang w:val="en-US" w:eastAsia="zh-CN"/>
          </w:rPr>
          <m:t xml:space="preserve">s</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q</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h</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f>
          <m:num>
            <m:r>
              <w:rPr>
                <w:rFonts w:ascii="Cambria Math" w:hAnsi="Cambria Math" w:cs="Cambria Math" w:eastAsia="Cambria Math" w:hint="eastAsia"/>
                <w:color w:val="000000"/>
                <w:b w:val="0"/>
                <w:bCs w:val="0"/>
                <w:i w:val="0"/>
                <w:iCs w:val="0"/>
                <w:sz w:val="22"/>
                <w:szCs w:val="22"/>
                <w:lang w:val="en-US" w:eastAsia="zh-CN"/>
              </w:rPr>
              <m:t xml:space="preserve">q</m:t>
            </m:r>
            <m:r>
              <w:rPr>
                <w:rFonts w:ascii="Cambria Math" w:hAnsi="Cambria Math" w:cs="Cambria Math" w:eastAsia="Cambria Math" w:hint="eastAsia"/>
                <w:color w:val="000000"/>
                <w:b w:val="0"/>
                <w:bCs w:val="0"/>
                <w:i w:val="0"/>
                <w:iCs w:val="0"/>
                <w:sz w:val="22"/>
                <w:szCs w:val="22"/>
                <w:lang w:val="en-US" w:eastAsia="zh-CN"/>
              </w:rPr>
              <m:t xml:space="preserve">₁</m:t>
            </m:r>
            <m:r>
              <w:rPr>
                <w:rFonts w:ascii="Cambria Math" w:hAnsi="Cambria Math" w:cs="Cambria Math" w:eastAsia="Cambria Math" w:hint="eastAsia"/>
                <w:color w:val="000000"/>
                <w:b w:val="0"/>
                <w:bCs w:val="0"/>
                <w:i w:val="0"/>
                <w:iCs w:val="0"/>
                <w:sz w:val="22"/>
                <w:szCs w:val="22"/>
                <w:lang w:val="en-US" w:eastAsia="zh-CN"/>
              </w:rPr>
              <m:t xml:space="preserve">h</m:t>
            </m:r>
            <m:r>
              <w:rPr>
                <w:rFonts w:ascii="Cambria Math" w:hAnsi="Cambria Math" w:cs="Cambria Math" w:eastAsia="Cambria Math" w:hint="eastAsia"/>
                <w:color w:val="000000"/>
                <w:b w:val="0"/>
                <w:bCs w:val="0"/>
                <w:i w:val="0"/>
                <w:iCs w:val="0"/>
                <w:sz w:val="22"/>
                <w:szCs w:val="22"/>
                <w:lang w:val="en-US" w:eastAsia="zh-CN"/>
              </w:rPr>
              <m:t xml:space="preserve">₁</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q</m:t>
            </m:r>
            <m:r>
              <w:rPr>
                <w:rFonts w:ascii="Cambria Math" w:hAnsi="Cambria Math" w:cs="Cambria Math" w:eastAsia="Cambria Math" w:hint="eastAsia"/>
                <w:color w:val="000000"/>
                <w:b w:val="0"/>
                <w:bCs w:val="0"/>
                <w:i w:val="0"/>
                <w:iCs w:val="0"/>
                <w:sz w:val="22"/>
                <w:szCs w:val="22"/>
                <w:lang w:val="en-US" w:eastAsia="zh-CN"/>
              </w:rPr>
              <m:t xml:space="preserve">₂</m:t>
            </m:r>
            <m:r>
              <w:rPr>
                <w:rFonts w:ascii="Cambria Math" w:hAnsi="Cambria Math" w:cs="Cambria Math" w:eastAsia="Cambria Math" w:hint="eastAsia"/>
                <w:color w:val="000000"/>
                <w:b w:val="0"/>
                <w:bCs w:val="0"/>
                <w:i w:val="0"/>
                <w:iCs w:val="0"/>
                <w:sz w:val="22"/>
                <w:szCs w:val="22"/>
                <w:lang w:val="en-US" w:eastAsia="zh-CN"/>
              </w:rPr>
              <m:t xml:space="preserve">h</m:t>
            </m:r>
            <m:r>
              <w:rPr>
                <w:rFonts w:ascii="Cambria Math" w:hAnsi="Cambria Math" w:cs="Cambria Math" w:eastAsia="Cambria Math" w:hint="eastAsia"/>
                <w:color w:val="000000"/>
                <w:b w:val="0"/>
                <w:bCs w:val="0"/>
                <w:i w:val="0"/>
                <w:iCs w:val="0"/>
                <w:sz w:val="22"/>
                <w:szCs w:val="22"/>
                <w:lang w:val="en-US" w:eastAsia="zh-CN"/>
              </w:rPr>
              <m:t xml:space="preserve">₂</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sSub>
              <m:e>
                <m:r>
                  <w:rPr>
                    <w:rFonts w:ascii="Cambria Math" w:hAnsi="Cambria Math" w:cs="Cambria Math" w:eastAsia="Cambria Math" w:hint="eastAsia"/>
                    <w:color w:val="000000"/>
                    <w:b w:val="0"/>
                    <w:bCs w:val="0"/>
                    <w:i w:val="0"/>
                    <w:iCs w:val="0"/>
                    <w:sz w:val="22"/>
                    <w:szCs w:val="22"/>
                    <w:lang w:val="en-US" w:eastAsia="zh-CN"/>
                  </w:rPr>
                  <m:t xml:space="preserve">q</m:t>
                </m:r>
              </m:e>
              <m:sub>
                <m:r>
                  <w:rPr>
                    <w:rFonts w:ascii="Cambria Math" w:hAnsi="Cambria Math" w:cs="Cambria Math" w:eastAsia="Cambria Math" w:hint="eastAsia"/>
                    <w:color w:val="000000"/>
                    <w:b w:val="0"/>
                    <w:bCs w:val="0"/>
                    <w:i w:val="0"/>
                    <w:iCs w:val="0"/>
                    <w:sz w:val="22"/>
                    <w:szCs w:val="22"/>
                    <w:lang w:val="en-US" w:eastAsia="zh-CN"/>
                  </w:rPr>
                  <m:t xml:space="preserve">d</m:t>
                </m:r>
              </m:sub>
            </m:sSub>
            <m:sSub>
              <m:e>
                <m:r>
                  <w:rPr>
                    <w:rFonts w:ascii="Cambria Math" w:hAnsi="Cambria Math" w:cs="Cambria Math" w:eastAsia="Cambria Math" w:hint="eastAsia"/>
                    <w:color w:val="000000"/>
                    <w:b w:val="0"/>
                    <w:bCs w:val="0"/>
                    <w:i w:val="0"/>
                    <w:iCs w:val="0"/>
                    <w:sz w:val="22"/>
                    <w:szCs w:val="22"/>
                    <w:lang w:val="en-US" w:eastAsia="zh-CN"/>
                  </w:rPr>
                  <m:t xml:space="preserve">h</m:t>
                </m:r>
              </m:e>
              <m:sub>
                <m:r>
                  <w:rPr>
                    <w:rFonts w:ascii="Cambria Math" w:hAnsi="Cambria Math" w:cs="Cambria Math" w:eastAsia="Cambria Math" w:hint="eastAsia"/>
                    <w:color w:val="000000"/>
                    <w:b w:val="0"/>
                    <w:bCs w:val="0"/>
                    <w:i w:val="0"/>
                    <w:iCs w:val="0"/>
                    <w:sz w:val="22"/>
                    <w:szCs w:val="22"/>
                    <w:lang w:val="en-US" w:eastAsia="zh-CN"/>
                  </w:rPr>
                  <m:t xml:space="preserve">d</m:t>
                </m:r>
              </m:sub>
            </m:sSub>
          </m:num>
          <m:den>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q</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₂</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h</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₂</m:t>
            </m:r>
          </m:den>
        </m:f>
      </m:oMath>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余弦相似度比较两个向量方向。理论范围为−1至1；同方向为1，正交为0，反方向为−1。合同文本的实际分布取决于Embedding模型，不能把0.85解读为85%的业务正确率。Float32运算会有微小数值误差，当前点积实现没有额外裁剪到区间。</w:t>
      </w:r>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o</m:t>
        </m:r>
        <m:r>
          <w:rPr>
            <w:rFonts w:ascii="Cambria Math" w:hAnsi="Cambria Math" w:cs="Cambria Math" w:eastAsia="Cambria Math" w:hint="eastAsia"/>
            <w:color w:val="000000"/>
            <w:b w:val="0"/>
            <w:bCs w:val="0"/>
            <w:i w:val="0"/>
            <w:iCs w:val="0"/>
            <w:sz w:val="22"/>
            <w:szCs w:val="22"/>
            <w:lang w:val="en-US" w:eastAsia="zh-CN"/>
          </w:rPr>
          <m:t xml:space="preserve">s</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q</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h</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a</m:t>
        </m:r>
        <m:r>
          <w:rPr>
            <w:rFonts w:ascii="Cambria Math" w:hAnsi="Cambria Math" w:cs="Cambria Math" w:eastAsia="Cambria Math" w:hint="eastAsia"/>
            <w:color w:val="000000"/>
            <w:b w:val="0"/>
            <w:bCs w:val="0"/>
            <w:i w:val="0"/>
            <w:iCs w:val="0"/>
            <w:sz w:val="22"/>
            <w:szCs w:val="22"/>
            <w:lang w:val="en-US" w:eastAsia="zh-CN"/>
          </w:rPr>
          <m:t xml:space="preserve">₁</m:t>
        </m:r>
        <m:r>
          <w:rPr>
            <w:rFonts w:ascii="Cambria Math" w:hAnsi="Cambria Math" w:cs="Cambria Math" w:eastAsia="Cambria Math" w:hint="eastAsia"/>
            <w:color w:val="000000"/>
            <w:b w:val="0"/>
            <w:bCs w:val="0"/>
            <w:i w:val="0"/>
            <w:iCs w:val="0"/>
            <w:sz w:val="22"/>
            <w:szCs w:val="22"/>
            <w:lang w:val="en-US" w:eastAsia="zh-CN"/>
          </w:rPr>
          <m:t xml:space="preserve">b</m:t>
        </m:r>
        <m:r>
          <w:rPr>
            <w:rFonts w:ascii="Cambria Math" w:hAnsi="Cambria Math" w:cs="Cambria Math" w:eastAsia="Cambria Math" w:hint="eastAsia"/>
            <w:color w:val="000000"/>
            <w:b w:val="0"/>
            <w:bCs w:val="0"/>
            <w:i w:val="0"/>
            <w:iCs w:val="0"/>
            <w:sz w:val="22"/>
            <w:szCs w:val="22"/>
            <w:lang w:val="en-US" w:eastAsia="zh-CN"/>
          </w:rPr>
          <m:t xml:space="preserve">₁</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sSub>
          <m:e>
            <m:r>
              <w:rPr>
                <w:rFonts w:ascii="Cambria Math" w:hAnsi="Cambria Math" w:cs="Cambria Math" w:eastAsia="Cambria Math" w:hint="eastAsia"/>
                <w:color w:val="000000"/>
                <w:b w:val="0"/>
                <w:bCs w:val="0"/>
                <w:i w:val="0"/>
                <w:iCs w:val="0"/>
                <w:sz w:val="22"/>
                <w:szCs w:val="22"/>
                <w:lang w:val="en-US" w:eastAsia="zh-CN"/>
              </w:rPr>
              <m:t xml:space="preserve">a</m:t>
            </m:r>
          </m:e>
          <m:sub>
            <m:r>
              <w:rPr>
                <w:rFonts w:ascii="Cambria Math" w:hAnsi="Cambria Math" w:cs="Cambria Math" w:eastAsia="Cambria Math" w:hint="eastAsia"/>
                <w:color w:val="000000"/>
                <w:b w:val="0"/>
                <w:bCs w:val="0"/>
                <w:i w:val="0"/>
                <w:iCs w:val="0"/>
                <w:sz w:val="22"/>
                <w:szCs w:val="22"/>
                <w:lang w:val="en-US" w:eastAsia="zh-CN"/>
              </w:rPr>
              <m:t xml:space="preserve">d</m:t>
            </m:r>
          </m:sub>
        </m:sSub>
        <m:sSub>
          <m:e>
            <m:r>
              <w:rPr>
                <w:rFonts w:ascii="Cambria Math" w:hAnsi="Cambria Math" w:cs="Cambria Math" w:eastAsia="Cambria Math" w:hint="eastAsia"/>
                <w:color w:val="000000"/>
                <w:b w:val="0"/>
                <w:bCs w:val="0"/>
                <w:i w:val="0"/>
                <w:iCs w:val="0"/>
                <w:sz w:val="22"/>
                <w:szCs w:val="22"/>
                <w:lang w:val="en-US" w:eastAsia="zh-CN"/>
              </w:rPr>
              <m:t xml:space="preserve">b</m:t>
            </m:r>
          </m:e>
          <m:sub>
            <m:r>
              <w:rPr>
                <w:rFonts w:ascii="Cambria Math" w:hAnsi="Cambria Math" w:cs="Cambria Math" w:eastAsia="Cambria Math" w:hint="eastAsia"/>
                <w:color w:val="000000"/>
                <w:b w:val="0"/>
                <w:bCs w:val="0"/>
                <w:i w:val="0"/>
                <w:iCs w:val="0"/>
                <w:sz w:val="22"/>
                <w:szCs w:val="22"/>
                <w:lang w:val="en-US" w:eastAsia="zh-CN"/>
              </w:rPr>
              <m:t xml:space="preserve">d</m:t>
            </m:r>
          </m:sub>
        </m:sSub>
      </m:oMath>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这里a、b分别表示q、h归一化后的单位向量。</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查询向量由HTTP客户端归一化，历史向量在入库前和索引加载时归一化，因此VectorUtils.dot直接得到余弦。二维例子q=[0.6,0.8]，h=[0,1]，点积0.8；q与自身点积为1。真实向量维度默认为1024，各坐标不直接对应一个人为命名的业务词。</w:t>
      </w:r>
    </w:p>
    <w:tbl>
      <w:tblPr>
        <w:tblW w:type="auto" w:w="0"/>
        <w:tblLayout w:type="fixed"/>
        <w:tblLook w:firstColumn="1" w:firstRow="1" w:lastColumn="0" w:lastRow="0" w:noHBand="0" w:noVBand="1" w:val="04A0"/>
      </w:tblPr>
      <w:tblGrid>
        <w:gridCol w:w="2808"/>
        <w:gridCol w:w="4608"/>
        <w:gridCol w:w="2304"/>
      </w:tblGrid>
      <w:tr>
        <w:trPr>
          <w:tblHeader/>
        </w:trP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指标</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计算与使用</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不能解释成</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SIMILARITY / maxSimilarity</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查询段落与历史段落余弦；决定召回与强相似兜底</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类型正确概率</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changeTypes.score</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支持该类型的历史相似度平方权重占比；决定HIGH或候选</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第一名相似度</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条款匹配score</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新旧条款内容 标题 上下文的Dice加权分</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历史语义投票得分</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supportCount</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参与投票且带该标签的历史样本条数</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本次合同变化段落数</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绝对相似度表示“是否接近历史样本”，投票得分表示“邻近样本是否同意这个类型”。二者独立：所有近邻略高于0.60且同标签时得分可为1；第一名0.95但其他标签分散时，投票得分仍可能很低。</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8 段落精确命中与加权投票</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ContractParagraphPredictionService先规范化并校验输入，再按Hash查找。精确命中直接返回EXACT，历史每个标签score=1 supportCount=1 level=HIGH，并给一条参考样本。这是精确匹配的特殊分支，不要求至少两条历史支持。</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未命中时生成查询向量并召回最多retrieveTopK=10条。从高到低连续取similarity≥minSimilarity=0.60的样本。若无合格样本，返回NO_RELIABLE_MATCH，仍保留最高相似度和最多5条参考，便于判断“召回了但未达最低门槛”。</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多标签加权投票</w:t>
      </w:r>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w</m:t>
        </m:r>
        <m:r>
          <w:rPr>
            <w:rFonts w:ascii="Cambria Math" w:hAnsi="Cambria Math" w:cs="Cambria Math" w:eastAsia="Cambria Math" w:hint="eastAsia"/>
            <w:color w:val="000000"/>
            <w:b w:val="0"/>
            <w:bCs w:val="0"/>
            <w:i w:val="0"/>
            <w:iCs w:val="0"/>
            <w:sz w:val="22"/>
            <w:szCs w:val="22"/>
            <w:lang w:val="en-US" w:eastAsia="zh-CN"/>
          </w:rPr>
          <m:t xml:space="preserve">ᵢ</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s</m:t>
        </m:r>
        <m:r>
          <w:rPr>
            <w:rFonts w:ascii="Cambria Math" w:hAnsi="Cambria Math" w:cs="Cambria Math" w:eastAsia="Cambria Math" w:hint="eastAsia"/>
            <w:color w:val="000000"/>
            <w:b w:val="0"/>
            <w:bCs w:val="0"/>
            <w:i w:val="0"/>
            <w:iCs w:val="0"/>
            <w:sz w:val="22"/>
            <w:szCs w:val="22"/>
            <w:lang w:val="en-US" w:eastAsia="zh-CN"/>
          </w:rPr>
          <m:t xml:space="preserve">ᵢ</m:t>
        </m:r>
        <m:r>
          <w:rPr>
            <w:rFonts w:ascii="Cambria Math" w:hAnsi="Cambria Math" w:cs="Cambria Math" w:eastAsia="Cambria Math" w:hint="eastAsia"/>
            <w:color w:val="000000"/>
            <w:b w:val="0"/>
            <w:bCs w:val="0"/>
            <w:i w:val="0"/>
            <w:iCs w:val="0"/>
            <w:sz w:val="22"/>
            <w:szCs w:val="22"/>
            <w:lang w:val="en-US" w:eastAsia="zh-CN"/>
          </w:rPr>
          <m:t xml:space="preserve">²</m:t>
        </m:r>
      </m:oMath>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s</m:t>
        </m:r>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o</m:t>
        </m:r>
        <m:r>
          <w:rPr>
            <w:rFonts w:ascii="Cambria Math" w:hAnsi="Cambria Math" w:cs="Cambria Math" w:eastAsia="Cambria Math" w:hint="eastAsia"/>
            <w:color w:val="000000"/>
            <w:b w:val="0"/>
            <w:bCs w:val="0"/>
            <w:i w:val="0"/>
            <w:iCs w:val="0"/>
            <w:sz w:val="22"/>
            <w:szCs w:val="22"/>
            <w:lang w:val="en-US" w:eastAsia="zh-CN"/>
          </w:rPr>
          <m:t xml:space="preserve">r</m:t>
        </m:r>
        <m:r>
          <w:rPr>
            <w:rFonts w:ascii="Cambria Math" w:hAnsi="Cambria Math" w:cs="Cambria Math" w:eastAsia="Cambria Math" w:hint="eastAsia"/>
            <w:color w:val="000000"/>
            <w:b w:val="0"/>
            <w:bCs w:val="0"/>
            <w:i w:val="0"/>
            <w:iCs w:val="0"/>
            <w:sz w:val="22"/>
            <w:szCs w:val="22"/>
            <w:lang w:val="en-US" w:eastAsia="zh-CN"/>
          </w:rPr>
          <m:t xml:space="preserve">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f>
          <m:num>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ᵢ</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w</m:t>
            </m:r>
            <m:r>
              <w:rPr>
                <w:rFonts w:ascii="Cambria Math" w:hAnsi="Cambria Math" w:cs="Cambria Math" w:eastAsia="Cambria Math" w:hint="eastAsia"/>
                <w:color w:val="000000"/>
                <w:b w:val="0"/>
                <w:bCs w:val="0"/>
                <w:i w:val="0"/>
                <w:iCs w:val="0"/>
                <w:sz w:val="22"/>
                <w:szCs w:val="22"/>
                <w:lang w:val="en-US" w:eastAsia="zh-CN"/>
              </w:rPr>
              <m:t xml:space="preserve">ᵢ</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ᵢ</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m:t>
            </m:r>
          </m:num>
          <m:den>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ᵢ</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w</m:t>
            </m:r>
            <m:r>
              <w:rPr>
                <w:rFonts w:ascii="Cambria Math" w:hAnsi="Cambria Math" w:cs="Cambria Math" w:eastAsia="Cambria Math" w:hint="eastAsia"/>
                <w:color w:val="000000"/>
                <w:b w:val="0"/>
                <w:bCs w:val="0"/>
                <w:i w:val="0"/>
                <w:iCs w:val="0"/>
                <w:sz w:val="22"/>
                <w:szCs w:val="22"/>
                <w:lang w:val="en-US" w:eastAsia="zh-CN"/>
              </w:rPr>
              <m:t xml:space="preserve">ᵢ</m:t>
            </m:r>
          </m:den>
        </m:f>
      </m:oMath>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其中sᵢ为第i个历史样本相似度，Iᵢ(c)在该样本包含类型c时为1，否则为0。</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最多使用voteTopK=10条合格样本；每个样本权重只进入分母一次，但可同时给多个标签加权。supportCount为包含该标签的样本数。平方使0.9相似样本权重0.81高于0.6样本的0.36，前者影响约为后者2.25倍。</w:t>
      </w:r>
    </w:p>
    <w:tbl>
      <w:tblPr>
        <w:tblW w:type="auto" w:w="0"/>
        <w:tblLayout w:type="fixed"/>
        <w:tblLook w:firstColumn="1" w:firstRow="1" w:lastColumn="0" w:lastRow="0" w:noHBand="0" w:noVBand="1" w:val="04A0"/>
      </w:tblPr>
      <w:tblGrid>
        <w:gridCol w:w="6120"/>
        <w:gridCol w:w="3600"/>
      </w:tblGrid>
      <w:tr>
        <w:trPr>
          <w:tblHeader/>
        </w:trP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规则</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输出</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score &lt; 0.55</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该类型不进入常规投票结果</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score ≥ 0.80 且 supportCount ≥ 2</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HIGH</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score ≥ 0.55 但未同时达到HIGH条件</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CANDIDATE</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常规结果为空 且 第一名similarity ≥ 0.80</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第一名全部标签作为CANDIDATE兜底，score仍用投票得分</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常规结果为空 且 不满足强相似兜底</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NO_RELIABLE_MATCH</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结果先按score倒序，再按编码字符串排序。多标签得分总和可以大于1。候选不要求minSupportCount=2；该参数只约束语义HIGH。强相似兜底只有结果完全为空时才触发，不会给已有投票结果继续追加标签。</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9 类型49与71的计算案例</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下表取自用户提供的历史匹配记录，分析ID为b2ceb3aaec4c4a3f969489e0ebf38ea1，变化段落数据库ID为543。它说明历史证据如何变成类型得分；并不将数据库中前5条证据冒充完整10条投票输入。</w:t>
      </w:r>
    </w:p>
    <w:tbl>
      <w:tblPr>
        <w:tblW w:type="auto" w:w="0"/>
        <w:tblLayout w:type="fixed"/>
        <w:tblLook w:firstColumn="1" w:firstRow="1" w:lastColumn="0" w:lastRow="0" w:noHBand="0" w:noVBand="1" w:val="04A0"/>
      </w:tblPr>
      <w:tblGrid>
        <w:gridCol w:w="1872"/>
        <w:gridCol w:w="2592"/>
        <w:gridCol w:w="2592"/>
        <w:gridCol w:w="2664"/>
      </w:tblGrid>
      <w:tr>
        <w:trPr>
          <w:tblHeader/>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样本ID</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相似度s</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权重s²</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类型</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2447</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0.855138</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0.731261</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49</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2445</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0.750550</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0.563325</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49</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2468</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0.669767</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0.448588</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71</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2446</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0.668707</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0.447169</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49</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2473</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0.666498</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0.444220</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71</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tbl>
      <w:tblPr>
        <w:tblW w:type="auto" w:w="0"/>
        <w:tblLayout w:type="fixed"/>
        <w:tblLook w:firstColumn="1" w:firstRow="1" w:lastColumn="0" w:lastRow="0" w:noHBand="0" w:noVBand="1" w:val="04A0"/>
      </w:tblPr>
      <w:tblGrid>
        <w:gridCol w:w="1440"/>
        <w:gridCol w:w="1440"/>
        <w:gridCol w:w="3168"/>
        <w:gridCol w:w="3672"/>
      </w:tblGrid>
      <w:tr>
        <w:trPr>
          <w:tblHeader/>
        </w:trPr>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类型</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支持数</w:t>
            </w:r>
          </w:p>
        </w:tc>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权重之和</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仅5条得分</w:t>
            </w:r>
          </w:p>
        </w:tc>
      </w:tr>
      <w:tr>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49</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3</w:t>
            </w:r>
          </w:p>
        </w:tc>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1.741755</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0.661117</w:t>
            </w:r>
          </w:p>
        </w:tc>
      </w:tr>
      <w:tr>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71</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w:t>
            </w:r>
          </w:p>
        </w:tc>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0.892807</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0.338883</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总权重为2.63456277。仅按这5条计算，49得分约0.661117，支持数3：支持数达到2，但得分没达到0.80，因此是CANDIDATE。71得分约0.338883，小于0.55，不进入常规结果。因为49已入选，强相似兜底不再触发。</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第一条0.855138表达当前段落与样本2447接近，不是49的得分。三个历史段落共同支持的是段落543这一次分类，不会在合同汇总中变成三个变化段落。</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为什么最终合同可能返回空集合</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假设实际投票最终仍为候选49，且只有这一个不同的变化段落给出49，那么合同汇总缺少第二个候选段落，fileChangeTypeCodes可以为[]。这是条件推导，不是对现场完整结果的最终定论；还需查看段落等级、完整RESULT_JSON及实际voteTopK配置。</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MATCH_LOG默认只保存evidenceTopK=5条参考；现场截图相似度是数据库六位小数显示值，投票使用内存double值。因此仅用MATCH_LOG不能保证完全重算现场得分。49与71的业务名称应另查业务字典，本案例不猜测其含义。</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10 合同级汇总与两种支持数</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FileChangeTypeAggregator以本次变化段落的规范化基础文本为证据键。相同文本出现多次只算一个段落，合并它们的标签；同一文本同一类型同时出现HIGH和候选时以HIGH为准。只有MATCHED段落的类型参与合同汇总。</w:t>
      </w:r>
    </w:p>
    <w:tbl>
      <w:tblPr>
        <w:tblW w:type="auto" w:w="0"/>
        <w:tblLayout w:type="fixed"/>
        <w:tblLook w:firstColumn="1" w:firstRow="1" w:lastColumn="0" w:lastRow="0" w:noHBand="0" w:noVBand="1" w:val="04A0"/>
      </w:tblPr>
      <w:tblGrid>
        <w:gridCol w:w="5328"/>
        <w:gridCol w:w="1440"/>
        <w:gridCol w:w="2952"/>
      </w:tblGrid>
      <w:tr>
        <w:trPr>
          <w:tblHeader/>
        </w:trP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合同中的证据</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是否输出该类型</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解释</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任一段落该类型为HIGH</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是</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单段高可信即可</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仅一个不同段落为CANDIDATE</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否</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未达到两个不同段落</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两个不同规范化段落均为CANDIDATE</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是</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达到候选共同支持要求</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同一规范化文本重复两次均为候选</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否</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文本去重后只算一次</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历史3条支持但本合同仅1个候选段落</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否</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历史支持数不是合同段落数</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段落FAILED NO_RELIABLE_MATCH或超长</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不贡献</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无可用预测标签</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算法伪代码</w:t>
      </w:r>
    </w:p>
    <w:p>
      <w:pPr>
        <w:spacing w:line="252" w:lineRule="auto"/>
        <w:rPr>
          <w:rFonts w:ascii="Consolas" w:hAnsi="Consolas" w:cs="Consolas" w:eastAsia="SimSun" w:hint="eastAsia"/>
          <w:color w:val="000000"/>
          <w:b w:val="0"/>
          <w:bCs w:val="0"/>
          <w:i w:val="0"/>
          <w:iCs w:val="0"/>
          <w:sz w:val="18"/>
          <w:szCs w:val="18"/>
          <w:lang w:val="en-US" w:eastAsia="zh-CN"/>
        </w:rPr>
      </w:pPr>
      <w:r>
        <w:rPr>
          <w:rFonts w:ascii="Consolas" w:hAnsi="Consolas" w:cs="Consolas" w:eastAsia="SimSun" w:hint="eastAsia"/>
          <w:sz w:val="18"/>
          <w:color w:val="000000"/>
          <w:b w:val="0"/>
          <w:bCs w:val="0"/>
          <w:i w:val="0"/>
          <w:iCs w:val="0"/>
          <w:szCs w:val="18"/>
          <w:lang w:val="en-US" w:eastAsia="zh-CN"/>
        </w:rPr>
        <w:t>按 normalizedBaseText 合并段落的标签及等级</w:t>
        <w:br/>
        <w:t>对每个类型c统计：</w:t>
        <w:br/>
        <w:t xml:space="preserve">  hasHigh = 是否存在任一不同文本给出HIGH</w:t>
        <w:br/>
        <w:t xml:space="preserve">  candidateParagraphCount = 给出候选的不同文本数</w:t>
        <w:br/>
        <w:t xml:space="preserve">  若 hasHigh 或 candidateParagraphCount &gt;= 2：收录c</w:t>
        <w:br/>
        <w:t>最后用TreeSet去重并按编码字符串排序</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汇总使用基础变化文本，而不是上下文兜底拼接文本。同一基础段落因不同条款上下文得到不同标签时，仍只算一个文本证据，每种标签最多贡献一次。输出排序为字符串字典序，不是数值大小排序。</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历史supportCount衡量该段落分类的历史支持；candidateParagraphCount衡量本次合同内重复出现的候选证据。两者处于不同层级。当前汇总不进一步按候选score累计，也不判断两个段落是否来自同一条款或是否语义重复。</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11 compare分析编排与事务时序</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ContractChangeAnalysisService是当前 /compare 主链路。先校验元数据和活动路径，再生成去除连字符的UUID作为analysisId。instId关联业务流程，可多次分析；analysisId区分每一次调用，不能只按instId取第一条记录。</w:t>
      </w:r>
    </w:p>
    <w:tbl>
      <w:tblPr>
        <w:tblW w:type="auto" w:w="0"/>
        <w:tblLayout w:type="fixed"/>
        <w:tblLook w:firstColumn="1" w:firstRow="1" w:lastColumn="0" w:lastRow="0" w:noHBand="0" w:noVBand="1" w:val="04A0"/>
      </w:tblPr>
      <w:tblGrid>
        <w:gridCol w:w="936"/>
        <w:gridCol w:w="4536"/>
        <w:gridCol w:w="4248"/>
      </w:tblGrid>
      <w:tr>
        <w:trPr>
          <w:tblHeader/>
        </w:trP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顺序</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动作</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数据库边界</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校验请求及选择Extractor</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校验失败时尚未创建分析记录</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createProcessing写主表PROCESSING</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REQUIRES_NEW独立事务提交</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3</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SFTP读取并提取基础变化</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不把外部文件处理放在长写事务中</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4</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预测段落并汇总类型</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模型调用不占最终落库事务</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5</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序列化完整JSON并持久化结果</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段落 参考证据及主表更新同事务</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6</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返回analysisId codes status</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精简响应不返回全部变化明细</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异常</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markFailed记录异常及耗时</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REQUIRES_NEW，保留主记录审计</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在createProcessing之前发生的校验错误没有本次主记录。createProcessing自身失败也无法依靠后续catch留痕。进入分析try后发生异常，则尝试独立更新FAILED；失败留痕若再出错，会作为suppressed异常附加，不伪造已成功落库。</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精简响应示例</w:t>
      </w:r>
    </w:p>
    <w:p>
      <w:pPr>
        <w:spacing w:line="252" w:lineRule="auto"/>
        <w:rPr>
          <w:rFonts w:ascii="Consolas" w:hAnsi="Consolas" w:cs="Consolas" w:eastAsia="SimSun" w:hint="eastAsia"/>
          <w:color w:val="000000"/>
          <w:b w:val="0"/>
          <w:bCs w:val="0"/>
          <w:i w:val="0"/>
          <w:iCs w:val="0"/>
          <w:sz w:val="18"/>
          <w:szCs w:val="18"/>
          <w:lang w:val="en-US" w:eastAsia="zh-CN"/>
        </w:rPr>
      </w:pPr>
      <w:r>
        <w:rPr>
          <w:rFonts w:ascii="Consolas" w:hAnsi="Consolas" w:cs="Consolas" w:eastAsia="SimSun" w:hint="eastAsia"/>
          <w:sz w:val="18"/>
          <w:color w:val="000000"/>
          <w:b w:val="0"/>
          <w:bCs w:val="0"/>
          <w:i w:val="0"/>
          <w:iCs w:val="0"/>
          <w:szCs w:val="18"/>
          <w:lang w:val="en-US" w:eastAsia="zh-CN"/>
        </w:rPr>
        <w:t>{"code":200,"message":"操作成功","data":{</w:t>
        <w:br/>
        <w:t xml:space="preserve"> "analysisId":"&lt;本次UUID&gt;",</w:t>
        <w:br/>
        <w:t xml:space="preserve"> "fileChangeTypeCodes":["49"],</w:t>
        <w:br/>
        <w:t xml:space="preserve"> "analysisStatus":"SUCCESS"}}</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当前源码成功业务code为200。用户现场截图曾显示code=0并带success=true，这与当前包装类并不一致，应以现场部署版本或外层包装为准，不能直接据截图认定源码当前返回结构相同。完整变化与预测结果保存在HT_ANALYSIS_LOG.RESULT_JSON。</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12 文件读取与Aspose比较</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主备SFTP与格式检查</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先按活动路径从主SFTP读取，逐块累计大小，默认单份上限52428800字节即50MiB。下载后先检查至少4字节且前两字节为PK；这只是ZIP头初筛，不证明文档一定可解析。主下载、大小或头校验失败会尝试备用SFTP的同一路径。</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若主文件通过头校验但后来Aspose解析失败，当前Loader不自动回到备用服务器再试。这个边界不同于“任何解析失败都能切备”。完整文档有效性与加密检查由Aspose加载阶段处理。</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比较前视为最终稿</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Aspose检测实际格式，加载器接受DOCX DOCM DOTX DOTM对应格式，拒绝加密或非支持文档。若文件已有Word修订，先acceptAllRevisions，按接受修订后的最终文本比较，不分析文件原有修订历史。</w:t>
      </w:r>
    </w:p>
    <w:tbl>
      <w:tblPr>
        <w:tblW w:type="auto" w:w="0"/>
        <w:tblLayout w:type="fixed"/>
        <w:tblLook w:firstColumn="1" w:firstRow="1" w:lastColumn="0" w:lastRow="0" w:noHBand="0" w:noVBand="1" w:val="04A0"/>
      </w:tblPr>
      <w:tblGrid>
        <w:gridCol w:w="3600"/>
        <w:gridCol w:w="6120"/>
      </w:tblGrid>
      <w:tr>
        <w:trPr>
          <w:tblHeader/>
        </w:trP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CompareOptions</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当前设置</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格式 样式相关变化</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ignoreFormatting=true；抽取信号时跳过FORMAT_CHANGE和STYLE_DEFINITION_CHANGE</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批注 页眉页脚 脚注 域</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对应ignore选项为true，不作为主要比较对象</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表格 文本框</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ignoreTables=false ignoreTextboxes=false</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比较目标</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ComparisonTargetType.NEW</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正文修订信号</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提取修订类型 所在段落文本及段落索引</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两份Document先深拷贝再compare，保留原始加载后的最终稿供结构解析。Revision信号用来做定位与诊断；最终ClauseChange主要由结构匹配和文本差异合并生成，不是简单按Aspose修订条数输出。</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Aspose配置允许比较文本框，不代表项目结构解析器独立完整遍历每个文本框。复杂对象、编号和表格布局仍应以项目实际解析与人工复核结果为准。</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13 合同结构解析与标题层级</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ContractStructureParser按Section正文顶层节点读取Paragraph和Table，跳过空段落及目录样式段落。先更新Word自动编号显示标签，再将正文组织为Clause节点及父子层级。</w:t>
      </w:r>
    </w:p>
    <w:tbl>
      <w:tblPr>
        <w:tblW w:type="auto" w:w="0"/>
        <w:tblLayout w:type="fixed"/>
        <w:tblLook w:firstColumn="1" w:firstRow="1" w:lastColumn="0" w:lastRow="0" w:noHBand="0" w:noVBand="1" w:val="04A0"/>
      </w:tblPr>
      <w:tblGrid>
        <w:gridCol w:w="3888"/>
        <w:gridCol w:w="5832"/>
      </w:tblGrid>
      <w:tr>
        <w:trPr>
          <w:tblHeader/>
        </w:trP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识别方式</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层级或行为</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第某章 节 部分 编 篇</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当前规则赋层级1</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第某条</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层级1，识别条款编号及剩余标题</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括号编号例如（一）或(1)</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层级2</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数字编号例如1 1.2 1.2.3</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点分段数决定层级，避免部分日期样式误识别</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Word自动编号</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listLevelNumber+1，补显示编号</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Word标题样式</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outlineLevel+1，限制1至9</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无当前条款的普通文本</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短文本可作合成标题，长文本归合同主体信息</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签署页等签署起始文本</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合成签署信息节点</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表格</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行内单元格以竖线分隔，行间换行，附到当前Clause</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维护层级栈：新节点到来时，弹出层级大于等于自己的节点，剩余栈顶成为父节点。Clause保存编号 标题 层级 顺序 contentParts 子节点及正文段落索引。数字或括号标题余文超过40字符或含明显句末标点时，标题字段可为空，原文仍保留在内容中。</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章和条都可能被赋层级1，因此层级是此规则解析出的结构，不保证完全等同于所有合同的法律章节树。表格被转换为文本后参与匹配，不保留布局作为独立相似度特征。</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两种规范化不要混用</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合同基础比对的ContractCompareText.normalize删除全部空白并转小写；向量分类的ContractTextNormalizer压缩空白但保留空格与大小写。前者容忍排版与大小写变化，后者同时服务导入Hash和模型输入。不能用一种规范化的Hash或分数替代另一种。</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14 新旧条款匹配与Dice算法</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lauseComparisonEngine先匹配相同可比内容，再匹配剩余节点中两边唯一的相同标题，最后对剩余条款模糊匹配。可比内容仅用节点自身文本，并移除开头的条款编号，避免单纯重新编号被当成正文变化。完全相同内容存在多个候选时优先位置最接近者。</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字符二元组Dice</w:t>
      </w:r>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D</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A</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B</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f>
          <m:num>
            <m:r>
              <w:rPr>
                <w:rFonts w:ascii="Cambria Math" w:hAnsi="Cambria Math" w:cs="Cambria Math" w:eastAsia="Cambria Math" w:hint="eastAsia"/>
                <w:color w:val="000000"/>
                <w:b w:val="0"/>
                <w:bCs w:val="0"/>
                <w:i w:val="0"/>
                <w:iCs w:val="0"/>
                <w:sz w:val="22"/>
                <w:szCs w:val="22"/>
                <w:lang w:val="en-US" w:eastAsia="zh-CN"/>
              </w:rPr>
              <m:t xml:space="preserve">2</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A</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B</m:t>
            </m:r>
            <m:r>
              <w:rPr>
                <w:rFonts w:ascii="Cambria Math" w:hAnsi="Cambria Math" w:cs="Cambria Math" w:eastAsia="Cambria Math" w:hint="eastAsia"/>
                <w:color w:val="000000"/>
                <w:b w:val="0"/>
                <w:bCs w:val="0"/>
                <w:i w:val="0"/>
                <w:iCs w:val="0"/>
                <w:sz w:val="22"/>
                <w:szCs w:val="22"/>
                <w:lang w:val="en-US" w:eastAsia="zh-CN"/>
              </w:rPr>
              <m:t xml:space="preserve">)</m:t>
            </m:r>
          </m:num>
          <m:den>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A</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B</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m:t>
            </m:r>
          </m:den>
        </m:f>
      </m:oMath>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A与B是规范化后的字符串，|A|为字符长度；I(A,B)是各二元组在两边出现次数较小值的总和。</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例如“合同修改”的二元组为合同 同修 修改；“合同变更”为合同 同变 变更，共同二元组1个，总数3+3，Dice为2/6约0.3333。实现统计重复二元组次数，是多重集合比较；完全相同文本直接为1，单字不相同为0。</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条款组合分数</w:t>
      </w:r>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S</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f>
          <m:num>
            <m:r>
              <w:rPr>
                <w:rFonts w:ascii="Cambria Math" w:hAnsi="Cambria Math" w:cs="Cambria Math" w:eastAsia="Cambria Math" w:hint="eastAsia"/>
                <w:color w:val="000000"/>
                <w:b w:val="0"/>
                <w:bCs w:val="0"/>
                <w:i w:val="0"/>
                <w:iCs w:val="0"/>
                <w:sz w:val="22"/>
                <w:szCs w:val="22"/>
                <w:lang w:val="en-US" w:eastAsia="zh-CN"/>
              </w:rPr>
              <m:t xml:space="preserve">0</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6</m:t>
            </m:r>
            <m:r>
              <w:rPr>
                <w:rFonts w:ascii="Cambria Math" w:hAnsi="Cambria Math" w:cs="Cambria Math" w:eastAsia="Cambria Math" w:hint="eastAsia"/>
                <w:color w:val="000000"/>
                <w:b w:val="0"/>
                <w:bCs w:val="0"/>
                <w:i w:val="0"/>
                <w:iCs w:val="0"/>
                <w:sz w:val="22"/>
                <w:szCs w:val="22"/>
                <w:lang w:val="en-US" w:eastAsia="zh-CN"/>
              </w:rPr>
              <m:t xml:space="preserve">0</m:t>
            </m:r>
            <m:r>
              <w:rPr>
                <w:rFonts w:ascii="Cambria Math" w:hAnsi="Cambria Math" w:cs="Cambria Math" w:eastAsia="Cambria Math" w:hint="eastAsia"/>
                <w:color w:val="000000"/>
                <w:b w:val="0"/>
                <w:bCs w:val="0"/>
                <w:i w:val="0"/>
                <w:iCs w:val="0"/>
                <w:sz w:val="22"/>
                <w:szCs w:val="22"/>
                <w:lang w:val="en-US" w:eastAsia="zh-CN"/>
              </w:rPr>
              <m:t xml:space="preserve"> </m:t>
            </m:r>
            <m:sSub>
              <m:e>
                <m:r>
                  <w:rPr>
                    <w:rFonts w:ascii="Cambria Math" w:hAnsi="Cambria Math" w:cs="Cambria Math" w:eastAsia="Cambria Math" w:hint="eastAsia"/>
                    <w:color w:val="000000"/>
                    <w:b w:val="0"/>
                    <w:bCs w:val="0"/>
                    <w:i w:val="0"/>
                    <w:iCs w:val="0"/>
                    <w:sz w:val="22"/>
                    <w:szCs w:val="22"/>
                    <w:lang w:val="en-US" w:eastAsia="zh-CN"/>
                  </w:rPr>
                  <m:t xml:space="preserve">D</m:t>
                </m:r>
              </m:e>
              <m:sub>
                <m:r>
                  <w:rPr>
                    <w:rFonts w:ascii="Cambria Math" w:hAnsi="Cambria Math" w:cs="Cambria Math" w:eastAsia="Cambria Math" w:hint="eastAsia"/>
                    <w:color w:val="000000"/>
                    <w:b w:val="0"/>
                    <w:bCs w:val="0"/>
                    <w:i w:val="0"/>
                    <w:iCs w:val="0"/>
                    <w:sz w:val="22"/>
                    <w:szCs w:val="22"/>
                    <w:lang w:val="en-US" w:eastAsia="zh-CN"/>
                  </w:rPr>
                  <m:t xml:space="preserve">c</m:t>
                </m:r>
              </m:sub>
            </m:sSub>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0</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2</m:t>
            </m:r>
            <m:r>
              <w:rPr>
                <w:rFonts w:ascii="Cambria Math" w:hAnsi="Cambria Math" w:cs="Cambria Math" w:eastAsia="Cambria Math" w:hint="eastAsia"/>
                <w:color w:val="000000"/>
                <w:b w:val="0"/>
                <w:bCs w:val="0"/>
                <w:i w:val="0"/>
                <w:iCs w:val="0"/>
                <w:sz w:val="22"/>
                <w:szCs w:val="22"/>
                <w:lang w:val="en-US" w:eastAsia="zh-CN"/>
              </w:rPr>
              <m:t xml:space="preserve">5</m:t>
            </m:r>
            <m:r>
              <w:rPr>
                <w:rFonts w:ascii="Cambria Math" w:hAnsi="Cambria Math" w:cs="Cambria Math" w:eastAsia="Cambria Math" w:hint="eastAsia"/>
                <w:color w:val="000000"/>
                <w:b w:val="0"/>
                <w:bCs w:val="0"/>
                <w:i w:val="0"/>
                <w:iCs w:val="0"/>
                <w:sz w:val="22"/>
                <w:szCs w:val="22"/>
                <w:lang w:val="en-US" w:eastAsia="zh-CN"/>
              </w:rPr>
              <m:t xml:space="preserve"> </m:t>
            </m:r>
            <m:sSub>
              <m:e>
                <m:r>
                  <w:rPr>
                    <w:rFonts w:ascii="Cambria Math" w:hAnsi="Cambria Math" w:cs="Cambria Math" w:eastAsia="Cambria Math" w:hint="eastAsia"/>
                    <w:color w:val="000000"/>
                    <w:b w:val="0"/>
                    <w:bCs w:val="0"/>
                    <w:i w:val="0"/>
                    <w:iCs w:val="0"/>
                    <w:sz w:val="22"/>
                    <w:szCs w:val="22"/>
                    <w:lang w:val="en-US" w:eastAsia="zh-CN"/>
                  </w:rPr>
                  <m:t xml:space="preserve">D</m:t>
                </m:r>
              </m:e>
              <m:sub>
                <m:r>
                  <w:rPr>
                    <w:rFonts w:ascii="Cambria Math" w:hAnsi="Cambria Math" w:cs="Cambria Math" w:eastAsia="Cambria Math" w:hint="eastAsia"/>
                    <w:color w:val="000000"/>
                    <w:b w:val="0"/>
                    <w:bCs w:val="0"/>
                    <w:i w:val="0"/>
                    <w:iCs w:val="0"/>
                    <w:sz w:val="22"/>
                    <w:szCs w:val="22"/>
                    <w:lang w:val="en-US" w:eastAsia="zh-CN"/>
                  </w:rPr>
                  <m:t xml:space="preserve">t</m:t>
                </m:r>
              </m:sub>
            </m:sSub>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0</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5</m:t>
            </m:r>
            <m:r>
              <w:rPr>
                <w:rFonts w:ascii="Cambria Math" w:hAnsi="Cambria Math" w:cs="Cambria Math" w:eastAsia="Cambria Math" w:hint="eastAsia"/>
                <w:color w:val="000000"/>
                <w:b w:val="0"/>
                <w:bCs w:val="0"/>
                <w:i w:val="0"/>
                <w:iCs w:val="0"/>
                <w:sz w:val="22"/>
                <w:szCs w:val="22"/>
                <w:lang w:val="en-US" w:eastAsia="zh-CN"/>
              </w:rPr>
              <m:t xml:space="preserve"> </m:t>
            </m:r>
            <m:sSub>
              <m:e>
                <m:r>
                  <w:rPr>
                    <w:rFonts w:ascii="Cambria Math" w:hAnsi="Cambria Math" w:cs="Cambria Math" w:eastAsia="Cambria Math" w:hint="eastAsia"/>
                    <w:color w:val="000000"/>
                    <w:b w:val="0"/>
                    <w:bCs w:val="0"/>
                    <w:i w:val="0"/>
                    <w:iCs w:val="0"/>
                    <w:sz w:val="22"/>
                    <w:szCs w:val="22"/>
                    <w:lang w:val="en-US" w:eastAsia="zh-CN"/>
                  </w:rPr>
                  <m:t xml:space="preserve">D</m:t>
                </m:r>
              </m:e>
              <m:sub>
                <m:r>
                  <w:rPr>
                    <w:rFonts w:ascii="Cambria Math" w:hAnsi="Cambria Math" w:cs="Cambria Math" w:eastAsia="Cambria Math" w:hint="eastAsia"/>
                    <w:color w:val="000000"/>
                    <w:b w:val="0"/>
                    <w:bCs w:val="0"/>
                    <w:i w:val="0"/>
                    <w:iCs w:val="0"/>
                    <w:sz w:val="22"/>
                    <w:szCs w:val="22"/>
                    <w:lang w:val="en-US" w:eastAsia="zh-CN"/>
                  </w:rPr>
                  <m:t xml:space="preserve">x</m:t>
                </m:r>
              </m:sub>
            </m:sSub>
          </m:num>
          <m:den>
            <m:r>
              <w:rPr>
                <w:rFonts w:ascii="Cambria Math" w:hAnsi="Cambria Math" w:cs="Cambria Math" w:eastAsia="Cambria Math" w:hint="eastAsia"/>
                <w:color w:val="000000"/>
                <w:b w:val="0"/>
                <w:bCs w:val="0"/>
                <w:i w:val="0"/>
                <w:iCs w:val="0"/>
                <w:sz w:val="22"/>
                <w:szCs w:val="22"/>
                <w:lang w:val="en-US" w:eastAsia="zh-CN"/>
              </w:rPr>
              <m:t xml:space="preserve">W</m:t>
            </m:r>
          </m:den>
        </m:f>
      </m:oMath>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D_c D_t D_x分别为内容、标题和上下文Dice；W为有效特征权重之和，缺失的特征从分子和分母同时去除。</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内容是各条款ownContent去编号后的规范文本；标题使用title；上下文由父标题、前后邻接条款标题拼接。只有两边该特征非空才计入分子和分母；缺失标题时并非仍按总权重1除。</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例如内容Dice=0.90、标题=0.80、上下文=0.60，三项都有效，分数为0.54+0.20+0.09=0.83。若缺标题，则分母为0.75，按内容与上下文权重重新归一化。</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模糊匹配要求第一名S≥0.80，且第一名比第二名至少高0.10。不够分或差距不足不匹配，歧义写warnings。各旧条款的最佳候选按分数倒序贪心占用新条款，保证一对一；不是全局最优二分图匹配，也不会自动将一个旧条款对应多个新条款。</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未匹配新节点形成新增，未匹配旧节点形成删除；若父节点已整段新增或删除，不重复输出子节点。已匹配但可比内容不同才输出修改。仅编号或忽略后的排版变化可能不进入业务变化列表。</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15 段落对齐与Myers精细差异</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段落级动态规划</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每个匹配条款的contentParts形成旧新段落序列。用编辑距离动态规划对齐：相同段落代价0，替换 删除 插入代价均为1。首个内容段落比较时可去除条款编号，其他段落保留原文语义。</w:t>
      </w:r>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j</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n</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j</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δ</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j</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j</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oMath>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C表示cost；δ在两段相同时为0，否则为1。</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初始化cost(i,0)=i、cost(0,j)=j，填表后回溯。同代价时优先对角线，再考虑插入和删除。相等项不输出，其余成为MODIFIED ADDED DELETED变化段落。这是一种顺序文本对齐，不是对每个段落再做Embedding匹配。复杂度为O(mn)时间和空间。</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修改段落的文字差异</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新增或删除直接返回整段INSERTED或DELETED。修改时，若两段Dice&lt;0.35，直接整段REPLACED；否则进行分词和Myers最短编辑脚本，生成更细的INSERTED DELETED REPLACED片段。</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分词忽略空白和Word控制字符7。中文等默认按Unicode码点，英文单词按字母 数字 下划线 连字符组成词；数字 比例 日期 范围和版本号尽量作为整体。Token保存原文起止位置，比较key转小写，最后从原文截取差异内容，避免显示被分词改写。</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先去除相同Token前缀与后缀，减少中间差异规模。如果旧新中间Token总数超过2000，停止精细算法；无可靠细分结果时退回整段替换。2000是差异Token保护值，与分类5000字符上限不是一个参数。</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Myers如何工作</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把旧序列位置x与新序列位置y组成编辑图；相同Token沿对角线免费前进，插入或删除消耗一步。算法逐渐增大编辑距离D，在每条对角线上保留最远可达位置，命中终点后根据trace回溯出最短插删路径。相邻非相等原子聚合为插入 删除或替换。此实现保存每层数组快照，最坏内存代价较高，故需要Token上限。</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示例“认购后完成评估”改为“认购前完成评估”，共同前后缀剔除后，输出“后”替换为“前”。比例或日期作为整体有助于展示完整数值变化，而不是散落的单个字符。</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16 单文件变更函提取规则</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CHANGE_DOCUMENT不从完整旧新合同寻找差异，而是读取补充协议 征询意见函或协商函中已经描述的变更内容。ChangeDocumentExtractionService把正文段落和表格转为顺序TextBlock，自动编号前缀可补回。</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识别变更标题并分段</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常规标题需要数字序号、“《基金合同》”，以及约定如下、如下约定、增加、新增、删除、修改或变更等词。特殊标题识别“自本协议或函件变更执行日起”并带基金合同引用和变更动作。每个标题到下一个标题之间形成一个变更段。未找到标题直接业务报错。</w:t>
      </w:r>
    </w:p>
    <w:tbl>
      <w:tblPr>
        <w:tblW w:type="auto" w:w="0"/>
        <w:tblLayout w:type="fixed"/>
        <w:tblLook w:firstColumn="1" w:firstRow="1" w:lastColumn="0" w:lastRow="0" w:noHBand="0" w:noVBand="1" w:val="04A0"/>
      </w:tblPr>
      <w:tblGrid>
        <w:gridCol w:w="3168"/>
        <w:gridCol w:w="6552"/>
      </w:tblGrid>
      <w:tr>
        <w:trPr>
          <w:tblHeader/>
        </w:trP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标题与标记</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提取方式</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删除</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后续逻辑内容作为oldContent</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增加或新增</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后续逻辑内容作为newContent</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修改或其他默认修改</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以“内容变更如下”标记切分old和new</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同时含删除与新增</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按MODIFIED；有标记则正常切分，无标记按标题最后动作选择一侧并告警</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双引号包裹内容</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按支持的中文 英文或全角双引号读取，可跨段且处理中文嵌套</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标记后无引号</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newContent仅取后续第一块，不自动拼接全部剩余内容</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找不到修改标记时返回逻辑内容为旧侧、新侧为空并提示人工复核；不凭空生成修改后的文本。引号未闭合、旧新内容缺失或标题后为空都形成warning。目标条款引用由标题中《基金合同》起始部分去除动作后缀得到。</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一个变更标题通常输出一个逻辑ChangedParagraph，其文本可跨多个Word段落。因此“两个不同候选变化段落”的汇总门槛在单标题变更函中尤其容易不满足，不能把排版段落数量直接当作汇总支持数。</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提取到旧新内容后复用ClauseComparisonEngine.describeTextChange生成基础细节。这里依赖明确的文档格式和标记，不是通用语义阅读；格式差异、表格复杂文本和非标准措辞可能影响提取完整性。</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17 变化段落预测与上下文兜底</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ContractComparePredictionService对新增和修改取newContent，对删除取oldContent。规范化后相同基础文本分组，批量调用predictBatchLenient，并把同一结果回填到相同输入的目标段落。空内容标FAILED，超长标SKIPPED_TOO_LONG。</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宽容批量预测先保留Hash精确命中，再对剩余输入分批向量化。某批网关失败只把该批输入标FAILED，其他成功批次与EXACT结果保留。这区别于导入或单段严格predict链路遇错整体抛出。</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只有无可靠匹配才再试上下文</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仅PREDICTION_STATUS=NO_RELIABLE_MATCH时构造补充输入。FAILED和超长不会靠上下文重试；已返回CANDIDATE的段落也不因此自动再次识别。</w:t>
      </w:r>
    </w:p>
    <w:tbl>
      <w:tblPr>
        <w:tblW w:type="auto" w:w="0"/>
        <w:tblLayout w:type="fixed"/>
        <w:tblLook w:firstColumn="1" w:firstRow="1" w:lastColumn="0" w:lastRow="0" w:noHBand="0" w:noVBand="1" w:val="04A0"/>
      </w:tblPr>
      <w:tblGrid>
        <w:gridCol w:w="2520"/>
        <w:gridCol w:w="7200"/>
      </w:tblGrid>
      <w:tr>
        <w:trPr>
          <w:tblHeader/>
        </w:trP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模式</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兜底输入</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DOUBLE_VERSION</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条款编号 标题等加当前目标段落，余量用于旧侧或新侧条款周边文本</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CHANGE_DOCUMENT</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来源标题 目标条款等加当前目标文本，不补完整条款正文</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预算优先级</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目标段落不能被截断；标题按剩余预算缩短，再分配前后周边内容</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输出等级</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凡fallbackUsed=true的兜底结果，所有类型统一降为CANDIDATE</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兜底结果保存实际predictionText和OLD_CONTEXT或NEW_CONTEXT，替换原段落的预测对象。文件汇总仍以基础old/new段落文本去重，因此不能靠同一段落不同上下文制造两个独立证据。</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MATCHED指已有非空类型结果，可以只是候选；NO_RELIABLE_MATCH指正常执行但未得到类型；FAILED是执行或输入失败；SKIPPED_TOO_LONG是超限未识别。matchType另区分EXACT SEMANTIC NO_RELIABLE_MATCH，不能把MATCHED理解为HIGH。</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上下文降级的业务理由是：标题或整条款可能提供强主题信号，但并非当前变化内容本身。代价是单段上下文命中不能直接进入文件级结果，即使上下文包含精确历史文本。</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18 分析结果与三张审计表</w:t>
      </w:r>
    </w:p>
    <w:tbl>
      <w:tblPr>
        <w:tblW w:type="auto" w:w="0"/>
        <w:tblLayout w:type="fixed"/>
        <w:tblLook w:firstColumn="1" w:firstRow="1" w:lastColumn="0" w:lastRow="0" w:noHBand="0" w:noVBand="1" w:val="04A0"/>
      </w:tblPr>
      <w:tblGrid>
        <w:gridCol w:w="3384"/>
        <w:gridCol w:w="3960"/>
        <w:gridCol w:w="2376"/>
      </w:tblGrid>
      <w:tr>
        <w:trPr>
          <w:tblHeader/>
        </w:trP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表</w:t>
            </w:r>
          </w:p>
        </w:tc>
        <w:tc>
          <w:tcPr>
            <w:tcW w:type="dxa" w:w="39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主要内容</w:t>
            </w:r>
          </w:p>
        </w:tc>
        <w:tc>
          <w:tcPr>
            <w:tcW w:type="dxa" w:w="23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关联</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HT_ANALYSIS_LOG</w:t>
            </w:r>
          </w:p>
        </w:tc>
        <w:tc>
          <w:tcPr>
            <w:tcW w:type="dxa" w:w="39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流程ID 操作人 类型 路径 状态 耗时 模型 代码集合 RESULT_JSON 错误</w:t>
            </w:r>
          </w:p>
        </w:tc>
        <w:tc>
          <w:tcPr>
            <w:tcW w:type="dxa" w:w="23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ANALYSIS_ID定位一次分析</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HT_ANALYSIS_PARA_LOG</w:t>
            </w:r>
          </w:p>
        </w:tc>
        <w:tc>
          <w:tcPr>
            <w:tcW w:type="dxa" w:w="39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条款和变化段落 旧新内容 实际预测文本 状态 输入范围 标签 最大相似度 匹配方式 兜底标记</w:t>
            </w:r>
          </w:p>
        </w:tc>
        <w:tc>
          <w:tcPr>
            <w:tcW w:type="dxa" w:w="23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ANALYSIS_ID连主表；ID是证据的PARAGRAPH_LOG_ID</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HT_ANALYSIS_MATCH_LOG</w:t>
            </w:r>
          </w:p>
        </w:tc>
        <w:tc>
          <w:tcPr>
            <w:tcW w:type="dxa" w:w="39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历史样本ID 相似度 历史类型串 排名</w:t>
            </w:r>
          </w:p>
        </w:tc>
        <w:tc>
          <w:tcPr>
            <w:tcW w:type="dxa" w:w="23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关联段落ID及TPIF_HTDLYB.ID</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RESULT_JSON保存完整ContractCompareResponse，包括基础changes、warnings、predictionSummary、段落businessTypePrediction以及其中的changeTypes.score supportCount level和references。精简HTTP响应只返回analysisId fileChangeTypeCodes analysisStatus。</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段落表的CHANGE_TYPE_CODES只保存已返回类型编码，并不单独保存每个编码的score和level；要判断49是HIGH还是CANDIDATE，应读RESULT_JSON。MAX_SIMILARITY是最高历史相似度，不是类型score。证据表CHANGE_TYPE_CODES是每条历史参考的标签，不是最终预测。</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落库的原子性</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persistSuccess为一个事务，顺序插入每条段落、通过回填主键插入references，再更新主表状态和完整JSON。任一写入不成功回滚该次最终结果；之后独立markFailed。由此不应留下“主表SUCCESS但最终结果只写了一半”的正常提交状态。PROCESSING主记录此前已独立提交。</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精确命中通常只有1条reference；语义命中通常最多5条。无可靠匹配也可能保留参考。references是可追溯证据，不是一定被采用的类型结论。主表CHANGED_PARAGRAPH_COUNT为变化段落数，不是条款数，也不是匹配证据数。</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日志中的SIMILARITY数据库定义为NUMBER(10,6)，显示与保存精度有限；向量投票在内存用double。只有5条参考以及舍入的相似度，无法保证精确重算全部实际投票权重。</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19 状态含义与导出链路</w:t>
      </w:r>
    </w:p>
    <w:tbl>
      <w:tblPr>
        <w:tblW w:type="auto" w:w="0"/>
        <w:tblLayout w:type="fixed"/>
        <w:tblLook w:firstColumn="1" w:firstRow="1" w:lastColumn="0" w:lastRow="0" w:noHBand="0" w:noVBand="1" w:val="04A0"/>
      </w:tblPr>
      <w:tblGrid>
        <w:gridCol w:w="2232"/>
        <w:gridCol w:w="3816"/>
        <w:gridCol w:w="3672"/>
      </w:tblGrid>
      <w:tr>
        <w:trPr>
          <w:tblHeader/>
        </w:trP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分析状态</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判定</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业务含义</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PROCESSING</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主记录已创建，分析未最终提交</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可能仍执行，也可能异常退出后未完成清理</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SUCCESS</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没有FAILED或超长跳过段落</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流程完成，可能全是NO_RELIABLE_MATCH或最终类型为空</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PARTIAL_SUCCESS</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failedCount&gt;0或skippedTooLongCount&gt;0</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基础解析完成，部分分类失败或未执行</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FAILED</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提取 序列化 最终保存等异常被外层捕获</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此次业务分析未正常完成</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noReliableMatchCount&gt;0不会自动变成PARTIAL_SUCCESS；常规warning也不改变SUCCESS。因此SUCCESS不是“所有变化都有确认业务类型”。模型不可用但有精确命中时，可以保存部分成功的基础变化和已识别标签。</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HTTP与业务code</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应同时检查HTTP状态、响应体code和analysisStatus。当前源码成功code=200、校验400、服务不可用503、未预期失败500；现场外层包装可能不同。不能把HTTP 200或类型集合为空作为唯一业务判据。</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export不是compare结果下载</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/export调用ContractCompareService重新读取并执行基础提取，不经过ContractChangeAnalysisService的历史预测和审计落库。它不是直接按analysisId导出之前的完整业务分类结果。</w:t>
      </w:r>
    </w:p>
    <w:tbl>
      <w:tblPr>
        <w:tblW w:type="auto" w:w="0"/>
        <w:tblLayout w:type="fixed"/>
        <w:tblLook w:firstColumn="1" w:firstRow="1" w:lastColumn="0" w:lastRow="0" w:noHBand="0" w:noVBand="1" w:val="04A0"/>
      </w:tblPr>
      <w:tblGrid>
        <w:gridCol w:w="3384"/>
        <w:gridCol w:w="6336"/>
      </w:tblGrid>
      <w:tr>
        <w:trPr>
          <w:tblHeader/>
        </w:trP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导出模式</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内容</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DOUBLE_VERSION SIMPLE</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9列基础差异，含条款编号 旧新段落与具体变化</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DOUBLE_VERSION CONTEXT</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11列，增加完整旧新条款上下文</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CHANGE_DOCUMENT</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8列，含来源标题 目标条款 旧新内容与变化</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工作表结构</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第1行为标题 第2行为表头 后面才是数据；有warning时另加提示信息表</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Excel每个变化段落通常生成1数据行，不一定等于条款变化数。单元格文本清理非法控制字符，超过32767字符会截断并加提示。当前导出不含业务类型预测列，不应据导出缺少49推断compare没有分类。</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20 原有完整合同解析与Oracle函数</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完整合同解析集成是另一条入口</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/document/analyze-and-predict通过ContractDocumentParagraphReader复用原docx4j解析模块。只读取顶层P段落，按模块与标题规则选择特别约定 风险揭示 合格投资者承诺 合同正文和附件等预测内容，跳过标题及模块分界文字。不能把这条读取能力等同于新双版本结构解析器的正文表格遍历。</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选出的段落规范化去重后，严格predictBatch分类，再用同一FileChangeTypeAggregator汇总。全部预测正常结束后才通过LegacyDocxAnalysisTransactionService开启事务调用原DocxModifyAndLandService.analyzeAndLand，保存旧解析主表明细并返回mainId。段落预测本身不写HT_ANALYSIS三表。正常无可靠匹配属于已执行结果，模型异常则会阻止后续旧解析落库。</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Oracle函数只生成请求报文</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FN_CONTRACT_COMPARE_REQUEST返回CLOB JSON，不发送HTTP。它把LiveBOS字典1或DOUBLE_VERSION转换为双版本，把2或CHANGE_DOCUMENT转换为单文件，检查正整数instId、用户长度及对应文件路径。未使用路径传SQL NULL。</w:t>
      </w:r>
    </w:p>
    <w:p>
      <w:pPr>
        <w:spacing w:line="252" w:lineRule="auto"/>
        <w:rPr>
          <w:rFonts w:ascii="Consolas" w:hAnsi="Consolas" w:cs="Consolas" w:eastAsia="SimSun" w:hint="eastAsia"/>
          <w:color w:val="000000"/>
          <w:b w:val="0"/>
          <w:bCs w:val="0"/>
          <w:i w:val="0"/>
          <w:iCs w:val="0"/>
          <w:sz w:val="18"/>
          <w:szCs w:val="18"/>
          <w:lang w:val="en-US" w:eastAsia="zh-CN"/>
        </w:rPr>
      </w:pPr>
      <w:r>
        <w:rPr>
          <w:rFonts w:ascii="Consolas" w:hAnsi="Consolas" w:cs="Consolas" w:eastAsia="SimSun" w:hint="eastAsia"/>
          <w:sz w:val="18"/>
          <w:color w:val="000000"/>
          <w:b w:val="0"/>
          <w:bCs w:val="0"/>
          <w:i w:val="0"/>
          <w:iCs w:val="0"/>
          <w:szCs w:val="18"/>
          <w:lang w:val="en-US" w:eastAsia="zh-CN"/>
        </w:rPr>
        <w:t>SELECT FN_CONTRACT_COMPARE_REQUEST(</w:t>
        <w:br/>
        <w:t xml:space="preserve">  10001, 'employee-001', '1',</w:t>
        <w:br/>
        <w:t xml:space="preserve">  '/contracts/before.docx', '/contracts/after.docx', NULL</w:t>
        <w:br/>
        <w:t>) FROM DUAL;</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函数使用||拼接字符串，JSON_QUOTE转义双引号 反斜杠及控制字符；TO_CHAR(TRUNC(I_INSTID),'TM9')把流程整数转为紧凑数字文本，不给JSON数字加引号。它不能代替Java的SFTP读取和分析，也不会向量化合同。</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LiveBOS或其他调用方接收JSON后调用Java HTTP接口，并保存请求响应和analysisId。业务调用记录的主键与Java analysisId属于不同记录体系，不能混用。源码提供Oracle 11g兼容的手工JSON构造，不应据本地OracleFree测试替代目标版本兼容验收。</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21 现行规则的业务适用性</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以下为业务设计评估，不是已实施改动。当前机制适合从已标注历史案例中寻找近邻，倾向抑制误报；它不能自动证明某个相似段落在法律或业务上必然属于同一变更类型。</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历史标签到底标注什么</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如果标签代表条款主题，使用当前文本继承标签较自然。如果标签代表从旧约定到新约定的变化行为或方向，仅看新文本可能不充分。例如1%改为2%与3%改为2%，新条款相同但变化方向不同；否定词 主体 金额 期限也可能改变业务含义。需要确认标注口径，并考虑同时使用旧新文本和差异片段。</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HIGH不等于已校准的正确概率</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投票score高表示参与近邻同意程度高。两条略高于0.60且同标签的样本就可能得HIGH；多条同模板历史样本可能只是重复证据。样本来源 去重 类别不均衡与模型空间都会影响结果，0.55与0.80应通过真实模型和人工标注校准，而不是当成自然业务标准。</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单段候选被过滤的风险</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一个业务变更可以只出现在一处条款。“至少两个不同变化段落”有利于压低误报，却可能系统性漏掉单条款修改，而且结果受文档分段方式影响。在CHANGE_DOCUMENT中一个标题通常聚合为一个逻辑段落，影响更明显。两个不同文本也不一定是独立事实证据。</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建议保留确认类型与待复核候选</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若系统用于人工审核，建议让确认类型和待复核候选分别可见，展示得分 支持数 最高相似度 原文证据及未入选理由。单段候选可不触发自动业务动作，但不宜从审核视野消失。若直接触发自动分类或流程分派，则需更严格的标注验证与误报控制。</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不建议只因一个案例就降低HIGH阈值。先确认完整10条投票、实际模型版本及段落等级，再用独立标注集分别统计精确率 召回率和各类型漏报，判断哪些标签需要更保守或更敏感的策略。</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22 参数管理与现场排查</w:t>
      </w:r>
    </w:p>
    <w:tbl>
      <w:tblPr>
        <w:tblW w:type="auto" w:w="0"/>
        <w:tblLayout w:type="fixed"/>
        <w:tblLook w:firstColumn="1" w:firstRow="1" w:lastColumn="0" w:lastRow="0" w:noHBand="0" w:noVBand="1" w:val="04A0"/>
      </w:tblPr>
      <w:tblGrid>
        <w:gridCol w:w="4752"/>
        <w:gridCol w:w="1872"/>
        <w:gridCol w:w="3096"/>
      </w:tblGrid>
      <w:tr>
        <w:trPr>
          <w:tblHeader/>
        </w:trP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配置或保护值</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当前值</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调整影响</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embedding.dimension / batch-size</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1024 / 16</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维度变更须重生成历史向量；批量有16上限校验</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model-version</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模型空间版本标记</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必须与实际生成模型语义一致，不应只改名称混用旧向量</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import max-rows / max-total-samples</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1000 / 10000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控制单批和物理库规模，不是成功性能承诺</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retrieve / vote / evidence Top K</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10 / 10 / 5</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召回 投票与展示分别控制；vote和evidence不能大于retrieve</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min-similarity</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0.60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降低可引入更弱近邻，改变投票分母</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candidate / high threshold</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0.55 / 0.80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改变段落输出等级，不直接改变汇总两段落门槛</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min-support / strong-match</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 / 0.80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分别约束语义HIGH与空投票兜底</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max-paragraph-length</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yml 5000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字符不是Token；当前配置类初始值2000</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compare min-score / ambiguity</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0.80 / 0.10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控制旧新条款模糊对齐，不是向量分类阈值</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精细差异保护值</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中间Token总数2000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代码常量；超限退整段替换</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23 现场排查与结果核验</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空类型集合的排查顺序</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先查主表状态与完整JSON，确认是否有基础变化；再查段落MATCHED与matchType，区分无匹配 失败 超长和正常候选；读取changeTypes的score level supportCount，再检查有多少不同基础变化文本支持该类型。最后核对网关 模型版本 实际Top K阈值及所有服务实例的索引快照。</w:t>
      </w:r>
    </w:p>
    <w:p>
      <w:pPr>
        <w:spacing w:line="252" w:lineRule="auto"/>
        <w:rPr>
          <w:rFonts w:ascii="Consolas" w:hAnsi="Consolas" w:cs="Consolas" w:eastAsia="SimSun" w:hint="eastAsia"/>
          <w:color w:val="000000"/>
          <w:b w:val="0"/>
          <w:bCs w:val="0"/>
          <w:i w:val="0"/>
          <w:iCs w:val="0"/>
          <w:sz w:val="18"/>
          <w:szCs w:val="18"/>
          <w:lang w:val="en-US" w:eastAsia="zh-CN"/>
        </w:rPr>
      </w:pPr>
      <w:r>
        <w:rPr>
          <w:rFonts w:ascii="Consolas" w:hAnsi="Consolas" w:cs="Consolas" w:eastAsia="SimSun" w:hint="eastAsia"/>
          <w:sz w:val="18"/>
          <w:color w:val="000000"/>
          <w:b w:val="0"/>
          <w:bCs w:val="0"/>
          <w:i w:val="0"/>
          <w:iCs w:val="0"/>
          <w:szCs w:val="18"/>
          <w:lang w:val="en-US" w:eastAsia="zh-CN"/>
        </w:rPr>
        <w:t>SELECT ID, PREDICTION_STATUS, MATCH_TYPE, CHANGE_TYPE_CODES,</w:t>
        <w:br/>
        <w:t xml:space="preserve">       MAX_SIMILARITY, INPUT_SCOPE, FALLBACK_USED</w:t>
        <w:br/>
        <w:t>FROM HT_ANALYSIS_PARA_LOG WHERE ANALYSIS_ID = :analysis_id;</w:t>
        <w:br/>
        <w:br/>
        <w:t>SELECT HISTORICAL_SAMPLE_ID, SIMILARITY, CHANGE_TYPE_CODES, RANK_NO</w:t>
        <w:br/>
        <w:t>FROM HT_ANALYSIS_MATCH_LOG</w:t>
        <w:br/>
        <w:t>WHERE ANALYSIS_ID = :analysis_id AND PARAGRAPH_LOG_ID = :paragraph_id</w:t>
        <w:br/>
        <w:t>ORDER BY RANK_NO;</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 xml:space="preserve">修改标签后应刷新索引；仅改模型版本不会生成新向量；仅index/reload也不会调用模型。调整候选阈值不会让单段候选自动通过固定的两段落汇总规则。排查时不要启用会打印API Key 合同正文或向量JSON的SQL和HTTP DEBUG日志。</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24 代码定位与职责映射</w:t>
      </w:r>
    </w:p>
    <w:tbl>
      <w:tblPr>
        <w:tblW w:type="auto" w:w="0"/>
        <w:tblLayout w:type="fixed"/>
        <w:tblLook w:firstColumn="1" w:firstRow="1" w:lastColumn="0" w:lastRow="0" w:noHBand="0" w:noVBand="1" w:val="04A0"/>
      </w:tblPr>
      <w:tblGrid>
        <w:gridCol w:w="2160"/>
        <w:gridCol w:w="7560"/>
      </w:tblGrid>
      <w:tr>
        <w:trPr>
          <w:tblHeader/>
        </w:trP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职责</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源码位置</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入口与参数</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controller/ContractChangeController.java；contractcompare/controller/ContractCompareController.java；resources/application.yml</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导入与事务</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service/ContractParagraphImportService.java；ContractParagraphPersistenceService.java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网关与向量</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embedding/HttpEmbeddingClient.java；util/VectorUtils.java；VectorCodec.java；ChangeTypeCodes.java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索引与投票</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service/ParagraphVectorIndexService.java；ContractParagraphPredictionService.java；FileChangeTypeAggregator.java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比较解析</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contractcompare/aspose/AsposeCompareService.java；service/ContractStructureParser.java；ClauseComparisonEngine.java；ContractCompareText.java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单文件与上下文</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contractcompare/service/ChangeDocumentExtractionService.java；ContractComparePredictionService.java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编排与留痕</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contractcompare/service/ContractChangeAnalysisService.java；AnalysisResultPersistenceService.java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原解析集成</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service/ContractDocumentChangePredictionService.java；ContractDocumentParagraphReader.java；LegacyDocxAnalysisTransactionService.java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建表与请求函数</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database/oracle/01_schema.sql；02_analysis_log.sql；03_compare_request_function.sql</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Java路径以src/main/java/com/citics/glxt/contractchange为根，resources以src/main为根。以上位置便于将文档规则与实际部署源码逐项核对；不同提交或外层接口包装可能改变响应与配置。</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25 完整案例与算法边界复盘</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一个修改从文件到类型的完整过程</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 xml:space="preserve">先导入“认购前完成风险评估”及其人工标签：规范化 Hash查重 生成1024维向量 归一化 CLOB JSON事务保存并重载。再提交旧合同“认购后完成风险评估”和新合同“认购前完成风险评估”：读取最终稿 解析条款 标题或模糊匹配 动态规划对齐 Myers输出后替换为前。</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类型识别使用新段落。如果新文本与历史规范化文本完全相同，EXACT返回历史标签为HIGH，单段即可进入合同汇总；若只是语义接近，走余弦召回 平方投票 分级，候选则需另一个不同变化段落共同支持。最终保存主表 完整JSON 段落及历史references，返回analysisId与类型集合。</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同一合同可以存在多个变化段落，每个段落可以多个标签；合同类型集合不是段落标签简单并集。需要审核人解释结果时，应同时提供基础差异、段落等级和历史证据，不能只提供最终编码集合。</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9" w:h="16834"/>
      <w:pgMar w:top="936"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rPr>
        <w:rFonts w:ascii="Times New Roman" w:hAnsi="Times New Roman" w:cs="Times New Roman" w:eastAsia="SimSun" w:hint="eastAsia"/>
        <w:color w:val="000000"/>
        <w:b w:val="0"/>
        <w:bCs w:val="0"/>
        <w:i w:val="0"/>
        <w:iCs w:val="0"/>
        <w:sz w:val="18"/>
        <w:szCs w:val="18"/>
        <w:lang w:val="en-US" w:eastAsia="zh-CN"/>
      </w:rPr>
    </w:pPr>
    <w:r>
      <w:rPr>
        <w:rFonts w:ascii="Times New Roman" w:hAnsi="Times New Roman" w:cs="Times New Roman" w:eastAsia="SimSun" w:hint="eastAsia"/>
        <w:sz w:val="18"/>
        <w:color w:val="000000"/>
        <w:b w:val="0"/>
        <w:bCs w:val="0"/>
        <w:i w:val="0"/>
        <w:iCs w:val="0"/>
        <w:szCs w:val="18"/>
        <w:lang w:val="en-US" w:eastAsia="zh-CN"/>
      </w:rPr>
      <w:t xml:space="preserve">第 </w:t>
    </w:r>
    <w:fldSimple w:instr="PAGE"/>
    <w:r>
      <w:rPr>
        <w:rFonts w:ascii="Times New Roman" w:hAnsi="Times New Roman" w:cs="Times New Roman" w:eastAsia="SimSun" w:hint="eastAsia"/>
        <w:sz w:val="18"/>
        <w:color w:val="000000"/>
        <w:b w:val="0"/>
        <w:bCs w:val="0"/>
        <w:i w:val="0"/>
        <w:iCs w:val="0"/>
        <w:szCs w:val="18"/>
        <w:lang w:val="en-US" w:eastAsia="zh-CN"/>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rPr>
        <w:rFonts w:ascii="Times New Roman" w:hAnsi="Times New Roman" w:cs="Times New Roman" w:eastAsia="SimSun" w:hint="eastAsia"/>
        <w:color w:val="000000"/>
        <w:b w:val="0"/>
        <w:bCs w:val="0"/>
        <w:i w:val="0"/>
        <w:iCs w:val="0"/>
        <w:sz w:val="18"/>
        <w:szCs w:val="18"/>
        <w:lang w:val="en-US" w:eastAsia="zh-CN"/>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rPr>
        <w:rFonts w:ascii="Times New Roman" w:hAnsi="Times New Roman" w:cs="Times New Roman" w:eastAsia="SimSun" w:hint="eastAsia"/>
        <w:color w:val="000000"/>
        <w:b w:val="0"/>
        <w:bCs w:val="0"/>
        <w:i w:val="0"/>
        <w:iCs w:val="0"/>
        <w:sz w:val="18"/>
        <w:szCs w:val="18"/>
        <w:lang w:val="en-US" w:eastAsia="zh-CN"/>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rPr>
        <w:rFonts w:ascii="Times New Roman" w:hAnsi="Times New Roman" w:cs="Times New Roman" w:eastAsia="SimSun" w:hint="eastAsia"/>
        <w:color w:val="000000"/>
        <w:b w:val="0"/>
        <w:bCs w:val="0"/>
        <w:i w:val="0"/>
        <w:iCs w:val="0"/>
        <w:sz w:val="18"/>
        <w:szCs w:val="18"/>
        <w:lang w:val="en-US" w:eastAsia="zh-CN"/>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rPr>
        <w:rFonts w:ascii="Times New Roman" w:hAnsi="Times New Roman" w:cs="Times New Roman" w:eastAsia="SimSun" w:hint="eastAsia"/>
        <w:color w:val="000000"/>
        <w:b w:val="0"/>
        <w:bCs w:val="0"/>
        <w:i w:val="0"/>
        <w:iCs w:val="0"/>
        <w:sz w:val="18"/>
        <w:szCs w:val="18"/>
        <w:lang w:val="en-US" w:eastAsia="zh-CN"/>
      </w:rP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rPr>
        <w:rFonts w:ascii="Times New Roman" w:hAnsi="Times New Roman" w:cs="Times New Roman" w:eastAsia="SimSun" w:hint="eastAsia"/>
        <w:color w:val="000000"/>
        <w:b w:val="0"/>
        <w:bCs w:val="0"/>
        <w:i w:val="0"/>
        <w:iCs w:val="0"/>
        <w:sz w:val="18"/>
        <w:szCs w:val="18"/>
        <w:lang w:val="en-US" w:eastAsia="zh-CN"/>
      </w:rP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val="true"/>
  <w:hideGrammaticalErro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SimSun" w:hint="eastAsia"/>
        <w:sz w:val="22"/>
        <w:szCs w:val="22"/>
        <w:lang w:val="en-US" w:eastAsia="zh-CN"/>
        <w:color w:val="000000"/>
        <w:b w:val="0"/>
        <w:bCs w:val="0"/>
        <w:i w:val="0"/>
        <w:iCs w:val="0"/>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60"/>
    </w:pPr>
    <w:rPr>
      <w:rFonts w:ascii="Times New Roman" w:hAnsi="Times New Roman" w:cs="Times New Roman" w:eastAsia="SimSun" w:hint="eastAsia"/>
      <w:color w:val="000000"/>
      <w:sz w:val="22"/>
      <w:b w:val="0"/>
      <w:bCs w:val="0"/>
      <w:i w:val="0"/>
      <w:iCs w:val="0"/>
      <w:szCs w:val="22"/>
      <w:lang w:val="en-US"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eastAsia="SimSun" w:hint="eastAsia"/>
      <w:color w:val="000000"/>
      <w:b w:val="0"/>
      <w:bCs w:val="0"/>
      <w:i w:val="0"/>
      <w:iCs w:val="0"/>
      <w:sz w:val="22"/>
      <w:szCs w:val="22"/>
      <w:lang w:val="en-US" w:eastAsia="zh-CN"/>
    </w:rPr>
  </w:style>
  <w:style w:type="character" w:customStyle="1" w:styleId="HeaderChar">
    <w:name w:val="Header Char"/>
    <w:basedOn w:val="DefaultParagraphFont"/>
    <w:link w:val="Header"/>
    <w:uiPriority w:val="99"/>
    <w:rsid w:val="00E618BF"/>
    <w:rPr>
      <w:rFonts w:ascii="Times New Roman" w:hAnsi="Times New Roman" w:cs="Times New Roman" w:eastAsia="SimSun" w:hint="eastAsia"/>
      <w:color w:val="000000"/>
      <w:b w:val="0"/>
      <w:bCs w:val="0"/>
      <w:i w:val="0"/>
      <w:iCs w:val="0"/>
      <w:sz w:val="22"/>
      <w:szCs w:val="22"/>
      <w:lang w:val="en-US" w:eastAsia="zh-C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SimSun" w:hint="eastAsia"/>
      <w:color w:val="000000"/>
      <w:b w:val="0"/>
      <w:bCs w:val="0"/>
      <w:i w:val="0"/>
      <w:iCs w:val="0"/>
      <w:sz w:val="22"/>
      <w:szCs w:val="22"/>
      <w:lang w:val="en-US" w:eastAsia="zh-CN"/>
    </w:rPr>
  </w:style>
  <w:style w:type="character" w:customStyle="1" w:styleId="FooterChar">
    <w:name w:val="Footer Char"/>
    <w:basedOn w:val="DefaultParagraphFont"/>
    <w:link w:val="Footer"/>
    <w:uiPriority w:val="99"/>
    <w:rsid w:val="00E618BF"/>
    <w:rPr>
      <w:rFonts w:ascii="Times New Roman" w:hAnsi="Times New Roman" w:cs="Times New Roman" w:eastAsia="SimSun" w:hint="eastAsia"/>
      <w:color w:val="000000"/>
      <w:b w:val="0"/>
      <w:bCs w:val="0"/>
      <w:i w:val="0"/>
      <w:iCs w:val="0"/>
      <w:sz w:val="22"/>
      <w:szCs w:val="22"/>
      <w:lang w:val="en-US" w:eastAsia="zh-CN"/>
    </w:rPr>
  </w:style>
  <w:style w:type="paragraph" w:styleId="Heading1">
    <w:name w:val="heading 1"/>
    <w:basedOn w:val="Normal"/>
    <w:next w:val="Normal"/>
    <w:link w:val="Heading1Char"/>
    <w:uiPriority w:val="9"/>
    <w:qFormat/>
    <w:rsid w:val="00FC693F"/>
    <w:pPr>
      <w:keepNext/>
      <w:keepLines/>
      <w:spacing w:before="480" w:after="280" w:line="293" w:lineRule="auto"/>
      <w:outlineLvl w:val="0"/>
    </w:pPr>
    <w:rPr>
      <w:rFonts w:ascii="Arial" w:hAnsi="Arial" w:cs="Arial" w:eastAsia="SimHei" w:hint="eastAsia"/>
      <w:b w:val="0"/>
      <w:bCs w:val="0"/>
      <w:color w:val="000000"/>
      <w:sz w:val="34"/>
      <w:szCs w:val="34"/>
      <w:i w:val="0"/>
      <w:iCs w:val="0"/>
      <w:lang w:val="en-US" w:eastAsia="zh-CN"/>
    </w:rPr>
  </w:style>
  <w:style w:type="paragraph" w:styleId="Heading2">
    <w:name w:val="heading 2"/>
    <w:basedOn w:val="Normal"/>
    <w:next w:val="Normal"/>
    <w:link w:val="Heading2Char"/>
    <w:uiPriority w:val="9"/>
    <w:unhideWhenUsed/>
    <w:qFormat/>
    <w:rsid w:val="00FC693F"/>
    <w:pPr>
      <w:keepNext/>
      <w:keepLines/>
      <w:spacing w:before="180" w:after="160" w:line="293" w:lineRule="auto"/>
      <w:outlineLvl w:val="1"/>
    </w:pPr>
    <w:rPr>
      <w:rFonts w:ascii="Arial" w:hAnsi="Arial" w:cs="Arial" w:eastAsia="SimHei" w:hint="eastAsia"/>
      <w:b w:val="0"/>
      <w:bCs w:val="0"/>
      <w:color w:val="000000"/>
      <w:sz w:val="24"/>
      <w:szCs w:val="24"/>
      <w:i w:val="0"/>
      <w:iCs w:val="0"/>
      <w:lang w:val="en-US" w:eastAsia="zh-CN"/>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SimHei" w:hint="eastAsia"/>
      <w:b w:val="0"/>
      <w:bCs w:val="0"/>
      <w:color w:val="000000"/>
      <w:i w:val="0"/>
      <w:iCs w:val="0"/>
      <w:sz w:val="22"/>
      <w:szCs w:val="22"/>
      <w:lang w:val="en-US"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SimHei" w:hint="eastAsia"/>
      <w:b w:val="0"/>
      <w:bCs w:val="0"/>
      <w:i w:val="0"/>
      <w:iCs w:val="0"/>
      <w:color w:val="000000"/>
      <w:sz w:val="22"/>
      <w:szCs w:val="22"/>
      <w:lang w:val="en-US"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SimHei" w:hint="eastAsia"/>
      <w:color w:val="000000"/>
      <w:b w:val="0"/>
      <w:bCs w:val="0"/>
      <w:i w:val="0"/>
      <w:iCs w:val="0"/>
      <w:sz w:val="22"/>
      <w:szCs w:val="22"/>
      <w:lang w:val="en-US"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SimHei" w:hint="eastAsia"/>
      <w:i w:val="0"/>
      <w:iCs w:val="0"/>
      <w:color w:val="000000"/>
      <w:b w:val="0"/>
      <w:bCs w:val="0"/>
      <w:sz w:val="22"/>
      <w:szCs w:val="22"/>
      <w:lang w:val="en-US"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SimHei" w:hint="eastAsia"/>
      <w:i w:val="0"/>
      <w:iCs w:val="0"/>
      <w:color w:val="000000"/>
      <w:b w:val="0"/>
      <w:bCs w:val="0"/>
      <w:sz w:val="22"/>
      <w:szCs w:val="22"/>
      <w:lang w:val="en-US"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SimHei" w:hint="eastAsia"/>
      <w:color w:val="000000"/>
      <w:sz w:val="22"/>
      <w:szCs w:val="22"/>
      <w:b w:val="0"/>
      <w:bCs w:val="0"/>
      <w:i w:val="0"/>
      <w:iCs w:val="0"/>
      <w:lang w:val="en-US"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SimHei" w:hint="eastAsia"/>
      <w:i w:val="0"/>
      <w:iCs w:val="0"/>
      <w:color w:val="000000"/>
      <w:sz w:val="22"/>
      <w:szCs w:val="22"/>
      <w:b w:val="0"/>
      <w:bCs w:val="0"/>
      <w:lang w:val="en-US" w:eastAsia="zh-CN"/>
    </w:rPr>
  </w:style>
  <w:style w:type="character" w:default="1" w:styleId="DefaultParagraphFont">
    <w:name w:val="Default Paragraph Font"/>
    <w:uiPriority w:val="1"/>
    <w:semiHidden/>
    <w:unhideWhenUsed/>
    <w:rPr>
      <w:rFonts w:ascii="Times New Roman" w:hAnsi="Times New Roman" w:cs="Times New Roman" w:eastAsia="SimSun" w:hint="eastAsia"/>
      <w:color w:val="000000"/>
      <w:b w:val="0"/>
      <w:bCs w:val="0"/>
      <w:i w:val="0"/>
      <w:iCs w:val="0"/>
      <w:sz w:val="22"/>
      <w:szCs w:val="22"/>
      <w:lang w:val="en-US" w:eastAsia="zh-CN"/>
    </w:rPr>
  </w:style>
  <w:style w:type="table" w:default="1" w:styleId="TableNormal">
    <w:name w:val="Normal Table"/>
    <w:uiPriority w:val="99"/>
    <w:semiHidden/>
    <w:unhideWhenUsed/>
    <w:tblPr>
      <w:tblInd w:w="0" w:type="dxa"/>
      <w:tblCellMar>
        <w:top w:w="0" w:type="dxa"/>
        <w:left w:w="108" w:type="dxa"/>
        <w:bottom w:w="0" w:type="dxa"/>
        <w:right w:w="108" w:type="dxa"/>
      </w:tblCellMar>
    </w:tblPr>
    <w:rPr>
      <w:rFonts w:ascii="Times New Roman" w:hAnsi="Times New Roman" w:cs="Times New Roman" w:eastAsia="SimSun" w:hint="eastAsia"/>
      <w:color w:val="000000"/>
      <w:b w:val="0"/>
      <w:bCs w:val="0"/>
      <w:i w:val="0"/>
      <w:iCs w:val="0"/>
      <w:sz w:val="22"/>
      <w:szCs w:val="22"/>
      <w:lang w:val="en-US" w:eastAsia="zh-CN"/>
    </w:rPr>
  </w:style>
  <w:style w:type="numbering" w:default="1" w:styleId="NoList">
    <w:name w:val="No List"/>
    <w:uiPriority w:val="99"/>
    <w:semiHidden/>
    <w:unhideWhenUsed/>
    <w:rPr>
      <w:rFonts w:ascii="Times New Roman" w:hAnsi="Times New Roman" w:cs="Times New Roman" w:eastAsia="SimSun" w:hint="eastAsia"/>
      <w:color w:val="000000"/>
      <w:b w:val="0"/>
      <w:bCs w:val="0"/>
      <w:i w:val="0"/>
      <w:iCs w:val="0"/>
      <w:sz w:val="22"/>
      <w:szCs w:val="22"/>
      <w:lang w:val="en-US" w:eastAsia="zh-CN"/>
    </w:rPr>
  </w:style>
  <w:style w:type="paragraph" w:styleId="NoSpacing">
    <w:name w:val="No Spacing"/>
    <w:uiPriority w:val="1"/>
    <w:qFormat/>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style>
  <w:style w:type="character" w:customStyle="1" w:styleId="Heading1Char">
    <w:name w:val="Heading 1 Char"/>
    <w:basedOn w:val="DefaultParagraphFont"/>
    <w:link w:val="Heading1"/>
    <w:uiPriority w:val="9"/>
    <w:rsid w:val="00FC693F"/>
    <w:rPr>
      <w:rFonts w:ascii="Arial" w:hAnsi="Arial" w:cs="Arial" w:eastAsia="SimHei" w:hint="eastAsia"/>
      <w:b w:val="0"/>
      <w:bCs w:val="0"/>
      <w:color w:val="000000"/>
      <w:sz w:val="22"/>
      <w:szCs w:val="22"/>
      <w:i w:val="0"/>
      <w:iCs w:val="0"/>
      <w:lang w:val="en-US" w:eastAsia="zh-CN"/>
    </w:rPr>
  </w:style>
  <w:style w:type="character" w:customStyle="1" w:styleId="Heading2Char">
    <w:name w:val="Heading 2 Char"/>
    <w:basedOn w:val="DefaultParagraphFont"/>
    <w:link w:val="Heading2"/>
    <w:uiPriority w:val="9"/>
    <w:rsid w:val="00FC693F"/>
    <w:rPr>
      <w:rFonts w:ascii="Arial" w:hAnsi="Arial" w:cs="Arial" w:eastAsia="SimHei" w:hint="eastAsia"/>
      <w:b w:val="0"/>
      <w:bCs w:val="0"/>
      <w:color w:val="000000"/>
      <w:sz w:val="22"/>
      <w:szCs w:val="22"/>
      <w:i w:val="0"/>
      <w:iCs w:val="0"/>
      <w:lang w:val="en-US" w:eastAsia="zh-CN"/>
    </w:rPr>
  </w:style>
  <w:style w:type="character" w:customStyle="1" w:styleId="Heading3Char">
    <w:name w:val="Heading 3 Char"/>
    <w:basedOn w:val="DefaultParagraphFont"/>
    <w:link w:val="Heading3"/>
    <w:uiPriority w:val="9"/>
    <w:rsid w:val="00FC693F"/>
    <w:rPr>
      <w:rFonts w:ascii="Arial" w:hAnsi="Arial" w:cs="Arial" w:eastAsia="SimHei" w:hint="eastAsia"/>
      <w:b w:val="0"/>
      <w:bCs w:val="0"/>
      <w:color w:val="000000"/>
      <w:i w:val="0"/>
      <w:iCs w:val="0"/>
      <w:sz w:val="22"/>
      <w:szCs w:val="22"/>
      <w:lang w:val="en-US" w:eastAsia="zh-CN"/>
    </w:rPr>
  </w:style>
  <w:style w:type="paragraph" w:styleId="Title">
    <w:name w:val="Title"/>
    <w:basedOn w:val="Normal"/>
    <w:next w:val="Normal"/>
    <w:link w:val="TitleChar"/>
    <w:uiPriority w:val="10"/>
    <w:qFormat/>
    <w:rsid w:val="00FC693F"/>
    <w:pPr>
      <w:spacing w:after="160" w:line="293" w:lineRule="auto"/>
      <w:contextualSpacing/>
    </w:pPr>
    <w:rPr>
      <w:rFonts w:ascii="Arial" w:hAnsi="Arial" w:cs="Arial" w:eastAsia="SimHei" w:hint="eastAsia"/>
      <w:color w:val="000000"/>
      <w:spacing w:val="5"/>
      <w:kern w:val="28"/>
      <w:sz w:val="46"/>
      <w:szCs w:val="46"/>
      <w:b w:val="0"/>
      <w:bCs w:val="0"/>
      <w:i w:val="0"/>
      <w:iCs w:val="0"/>
      <w:lang w:val="en-US" w:eastAsia="zh-CN"/>
    </w:rPr>
  </w:style>
  <w:style w:type="character" w:customStyle="1" w:styleId="TitleChar">
    <w:name w:val="Title Char"/>
    <w:basedOn w:val="DefaultParagraphFont"/>
    <w:link w:val="Title"/>
    <w:uiPriority w:val="10"/>
    <w:rsid w:val="00FC693F"/>
    <w:rPr>
      <w:rFonts w:ascii="Times New Roman" w:hAnsi="Times New Roman" w:cs="Times New Roman" w:eastAsia="SimSun" w:hint="eastAsia"/>
      <w:color w:val="000000"/>
      <w:spacing w:val="5"/>
      <w:kern w:val="28"/>
      <w:sz w:val="22"/>
      <w:szCs w:val="22"/>
      <w:b w:val="0"/>
      <w:bCs w:val="0"/>
      <w:i w:val="0"/>
      <w:iCs w:val="0"/>
      <w:lang w:val="en-US" w:eastAsia="zh-CN"/>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SimSun" w:hint="eastAsia"/>
      <w:i w:val="0"/>
      <w:iCs w:val="0"/>
      <w:color w:val="000000"/>
      <w:spacing w:val="15"/>
      <w:sz w:val="22"/>
      <w:szCs w:val="22"/>
      <w:b w:val="0"/>
      <w:bCs w:val="0"/>
      <w:lang w:val="en-US" w:eastAsia="zh-CN"/>
    </w:rPr>
  </w:style>
  <w:style w:type="character" w:customStyle="1" w:styleId="SubtitleChar">
    <w:name w:val="Subtitle Char"/>
    <w:basedOn w:val="DefaultParagraphFont"/>
    <w:link w:val="Subtitle"/>
    <w:uiPriority w:val="11"/>
    <w:rsid w:val="00FC693F"/>
    <w:rPr>
      <w:rFonts w:ascii="Times New Roman" w:hAnsi="Times New Roman" w:cs="Times New Roman" w:eastAsia="SimSun" w:hint="eastAsia"/>
      <w:i w:val="0"/>
      <w:iCs w:val="0"/>
      <w:color w:val="000000"/>
      <w:spacing w:val="15"/>
      <w:sz w:val="22"/>
      <w:szCs w:val="22"/>
      <w:b w:val="0"/>
      <w:bCs w:val="0"/>
      <w:lang w:val="en-US" w:eastAsia="zh-CN"/>
    </w:rPr>
  </w:style>
  <w:style w:type="paragraph" w:styleId="ListParagraph">
    <w:name w:val="List Paragraph"/>
    <w:basedOn w:val="Normal"/>
    <w:uiPriority w:val="34"/>
    <w:qFormat/>
    <w:rsid w:val="00FC693F"/>
    <w:pPr>
      <w:ind w:left="720"/>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BodyText">
    <w:name w:val="Body Text"/>
    <w:basedOn w:val="Normal"/>
    <w:link w:val="BodyTextChar"/>
    <w:uiPriority w:val="99"/>
    <w:unhideWhenUsed/>
    <w:rsid w:val="00AA1D8D"/>
    <w:pPr>
      <w:spacing w:after="120"/>
    </w:pPr>
    <w:rPr>
      <w:rFonts w:ascii="Times New Roman" w:hAnsi="Times New Roman" w:cs="Times New Roman" w:eastAsia="SimSun" w:hint="eastAsia"/>
      <w:color w:val="000000"/>
      <w:b w:val="0"/>
      <w:bCs w:val="0"/>
      <w:i w:val="0"/>
      <w:iCs w:val="0"/>
      <w:sz w:val="22"/>
      <w:szCs w:val="22"/>
      <w:lang w:val="en-US" w:eastAsia="zh-CN"/>
    </w:rPr>
  </w:style>
  <w:style w:type="character" w:customStyle="1" w:styleId="BodyTextChar">
    <w:name w:val="Body Text Char"/>
    <w:basedOn w:val="DefaultParagraphFont"/>
    <w:link w:val="BodyText"/>
    <w:uiPriority w:val="99"/>
    <w:rsid w:val="00AA1D8D"/>
    <w:rPr>
      <w:rFonts w:ascii="Times New Roman" w:hAnsi="Times New Roman" w:cs="Times New Roman" w:eastAsia="SimSun" w:hint="eastAsia"/>
      <w:color w:val="000000"/>
      <w:b w:val="0"/>
      <w:bCs w:val="0"/>
      <w:i w:val="0"/>
      <w:iCs w:val="0"/>
      <w:sz w:val="22"/>
      <w:szCs w:val="22"/>
      <w:lang w:val="en-US" w:eastAsia="zh-C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s="Times New Roman" w:eastAsia="SimSun" w:hint="eastAsia"/>
      <w:color w:val="000000"/>
      <w:b w:val="0"/>
      <w:bCs w:val="0"/>
      <w:i w:val="0"/>
      <w:iCs w:val="0"/>
      <w:sz w:val="22"/>
      <w:szCs w:val="22"/>
      <w:lang w:val="en-US" w:eastAsia="zh-CN"/>
    </w:rPr>
  </w:style>
  <w:style w:type="character" w:customStyle="1" w:styleId="BodyText2Char">
    <w:name w:val="Body Text 2 Char"/>
    <w:basedOn w:val="DefaultParagraphFont"/>
    <w:link w:val="BodyText2"/>
    <w:uiPriority w:val="99"/>
    <w:rsid w:val="00AA1D8D"/>
    <w:rPr>
      <w:rFonts w:ascii="Times New Roman" w:hAnsi="Times New Roman" w:cs="Times New Roman" w:eastAsia="SimSun" w:hint="eastAsia"/>
      <w:color w:val="000000"/>
      <w:b w:val="0"/>
      <w:bCs w:val="0"/>
      <w:i w:val="0"/>
      <w:iCs w:val="0"/>
      <w:sz w:val="22"/>
      <w:szCs w:val="22"/>
      <w:lang w:val="en-US" w:eastAsia="zh-CN"/>
    </w:rPr>
  </w:style>
  <w:style w:type="paragraph" w:styleId="BodyText3">
    <w:name w:val="Body Text 3"/>
    <w:basedOn w:val="Normal"/>
    <w:link w:val="BodyText3Char"/>
    <w:uiPriority w:val="99"/>
    <w:unhideWhenUsed/>
    <w:rsid w:val="00AA1D8D"/>
    <w:pPr>
      <w:spacing w:after="120"/>
    </w:pPr>
    <w:rPr>
      <w:rFonts w:ascii="Times New Roman" w:hAnsi="Times New Roman" w:cs="Times New Roman" w:eastAsia="SimSun" w:hint="eastAsia"/>
      <w:sz w:val="22"/>
      <w:szCs w:val="22"/>
      <w:color w:val="000000"/>
      <w:b w:val="0"/>
      <w:bCs w:val="0"/>
      <w:i w:val="0"/>
      <w:iCs w:val="0"/>
      <w:lang w:val="en-US" w:eastAsia="zh-CN"/>
    </w:rPr>
  </w:style>
  <w:style w:type="character" w:customStyle="1" w:styleId="BodyText3Char">
    <w:name w:val="Body Text 3 Char"/>
    <w:basedOn w:val="DefaultParagraphFont"/>
    <w:link w:val="BodyText3"/>
    <w:uiPriority w:val="99"/>
    <w:rsid w:val="00AA1D8D"/>
    <w:rPr>
      <w:rFonts w:ascii="Times New Roman" w:hAnsi="Times New Roman" w:cs="Times New Roman" w:eastAsia="SimSun" w:hint="eastAsia"/>
      <w:sz w:val="22"/>
      <w:szCs w:val="22"/>
      <w:color w:val="000000"/>
      <w:b w:val="0"/>
      <w:bCs w:val="0"/>
      <w:i w:val="0"/>
      <w:iCs w:val="0"/>
      <w:lang w:val="en-US" w:eastAsia="zh-CN"/>
    </w:rPr>
  </w:style>
  <w:style w:type="paragraph" w:styleId="List">
    <w:name w:val="List"/>
    <w:basedOn w:val="Normal"/>
    <w:uiPriority w:val="99"/>
    <w:unhideWhenUsed/>
    <w:rsid w:val="00AA1D8D"/>
    <w:pPr>
      <w:ind w:left="360" w:hanging="360"/>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2">
    <w:name w:val="List 2"/>
    <w:basedOn w:val="Normal"/>
    <w:uiPriority w:val="99"/>
    <w:unhideWhenUsed/>
    <w:rsid w:val="00326F90"/>
    <w:pPr>
      <w:ind w:left="720" w:hanging="360"/>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3">
    <w:name w:val="List 3"/>
    <w:basedOn w:val="Normal"/>
    <w:uiPriority w:val="99"/>
    <w:unhideWhenUsed/>
    <w:rsid w:val="00326F90"/>
    <w:pPr>
      <w:ind w:left="1080" w:hanging="360"/>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Bullet2">
    <w:name w:val="List Bullet 2"/>
    <w:basedOn w:val="Normal"/>
    <w:uiPriority w:val="99"/>
    <w:unhideWhenUsed/>
    <w:rsid w:val="00326F90"/>
    <w:pPr>
      <w:numPr>
        <w:numId w:val="2"/>
      </w:numPr>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Bullet3">
    <w:name w:val="List Bullet 3"/>
    <w:basedOn w:val="Normal"/>
    <w:uiPriority w:val="99"/>
    <w:unhideWhenUsed/>
    <w:rsid w:val="00326F90"/>
    <w:pPr>
      <w:numPr>
        <w:numId w:val="3"/>
      </w:numPr>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Number2">
    <w:name w:val="List Number 2"/>
    <w:basedOn w:val="Normal"/>
    <w:uiPriority w:val="99"/>
    <w:unhideWhenUsed/>
    <w:rsid w:val="0029639D"/>
    <w:pPr>
      <w:numPr>
        <w:numId w:val="6"/>
      </w:numPr>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Number3">
    <w:name w:val="List Number 3"/>
    <w:basedOn w:val="Normal"/>
    <w:uiPriority w:val="99"/>
    <w:unhideWhenUsed/>
    <w:rsid w:val="0029639D"/>
    <w:pPr>
      <w:numPr>
        <w:numId w:val="7"/>
      </w:numPr>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Continue">
    <w:name w:val="List Continue"/>
    <w:basedOn w:val="Normal"/>
    <w:uiPriority w:val="99"/>
    <w:unhideWhenUsed/>
    <w:rsid w:val="0029639D"/>
    <w:pPr>
      <w:spacing w:after="120"/>
      <w:ind w:left="360"/>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Continue2">
    <w:name w:val="List Continue 2"/>
    <w:basedOn w:val="Normal"/>
    <w:uiPriority w:val="99"/>
    <w:unhideWhenUsed/>
    <w:rsid w:val="0029639D"/>
    <w:pPr>
      <w:spacing w:after="120"/>
      <w:ind w:left="720"/>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Continue3">
    <w:name w:val="List Continue 3"/>
    <w:basedOn w:val="Normal"/>
    <w:uiPriority w:val="99"/>
    <w:unhideWhenUsed/>
    <w:rsid w:val="0029639D"/>
    <w:pPr>
      <w:spacing w:after="120"/>
      <w:ind w:left="1080"/>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SimSun" w:hint="eastAsia"/>
      <w:sz w:val="22"/>
      <w:szCs w:val="22"/>
      <w:color w:val="000000"/>
      <w:b w:val="0"/>
      <w:bCs w:val="0"/>
      <w:i w:val="0"/>
      <w:iCs w:val="0"/>
      <w:lang w:val="en-US" w:eastAsia="zh-CN"/>
    </w:rPr>
  </w:style>
  <w:style w:type="character" w:customStyle="1" w:styleId="MacroTextChar">
    <w:name w:val="Macro Text Char"/>
    <w:basedOn w:val="DefaultParagraphFont"/>
    <w:link w:val="MacroText"/>
    <w:uiPriority w:val="99"/>
    <w:rsid w:val="0029639D"/>
    <w:rPr>
      <w:rFonts w:ascii="Times New Roman" w:hAnsi="Times New Roman" w:cs="Times New Roman" w:eastAsia="SimSun" w:hint="eastAsia"/>
      <w:sz w:val="22"/>
      <w:szCs w:val="22"/>
      <w:color w:val="000000"/>
      <w:b w:val="0"/>
      <w:bCs w:val="0"/>
      <w:i w:val="0"/>
      <w:iCs w:val="0"/>
      <w:lang w:val="en-US" w:eastAsia="zh-CN"/>
    </w:rPr>
  </w:style>
  <w:style w:type="paragraph" w:styleId="Quote">
    <w:name w:val="Quote"/>
    <w:basedOn w:val="Normal"/>
    <w:next w:val="Normal"/>
    <w:link w:val="QuoteChar"/>
    <w:uiPriority w:val="29"/>
    <w:qFormat/>
    <w:rsid w:val="00FC693F"/>
    <w:rPr>
      <w:rFonts w:ascii="Times New Roman" w:hAnsi="Times New Roman" w:cs="Times New Roman" w:eastAsia="SimSun" w:hint="eastAsia"/>
      <w:i w:val="0"/>
      <w:iCs w:val="0"/>
      <w:color w:val="000000"/>
      <w:b w:val="0"/>
      <w:bCs w:val="0"/>
      <w:sz w:val="22"/>
      <w:szCs w:val="22"/>
      <w:lang w:val="en-US" w:eastAsia="zh-CN"/>
    </w:rPr>
  </w:style>
  <w:style w:type="character" w:customStyle="1" w:styleId="QuoteChar">
    <w:name w:val="Quote Char"/>
    <w:basedOn w:val="DefaultParagraphFont"/>
    <w:link w:val="Quote"/>
    <w:uiPriority w:val="29"/>
    <w:rsid w:val="00FC693F"/>
    <w:rPr>
      <w:rFonts w:ascii="Times New Roman" w:hAnsi="Times New Roman" w:cs="Times New Roman" w:eastAsia="SimSun" w:hint="eastAsia"/>
      <w:i w:val="0"/>
      <w:iCs w:val="0"/>
      <w:color w:val="000000"/>
      <w:b w:val="0"/>
      <w:bCs w:val="0"/>
      <w:sz w:val="22"/>
      <w:szCs w:val="22"/>
      <w:lang w:val="en-US" w:eastAsia="zh-CN"/>
    </w:rPr>
  </w:style>
  <w:style w:type="character" w:customStyle="1" w:styleId="Heading4Char">
    <w:name w:val="Heading 4 Char"/>
    <w:basedOn w:val="DefaultParagraphFont"/>
    <w:link w:val="Heading4"/>
    <w:uiPriority w:val="9"/>
    <w:semiHidden/>
    <w:rsid w:val="00FC693F"/>
    <w:rPr>
      <w:rFonts w:ascii="Arial" w:hAnsi="Arial" w:cs="Arial" w:eastAsia="SimHei" w:hint="eastAsia"/>
      <w:b w:val="0"/>
      <w:bCs w:val="0"/>
      <w:i w:val="0"/>
      <w:iCs w:val="0"/>
      <w:color w:val="000000"/>
      <w:sz w:val="22"/>
      <w:szCs w:val="22"/>
      <w:lang w:val="en-US" w:eastAsia="zh-CN"/>
    </w:rPr>
  </w:style>
  <w:style w:type="character" w:customStyle="1" w:styleId="Heading5Char">
    <w:name w:val="Heading 5 Char"/>
    <w:basedOn w:val="DefaultParagraphFont"/>
    <w:link w:val="Heading5"/>
    <w:uiPriority w:val="9"/>
    <w:semiHidden/>
    <w:rsid w:val="00FC693F"/>
    <w:rPr>
      <w:rFonts w:ascii="Arial" w:hAnsi="Arial" w:cs="Arial" w:eastAsia="SimHei" w:hint="eastAsia"/>
      <w:color w:val="000000"/>
      <w:b w:val="0"/>
      <w:bCs w:val="0"/>
      <w:i w:val="0"/>
      <w:iCs w:val="0"/>
      <w:sz w:val="22"/>
      <w:szCs w:val="22"/>
      <w:lang w:val="en-US" w:eastAsia="zh-CN"/>
    </w:rPr>
  </w:style>
  <w:style w:type="character" w:customStyle="1" w:styleId="Heading6Char">
    <w:name w:val="Heading 6 Char"/>
    <w:basedOn w:val="DefaultParagraphFont"/>
    <w:link w:val="Heading6"/>
    <w:uiPriority w:val="9"/>
    <w:semiHidden/>
    <w:rsid w:val="00FC693F"/>
    <w:rPr>
      <w:rFonts w:ascii="Arial" w:hAnsi="Arial" w:cs="Arial" w:eastAsia="SimHei" w:hint="eastAsia"/>
      <w:i w:val="0"/>
      <w:iCs w:val="0"/>
      <w:color w:val="000000"/>
      <w:b w:val="0"/>
      <w:bCs w:val="0"/>
      <w:sz w:val="22"/>
      <w:szCs w:val="22"/>
      <w:lang w:val="en-US" w:eastAsia="zh-CN"/>
    </w:rPr>
  </w:style>
  <w:style w:type="character" w:customStyle="1" w:styleId="Heading7Char">
    <w:name w:val="Heading 7 Char"/>
    <w:basedOn w:val="DefaultParagraphFont"/>
    <w:link w:val="Heading7"/>
    <w:uiPriority w:val="9"/>
    <w:semiHidden/>
    <w:rsid w:val="00FC693F"/>
    <w:rPr>
      <w:rFonts w:ascii="Arial" w:hAnsi="Arial" w:cs="Arial" w:eastAsia="SimHei" w:hint="eastAsia"/>
      <w:i w:val="0"/>
      <w:iCs w:val="0"/>
      <w:color w:val="000000"/>
      <w:b w:val="0"/>
      <w:bCs w:val="0"/>
      <w:sz w:val="22"/>
      <w:szCs w:val="22"/>
      <w:lang w:val="en-US" w:eastAsia="zh-CN"/>
    </w:rPr>
  </w:style>
  <w:style w:type="character" w:customStyle="1" w:styleId="Heading8Char">
    <w:name w:val="Heading 8 Char"/>
    <w:basedOn w:val="DefaultParagraphFont"/>
    <w:link w:val="Heading8"/>
    <w:uiPriority w:val="9"/>
    <w:semiHidden/>
    <w:rsid w:val="00FC693F"/>
    <w:rPr>
      <w:rFonts w:ascii="Arial" w:hAnsi="Arial" w:cs="Arial" w:eastAsia="SimHei" w:hint="eastAsia"/>
      <w:color w:val="000000"/>
      <w:sz w:val="22"/>
      <w:szCs w:val="22"/>
      <w:b w:val="0"/>
      <w:bCs w:val="0"/>
      <w:i w:val="0"/>
      <w:iCs w:val="0"/>
      <w:lang w:val="en-US" w:eastAsia="zh-CN"/>
    </w:rPr>
  </w:style>
  <w:style w:type="character" w:customStyle="1" w:styleId="Heading9Char">
    <w:name w:val="Heading 9 Char"/>
    <w:basedOn w:val="DefaultParagraphFont"/>
    <w:link w:val="Heading9"/>
    <w:uiPriority w:val="9"/>
    <w:semiHidden/>
    <w:rsid w:val="00FC693F"/>
    <w:rPr>
      <w:rFonts w:ascii="Arial" w:hAnsi="Arial" w:cs="Arial" w:eastAsia="SimHei" w:hint="eastAsia"/>
      <w:i w:val="0"/>
      <w:iCs w:val="0"/>
      <w:color w:val="000000"/>
      <w:sz w:val="22"/>
      <w:szCs w:val="22"/>
      <w:b w:val="0"/>
      <w:bCs w:val="0"/>
      <w:lang w:val="en-US" w:eastAsia="zh-CN"/>
    </w:rPr>
  </w:style>
  <w:style w:type="paragraph" w:styleId="Caption">
    <w:name w:val="caption"/>
    <w:basedOn w:val="Normal"/>
    <w:next w:val="Normal"/>
    <w:uiPriority w:val="35"/>
    <w:semiHidden/>
    <w:unhideWhenUsed/>
    <w:qFormat/>
    <w:rsid w:val="00FC693F"/>
    <w:pPr>
      <w:spacing w:line="293" w:lineRule="auto" w:after="160"/>
    </w:pPr>
    <w:rPr>
      <w:rFonts w:ascii="Times New Roman" w:hAnsi="Times New Roman" w:cs="Times New Roman" w:eastAsia="SimSun" w:hint="eastAsia"/>
      <w:b w:val="0"/>
      <w:bCs w:val="0"/>
      <w:color w:val="000000"/>
      <w:sz w:val="18"/>
      <w:szCs w:val="18"/>
      <w:i w:val="0"/>
      <w:iCs w:val="0"/>
      <w:lang w:val="en-US" w:eastAsia="zh-CN"/>
    </w:rPr>
  </w:style>
  <w:style w:type="character" w:styleId="Strong">
    <w:name w:val="Strong"/>
    <w:basedOn w:val="DefaultParagraphFont"/>
    <w:uiPriority w:val="22"/>
    <w:qFormat/>
    <w:rsid w:val="00FC693F"/>
    <w:rPr>
      <w:rFonts w:ascii="Times New Roman" w:hAnsi="Times New Roman" w:cs="Times New Roman" w:eastAsia="SimSun" w:hint="eastAsia"/>
      <w:b w:val="0"/>
      <w:bCs w:val="0"/>
      <w:color w:val="000000"/>
      <w:i w:val="0"/>
      <w:iCs w:val="0"/>
      <w:sz w:val="22"/>
      <w:szCs w:val="22"/>
      <w:lang w:val="en-US" w:eastAsia="zh-CN"/>
    </w:rPr>
  </w:style>
  <w:style w:type="character" w:styleId="Emphasis">
    <w:name w:val="Emphasis"/>
    <w:basedOn w:val="DefaultParagraphFont"/>
    <w:uiPriority w:val="20"/>
    <w:qFormat/>
    <w:rsid w:val="00FC693F"/>
    <w:rPr>
      <w:rFonts w:ascii="Times New Roman" w:hAnsi="Times New Roman" w:cs="Times New Roman" w:eastAsia="SimSun" w:hint="eastAsia"/>
      <w:i w:val="0"/>
      <w:iCs w:val="0"/>
      <w:color w:val="000000"/>
      <w:b w:val="0"/>
      <w:bCs w:val="0"/>
      <w:sz w:val="22"/>
      <w:szCs w:val="22"/>
      <w:lang w:val="en-US" w:eastAsia="zh-CN"/>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rFonts w:ascii="Times New Roman" w:hAnsi="Times New Roman" w:cs="Times New Roman" w:eastAsia="SimSun" w:hint="eastAsia"/>
      <w:b w:val="0"/>
      <w:bCs w:val="0"/>
      <w:i w:val="0"/>
      <w:iCs w:val="0"/>
      <w:color w:val="000000"/>
      <w:sz w:val="22"/>
      <w:szCs w:val="22"/>
      <w:lang w:val="en-US" w:eastAsia="zh-CN"/>
    </w:rPr>
  </w:style>
  <w:style w:type="character" w:customStyle="1" w:styleId="IntenseQuoteChar">
    <w:name w:val="Intense Quote Char"/>
    <w:basedOn w:val="DefaultParagraphFont"/>
    <w:link w:val="IntenseQuote"/>
    <w:uiPriority w:val="30"/>
    <w:rsid w:val="00FC693F"/>
    <w:rPr>
      <w:rFonts w:ascii="Times New Roman" w:hAnsi="Times New Roman" w:cs="Times New Roman" w:eastAsia="SimSun" w:hint="eastAsia"/>
      <w:b w:val="0"/>
      <w:bCs w:val="0"/>
      <w:i w:val="0"/>
      <w:iCs w:val="0"/>
      <w:color w:val="000000"/>
      <w:sz w:val="22"/>
      <w:szCs w:val="22"/>
      <w:lang w:val="en-US" w:eastAsia="zh-CN"/>
    </w:rPr>
  </w:style>
  <w:style w:type="character" w:styleId="SubtleEmphasis">
    <w:name w:val="Subtle Emphasis"/>
    <w:basedOn w:val="DefaultParagraphFont"/>
    <w:uiPriority w:val="19"/>
    <w:qFormat/>
    <w:rsid w:val="00FC693F"/>
    <w:rPr>
      <w:rFonts w:ascii="Times New Roman" w:hAnsi="Times New Roman" w:cs="Times New Roman" w:eastAsia="SimSun" w:hint="eastAsia"/>
      <w:i w:val="0"/>
      <w:iCs w:val="0"/>
      <w:color w:val="000000"/>
      <w:b w:val="0"/>
      <w:bCs w:val="0"/>
      <w:sz w:val="22"/>
      <w:szCs w:val="22"/>
      <w:lang w:val="en-US" w:eastAsia="zh-CN"/>
    </w:rPr>
  </w:style>
  <w:style w:type="character" w:styleId="IntenseEmphasis">
    <w:name w:val="Intense Emphasis"/>
    <w:basedOn w:val="DefaultParagraphFont"/>
    <w:uiPriority w:val="21"/>
    <w:qFormat/>
    <w:rsid w:val="00FC693F"/>
    <w:rPr>
      <w:rFonts w:ascii="Times New Roman" w:hAnsi="Times New Roman" w:cs="Times New Roman" w:eastAsia="SimSun" w:hint="eastAsia"/>
      <w:b w:val="0"/>
      <w:bCs w:val="0"/>
      <w:i w:val="0"/>
      <w:iCs w:val="0"/>
      <w:color w:val="000000"/>
      <w:sz w:val="22"/>
      <w:szCs w:val="22"/>
      <w:lang w:val="en-US" w:eastAsia="zh-CN"/>
    </w:rPr>
  </w:style>
  <w:style w:type="character" w:styleId="SubtleReference">
    <w:name w:val="Subtle Reference"/>
    <w:basedOn w:val="DefaultParagraphFont"/>
    <w:uiPriority w:val="31"/>
    <w:qFormat/>
    <w:rsid w:val="00FC693F"/>
    <w:rPr>
      <w:rFonts w:ascii="Times New Roman" w:hAnsi="Times New Roman" w:cs="Times New Roman" w:eastAsia="SimSun" w:hint="eastAsia"/>
      <w:smallCaps/>
      <w:color w:val="000000"/>
      <w:b w:val="0"/>
      <w:bCs w:val="0"/>
      <w:i w:val="0"/>
      <w:iCs w:val="0"/>
      <w:sz w:val="22"/>
      <w:szCs w:val="22"/>
      <w:lang w:val="en-US" w:eastAsia="zh-CN"/>
    </w:rPr>
  </w:style>
  <w:style w:type="character" w:styleId="IntenseReference">
    <w:name w:val="Intense Reference"/>
    <w:basedOn w:val="DefaultParagraphFont"/>
    <w:uiPriority w:val="32"/>
    <w:qFormat/>
    <w:rsid w:val="00FC693F"/>
    <w:rPr>
      <w:rFonts w:ascii="Times New Roman" w:hAnsi="Times New Roman" w:cs="Times New Roman" w:eastAsia="SimSun" w:hint="eastAsia"/>
      <w:b w:val="0"/>
      <w:bCs w:val="0"/>
      <w:smallCaps/>
      <w:color w:val="000000"/>
      <w:spacing w:val="5"/>
      <w:i w:val="0"/>
      <w:iCs w:val="0"/>
      <w:sz w:val="22"/>
      <w:szCs w:val="22"/>
      <w:lang w:val="en-US" w:eastAsia="zh-CN"/>
    </w:rPr>
  </w:style>
  <w:style w:type="character" w:styleId="BookTitle">
    <w:name w:val="Book Title"/>
    <w:basedOn w:val="DefaultParagraphFont"/>
    <w:uiPriority w:val="33"/>
    <w:qFormat/>
    <w:rsid w:val="00FC693F"/>
    <w:rPr>
      <w:rFonts w:ascii="Times New Roman" w:hAnsi="Times New Roman" w:cs="Times New Roman" w:eastAsia="SimSun" w:hint="eastAsia"/>
      <w:b w:val="0"/>
      <w:bCs w:val="0"/>
      <w:smallCaps/>
      <w:spacing w:val="5"/>
      <w:color w:val="000000"/>
      <w:i w:val="0"/>
      <w:iCs w:val="0"/>
      <w:sz w:val="22"/>
      <w:szCs w:val="22"/>
      <w:lang w:val="en-US" w:eastAsia="zh-CN"/>
    </w:rPr>
  </w:style>
  <w:style w:type="paragraph" w:styleId="TOCHeading">
    <w:name w:val="TOC Heading"/>
    <w:basedOn w:val="Heading1"/>
    <w:next w:val="Normal"/>
    <w:uiPriority w:val="39"/>
    <w:semiHidden/>
    <w:unhideWhenUsed/>
    <w:qFormat/>
    <w:rsid w:val="00FC693F"/>
    <w:pPr>
      <w:outlineLvl w:val="9"/>
    </w:pPr>
    <w:rPr>
      <w:rFonts w:ascii="Times New Roman" w:hAnsi="Times New Roman" w:cs="Times New Roman" w:eastAsia="SimSun" w:hint="eastAsia"/>
      <w:color w:val="000000"/>
      <w:b w:val="0"/>
      <w:bCs w:val="0"/>
      <w:i w:val="0"/>
      <w:iCs w:val="0"/>
      <w:sz w:val="22"/>
      <w:szCs w:val="22"/>
      <w:lang w:val="en-US" w:eastAsia="zh-C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rPr>
      <w:rFonts w:ascii="Times New Roman" w:hAnsi="Times New Roman" w:cs="Times New Roman" w:eastAsia="SimSun" w:hint="eastAsia"/>
      <w:color w:val="000000"/>
      <w:b w:val="0"/>
      <w:bCs w:val="0"/>
      <w:i w:val="0"/>
      <w:iCs w:val="0"/>
      <w:sz w:val="22"/>
      <w:szCs w:val="22"/>
      <w:lang w:val="en-US" w:eastAsia="zh-CN"/>
    </w:rPr>
  </w:style>
  <w:style w:type="table" w:styleId="LightShading">
    <w:name w:val="Light Shading"/>
    <w:basedOn w:val="TableNormal"/>
    <w:uiPriority w:val="60"/>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cstheme="majorBidi"/>
        <w:b/>
        <w:bCs/>
      </w:rPr>
    </w:tblStylePr>
    <w:tblStylePr w:type="lastCol">
      <w:rPr>
        <w:rFonts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cstheme="majorBid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cstheme="majorBidi"/>
        <w:b/>
        <w:bCs/>
      </w:rPr>
    </w:tblStylePr>
    <w:tblStylePr w:type="lastCol">
      <w:rPr>
        <w:rFonts w:cstheme="majorBid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cstheme="majorBid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cstheme="majorBidi"/>
        <w:b/>
        <w:bCs/>
      </w:rPr>
    </w:tblStylePr>
    <w:tblStylePr w:type="lastCol">
      <w:rPr>
        <w:rFonts w:cstheme="majorBidi"/>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cstheme="majorBid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cstheme="majorBidi"/>
        <w:b/>
        <w:bCs/>
      </w:rPr>
    </w:tblStylePr>
    <w:tblStylePr w:type="lastCol">
      <w:rPr>
        <w:rFonts w:cstheme="majorBidi"/>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cstheme="majorBid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cstheme="majorBidi"/>
        <w:b/>
        <w:bCs/>
      </w:rPr>
    </w:tblStylePr>
    <w:tblStylePr w:type="lastCol">
      <w:rPr>
        <w:rFonts w:cstheme="majorBidi"/>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cstheme="majorBid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cstheme="majorBidi"/>
        <w:b/>
        <w:bCs/>
      </w:rPr>
    </w:tblStylePr>
    <w:tblStylePr w:type="lastCol">
      <w:rPr>
        <w:rFonts w:cstheme="majorBidi"/>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cstheme="majorBid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cstheme="majorBidi"/>
        <w:b/>
        <w:bCs/>
      </w:rPr>
    </w:tblStylePr>
    <w:tblStylePr w:type="lastCol">
      <w:rPr>
        <w:rFonts w:cstheme="majorBidi"/>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List1">
    <w:name w:val="Medium List 1"/>
    <w:basedOn w:val="TableNormal"/>
    <w:uiPriority w:val="65"/>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cstheme="majorBidi"/>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cstheme="majorBidi"/>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cstheme="majorBidi"/>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cstheme="majorBidi"/>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cstheme="majorBidi"/>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cstheme="majorBidi"/>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cstheme="majorBidi"/>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2">
    <w:name w:val="Medium Grid 2"/>
    <w:basedOn w:val="TableNormal"/>
    <w:uiPriority w:val="68"/>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DarkList">
    <w:name w:val="Dark List"/>
    <w:basedOn w:val="TableNormal"/>
    <w:uiPriority w:val="70"/>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合同变更识别完整流程与算法说明</dc:title>
  <dc:subject>历史导入 向量化 合同解析比对与类型投票</dc:subject>
  <dc:creator>项目技术说明</dc:creator>
  <cp:keywords/>
  <dc:description>generated by python-docx</dc:description>
  <cp:lastModifiedBy/>
  <cp:revision>1</cp:revision>
  <dcterms:created xsi:type="dcterms:W3CDTF">2013-12-23T23:15:00Z</dcterms:created>
  <dcterms:modified xsi:type="dcterms:W3CDTF">2013-12-23T23:15:00Z</dcterms:modified>
  <cp:category/>
</cp:coreProperties>
</file>