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合同比对与历史向量业务类型识别流程及接口调用说明</w:t>
      </w:r>
    </w:p>
    <w:p>
      <w:pPr>
        <w:jc w:val="center"/>
      </w:pPr>
      <w:r>
        <w:rPr>
          <w:b/>
          <w:sz w:val="24"/>
        </w:rPr>
        <w:t>适用于 /service/contract-compare/compare 与 /export</w:t>
      </w:r>
    </w:p>
    <w:p>
      <w:pPr>
        <w:jc w:val="center"/>
      </w:pPr>
      <w:r>
        <w:rPr>
          <w:sz w:val="20"/>
        </w:rPr>
        <w:t>版本 2026年9月22日</w:t>
      </w:r>
    </w:p>
    <w:p>
      <w:r>
        <w:t>本文说明合同变更分析的最终业务边界、接口契约、策略路由、历史向量识别、数据库留痕和故障处理。正式 /compare 接口只返回分析标识、文件级业务变更类型编码和分析状态；原有详细条款差异、上下文、预测详情和匹配证据在成功返回前完整保存到数据库。/export 继续作为独立的临时导出接口，不调用向量服务，也不写分析日志。</w:t>
      </w:r>
    </w:p>
    <w:p>
      <w:pPr>
        <w:pStyle w:val="Heading1"/>
      </w:pPr>
      <w:r>
        <w:t>1 最终设计结论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最终规则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正式分析入口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/compare 请求体必须提供 userId、instId 和 analysisType。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精简响应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仅返回 analysisId、fileChangeTypeCodes、analysisStatus。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详细结果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完整 ContractCompareResponse 以 RESULT_JSON 保存，并同步保存结构化段落与 Top-K 证据。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分析类型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/compare 不设置默认类型；调用方必须明确选择 DOUBLE_VERSION 或 CHANGE_DOCUMENT。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临时导出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/export 不要求 userId、instId；未传 analysisType 时兼容按 DOUBLE_VERSION 处理。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预测闭环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变化段落优先、上下文兜底；预测只用于本次分析，不自动写入历史向量库。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数据库关联</w:t>
            </w:r>
          </w:p>
        </w:tc>
        <w:tc>
          <w:tcPr>
            <w:tcW w:type="dxa" w:w="714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三张分析日志表不建立物理外键，以事务、唯一约束和行数校验保证一致性。</w:t>
            </w:r>
          </w:p>
        </w:tc>
      </w:tr>
    </w:tbl>
    <w:p>
      <w:pPr>
        <w:spacing w:after="40"/>
      </w:pPr>
    </w:p>
    <w:p>
      <w:pPr>
        <w:pStyle w:val="Heading1"/>
      </w:pPr>
      <w:r>
        <w:t>2 系统职责和代码结构</w:t>
      </w:r>
    </w:p>
    <w:p>
      <w:r>
        <w:t>保留必要的扩展点，让每项职责只有一套实现。策略负责本类型参数校验，并把不同文件形态转换为统一完整结果；预测、上下文兜底、文件级聚合和数据库留痕由公共编排服务完成。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不承担的职责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ContractCompareController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校验 /compare 元数据，调用分析编排；写出 /export 文件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不做文件解析、预测或数据库明细拼装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ContractChangeAnalysisService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创建任务、策略路由、预测、状态计算、序列化和持久化编排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不包含具体文件格式解析规则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ContractChangeExtractorRegistry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 AnalysisType 注册和选择唯一策略，启动时拒绝重复策略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不执行预测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DoubleVersionChangeExtractor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SFTP 下载两份 DOCX、Aspose 比较、条款解析和差异生成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不裁剪上下文，不执行向量识别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ChangeDocumentExtractor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SFTP 下载单文件并复用变更内容提取服务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不执行向量识别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ContractComparePredictionService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段落预测、上下文兜底、状态汇总和文件级聚合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不写历史样本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AnalysisResultPersistenceService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在明确事务边界内写主记录、段落和匹配证据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不提供当前未使用的查询接口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ContractCompareService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供 /export 生成详细结果和 Excel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不调用向量服务，不写分析日志</w:t>
            </w:r>
          </w:p>
        </w:tc>
      </w:tr>
    </w:tbl>
    <w:p>
      <w:pPr>
        <w:spacing w:after="40"/>
      </w:pPr>
    </w:p>
    <w:p>
      <w:pPr>
        <w:pStyle w:val="Heading1"/>
      </w:pPr>
      <w:r>
        <w:t>3 /compare 完整业务流程</w:t>
      </w:r>
    </w:p>
    <w:p>
      <w:pPr>
        <w:pStyle w:val="ListNumber"/>
      </w:pPr>
      <w:r>
        <w:t>Controller 只转发请求；ContractChangeAnalysisService 校验 userId、instId 和 analysisType，文件路径由所选策略校验。</w:t>
      </w:r>
    </w:p>
    <w:p>
      <w:pPr>
        <w:pStyle w:val="ListNumber"/>
      </w:pPr>
      <w:r>
        <w:t>ContractChangeAnalysisService 生成 32 位 UUID analysisId，REQUIRES_NEW 短事务插入 PROCESSING 主记录；数据库唯一约束防重，插入失败立即终止。</w:t>
      </w:r>
    </w:p>
    <w:p>
      <w:pPr>
        <w:pStyle w:val="ListNumber"/>
      </w:pPr>
      <w:r>
        <w:t>注册器根据 analysisType 选择策略；策略校验自身参数并提取文件，返回完整、未裁剪的 ContractCompareResponse。</w:t>
      </w:r>
    </w:p>
    <w:p>
      <w:pPr>
        <w:pStyle w:val="ListNumber"/>
      </w:pPr>
      <w:r>
        <w:t>公共预测服务对变化段落去重并批量识别；仅 NO_RELIABLE_MATCH 项进入上下文兜底。</w:t>
      </w:r>
    </w:p>
    <w:p>
      <w:pPr>
        <w:pStyle w:val="ListNumber"/>
      </w:pPr>
      <w:r>
        <w:t>完成文件级类型聚合，并按预测汇总计算 SUCCESS 或 PARTIAL_SUCCESS。</w:t>
      </w:r>
    </w:p>
    <w:p>
      <w:pPr>
        <w:pStyle w:val="ListNumber"/>
      </w:pPr>
      <w:r>
        <w:t>将包含条款变化、changeDetails、上下文、预测详情、warnings、predictionSummary 和 fileChangeTypeCodes 的完整结果序列化。</w:t>
      </w:r>
    </w:p>
    <w:p>
      <w:pPr>
        <w:pStyle w:val="ListNumber"/>
      </w:pPr>
      <w:r>
        <w:t>在一个事务中插入全部段落和 Top-K 匹配证据，再更新主记录的状态、耗时、聚合编码和 RESULT_JSON。</w:t>
      </w:r>
    </w:p>
    <w:p>
      <w:pPr>
        <w:pStyle w:val="ListNumber"/>
      </w:pPr>
      <w:r>
        <w:t>最终事务完全成功后返回精简响应。任一写入失败时回滚该事务，并在独立短事务中把主记录标记为 FAILED。</w:t>
      </w:r>
    </w:p>
    <w:p>
      <w:pPr>
        <w:pStyle w:val="Heading1"/>
      </w:pPr>
      <w:r>
        <w:t>4 历史向量识别与聚合规则</w:t>
      </w:r>
    </w:p>
    <w:p>
      <w:pPr>
        <w:pStyle w:val="Heading2"/>
      </w:pPr>
      <w:r>
        <w:t>4.1 识别输入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结构变化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首轮文本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首轮范围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兜底范围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ADDED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newContent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NEW_PARAGRAPH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NEW_CONTEXT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MODIFIED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newContent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NEW_PARAGRAPH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NEW_CONTEXT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DELETED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oldContent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OLD_PARAGRAPH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OLD_CONTEXT</w:t>
            </w:r>
          </w:p>
        </w:tc>
      </w:tr>
    </w:tbl>
    <w:p>
      <w:pPr>
        <w:spacing w:after="40"/>
      </w:pPr>
    </w:p>
    <w:p>
      <w:pPr>
        <w:pStyle w:val="ListBullet"/>
      </w:pPr>
      <w:r>
        <w:t>规范化后相同的输入只预测一次，再把结果映射回对应变化段落。</w:t>
      </w:r>
    </w:p>
    <w:p>
      <w:pPr>
        <w:pStyle w:val="ListBullet"/>
      </w:pPr>
      <w:r>
        <w:t>目标段落为空时标记 FAILED；超过 2000 字时标记 SKIPPED_TOO_LONG，不静默截断。</w:t>
      </w:r>
    </w:p>
    <w:p>
      <w:pPr>
        <w:pStyle w:val="ListBullet"/>
      </w:pPr>
      <w:r>
        <w:t>只有首轮为 NO_RELIABLE_MATCH 才构造上下文。EXACT、SEMANTIC 或已有 CANDIDATE 不再调用。</w:t>
      </w:r>
    </w:p>
    <w:p>
      <w:pPr>
        <w:pStyle w:val="ListBullet"/>
      </w:pPr>
      <w:r>
        <w:t>双版本上下文取对应侧完整条款；单文件上下文由来源标题、目标条款和变化内容组成。</w:t>
      </w:r>
    </w:p>
    <w:p>
      <w:pPr>
        <w:pStyle w:val="ListBullet"/>
      </w:pPr>
      <w:r>
        <w:t>上下文结果中的类型最高降为 CANDIDATE，防止不同文本粒度共用阈值造成高可信误判。</w:t>
      </w:r>
    </w:p>
    <w:p>
      <w:pPr>
        <w:pStyle w:val="Heading2"/>
      </w:pPr>
      <w:r>
        <w:t>4.2 文件级类型集合</w:t>
      </w:r>
    </w:p>
    <w:p>
      <w:pPr>
        <w:pStyle w:val="ListBullet"/>
      </w:pPr>
      <w:r>
        <w:t>任一不同规范化段落返回 HIGH，该编码直接进入文件级集合。</w:t>
      </w:r>
    </w:p>
    <w:p>
      <w:pPr>
        <w:pStyle w:val="ListBullet"/>
      </w:pPr>
      <w:r>
        <w:t>CANDIDATE 必须由至少两个不同规范化段落共同支持。</w:t>
      </w:r>
    </w:p>
    <w:p>
      <w:pPr>
        <w:pStyle w:val="ListBullet"/>
      </w:pPr>
      <w:r>
        <w:t>相同基础段落即使出现在不同上下文也只计一次；上下文兜底仍按基础变化段落去重。</w:t>
      </w:r>
    </w:p>
    <w:p>
      <w:pPr>
        <w:pStyle w:val="ListBullet"/>
      </w:pPr>
      <w:r>
        <w:t>FAILED、SKIPPED_TOO_LONG、NO_RELIABLE_MATCH 不贡献编码，其他成功段落继续汇总。</w:t>
      </w:r>
    </w:p>
    <w:p>
      <w:pPr>
        <w:pStyle w:val="ListBullet"/>
      </w:pPr>
      <w:r>
        <w:t>最终编码去重并按字符串升序排列；没有可用编码时返回空数组。</w:t>
      </w:r>
    </w:p>
    <w:p>
      <w:pPr>
        <w:pStyle w:val="Heading2"/>
      </w:pPr>
      <w:r>
        <w:t>4.3 降级状态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段落状态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对总体结果的影响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MATCHED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存在可用的 HIGH 或 CANDIDATE 结果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参与文件级聚合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NO_RELIABLE_MATCH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模型调用成功但没有可靠类型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不贡献编码，总体仍可 SUCCESS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FAILED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索引、Embedding 或输入处理失败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总体为 PARTIAL_SUCCESS，并写 warnings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SKIPPED_TOO_LONG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基础段落超过识别字符上限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总体为 PARTIAL_SUCCESS，并写 warnings</w:t>
            </w:r>
          </w:p>
        </w:tc>
      </w:tr>
    </w:tbl>
    <w:p>
      <w:pPr>
        <w:spacing w:after="40"/>
      </w:pPr>
    </w:p>
    <w:p>
      <w:pPr>
        <w:pStyle w:val="Heading1"/>
      </w:pPr>
      <w:r>
        <w:t>5 数据持久化和事务</w:t>
      </w:r>
    </w:p>
    <w:p>
      <w:pPr>
        <w:pStyle w:val="Heading2"/>
      </w:pPr>
      <w:r>
        <w:t>5.1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约束与索引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HT_ANALYSIS_LOG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analysisId、instId、userId、类型、文件路径、状态、模型、耗时、聚合编码、错误、RESULT_JSON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ANALYSIS_ID 唯一；按流程、用户、状态时间建立索引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HT_ANALYSIS_PARA_LOG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>
              <w:t>条款及来源定位、旧新内容、实际识别文本、输入范围、状态、相似度、类型编码</w:t>
            </w: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(ANALYSIS_ID, PARAGRAPH_ID) 唯一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HT_ANALYSIS_MATCH_LOG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段落对应的历史样本、相似度、类型编码和排名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(PARAGRAPH_LOG_ID, RANK_NO) 唯一；按 ANALYSIS_ID 建索引</w:t>
            </w:r>
          </w:p>
        </w:tc>
      </w:tr>
    </w:tbl>
    <w:p>
      <w:pPr>
        <w:spacing w:after="40"/>
      </w:pPr>
    </w:p>
    <w:p>
      <w:pPr>
        <w:pStyle w:val="Heading2"/>
      </w:pPr>
      <w:r>
        <w:t>5.2 不建立物理外键的原因</w:t>
      </w:r>
    </w:p>
    <w:p>
      <w:r>
        <w:t>分析表属于审计和排障数据，生命周期可能与历史向量样本不同。历史样本会失效、替换或清理；分析日志也可能按时间独立归档。物理外键会把这些运维动作绑定在一起，并不能替代应用事务。因此当前采用逻辑关联：主记录先存在，最终段落、匹配证据和主记录完成状态在同一事务写入，每个 Mapper 写入必须恰好影响一行，同时用唯一约束防止重复数据。该设计满足本期单体应用的一致性要求，也保留独立归档能力。</w:t>
      </w:r>
    </w:p>
    <w:p>
      <w:pPr>
        <w:pStyle w:val="Heading2"/>
      </w:pPr>
      <w:r>
        <w:t>5.3 增量脚本</w:t>
      </w:r>
    </w:p>
    <w:p>
      <w:pPr>
        <w:pStyle w:val="CodeBlock"/>
        <w:keepLines/>
      </w:pPr>
      <w:r>
        <w:t>database/oracle/01_schema.sql</w:t>
      </w:r>
    </w:p>
    <w:p>
      <w:pPr>
        <w:pStyle w:val="CodeBlock"/>
        <w:keepLines/>
      </w:pPr>
      <w:r>
        <w:t>database/oracle/02_analysis_log.sql</w:t>
      </w:r>
    </w:p>
    <w:p>
      <w:pPr>
        <w:pStyle w:val="CodeBlock"/>
        <w:keepLines/>
      </w:pPr>
      <w:r>
        <w:t>database/oracle/99_rollback.sql</w:t>
      </w:r>
    </w:p>
    <w:p>
      <w:r>
        <w:t>01_schema.sql 只负责历史向量库基础表。02_analysis_log.sql 是本次新增的独立增量脚本，存量数据库无需重建基础表即可升级。99_rollback.sql 仅按匹配明细、段落明细、主记录的顺序删除三张分析日志表及其序列，不删除历史向量基础表 TPIF_HTDLYB。</w:t>
      </w:r>
    </w:p>
    <w:p>
      <w:pPr>
        <w:pStyle w:val="Heading1"/>
      </w:pPr>
      <w:r>
        <w:t>6 /compare 接口调用</w:t>
      </w:r>
    </w:p>
    <w:p>
      <w:pPr>
        <w:pStyle w:val="Heading2"/>
      </w:pPr>
      <w:r>
        <w:t>6.1 双版本请求</w:t>
      </w:r>
    </w:p>
    <w:p>
      <w:pPr>
        <w:pStyle w:val="CodeBlock"/>
        <w:keepLines/>
      </w:pPr>
      <w:r>
        <w:t>POST /glxt-service-contract-change/service/contract-compare/compare</w:t>
      </w:r>
    </w:p>
    <w:p>
      <w:pPr>
        <w:pStyle w:val="CodeBlock"/>
        <w:keepLines/>
      </w:pPr>
      <w:r>
        <w:t>Content-Type: application/json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"instId": 10001,</w:t>
      </w:r>
    </w:p>
    <w:p>
      <w:pPr>
        <w:pStyle w:val="CodeBlock"/>
        <w:keepLines/>
      </w:pPr>
      <w:r>
        <w:t xml:space="preserve">  "userId": "employee-001",</w:t>
      </w:r>
    </w:p>
    <w:p>
      <w:pPr>
        <w:pStyle w:val="CodeBlock"/>
        <w:keepLines/>
      </w:pPr>
      <w:r>
        <w:t xml:space="preserve">  "analysisType": "DOUBLE_VERSION",</w:t>
      </w:r>
    </w:p>
    <w:p>
      <w:pPr>
        <w:pStyle w:val="CodeBlock"/>
        <w:keepLines/>
      </w:pPr>
      <w:r>
        <w:t xml:space="preserve">  "oldFileGetPath": "/合同目录/修改前.docx",</w:t>
      </w:r>
    </w:p>
    <w:p>
      <w:pPr>
        <w:pStyle w:val="CodeBlock"/>
        <w:keepLines/>
      </w:pPr>
      <w:r>
        <w:t xml:space="preserve">  "newFileGetPath": "/合同目录/修改后.docx"</w:t>
      </w:r>
    </w:p>
    <w:p>
      <w:pPr>
        <w:pStyle w:val="CodeBlock"/>
        <w:keepLines/>
      </w:pPr>
      <w:r>
        <w:t>}</w:t>
      </w:r>
    </w:p>
    <w:p>
      <w:pPr>
        <w:pStyle w:val="Heading2"/>
      </w:pPr>
      <w:r>
        <w:t>6.2 单文件请求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"instId": 10001,</w:t>
      </w:r>
    </w:p>
    <w:p>
      <w:pPr>
        <w:pStyle w:val="CodeBlock"/>
        <w:keepLines/>
      </w:pPr>
      <w:r>
        <w:t xml:space="preserve">  "userId": "employee-001",</w:t>
      </w:r>
    </w:p>
    <w:p>
      <w:pPr>
        <w:pStyle w:val="CodeBlock"/>
        <w:keepLines/>
      </w:pPr>
      <w:r>
        <w:t xml:space="preserve">  "analysisType": "CHANGE_DOCUMENT",</w:t>
      </w:r>
    </w:p>
    <w:p>
      <w:pPr>
        <w:pStyle w:val="CodeBlock"/>
        <w:keepLines/>
      </w:pPr>
      <w:r>
        <w:t xml:space="preserve">  "changeFileGetPath": "/合同目录/补充协议.docx"</w:t>
      </w:r>
    </w:p>
    <w:p>
      <w:pPr>
        <w:pStyle w:val="CodeBlock"/>
        <w:keepLines/>
      </w:pPr>
      <w:r>
        <w:t>}</w:t>
      </w:r>
    </w:p>
    <w:p>
      <w:pPr>
        <w:pStyle w:val="Heading2"/>
      </w:pPr>
      <w:r>
        <w:t>6.3 成功响应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"code": 200,</w:t>
      </w:r>
    </w:p>
    <w:p>
      <w:pPr>
        <w:pStyle w:val="CodeBlock"/>
        <w:keepLines/>
      </w:pPr>
      <w:r>
        <w:t xml:space="preserve">  "message": "操作成功",</w:t>
      </w:r>
    </w:p>
    <w:p>
      <w:pPr>
        <w:pStyle w:val="CodeBlock"/>
        <w:keepLines/>
      </w:pPr>
      <w:r>
        <w:t xml:space="preserve">  "data": {</w:t>
      </w:r>
    </w:p>
    <w:p>
      <w:pPr>
        <w:pStyle w:val="CodeBlock"/>
        <w:keepLines/>
      </w:pPr>
      <w:r>
        <w:t xml:space="preserve">    "analysisId": "4bb11fc4b6b945efaf992fc5eb32fd71",</w:t>
      </w:r>
    </w:p>
    <w:p>
      <w:pPr>
        <w:pStyle w:val="CodeBlock"/>
        <w:keepLines/>
      </w:pPr>
      <w:r>
        <w:t xml:space="preserve">    "fileChangeTypeCodes": ["04", "19"],</w:t>
      </w:r>
    </w:p>
    <w:p>
      <w:pPr>
        <w:pStyle w:val="CodeBlock"/>
        <w:keepLines/>
      </w:pPr>
      <w:r>
        <w:t xml:space="preserve">    "analysisStatus": "SUCCESS"</w:t>
      </w:r>
    </w:p>
    <w:p>
      <w:pPr>
        <w:pStyle w:val="CodeBlock"/>
        <w:keepLines/>
      </w:pPr>
      <w:r>
        <w:t xml:space="preserve">  }</w:t>
      </w:r>
    </w:p>
    <w:p>
      <w:pPr>
        <w:pStyle w:val="CodeBlock"/>
        <w:keepLines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analysisId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String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本次分析唯一标识；成功返回时数据库已有完整结果。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fileChangeTypeCodes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String[]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文件级可信规则聚合后的业务类型编码；无结果固定为 []。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analysisStatus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String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SUCCESS 或 PARTIAL_SUCCESS。</w:t>
            </w:r>
          </w:p>
        </w:tc>
      </w:tr>
    </w:tbl>
    <w:p>
      <w:pPr>
        <w:spacing w:after="40"/>
      </w:pPr>
    </w:p>
    <w:p>
      <w:pPr>
        <w:pStyle w:val="Heading2"/>
      </w:pPr>
      <w:r>
        <w:t>6.4 参数和错误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业务码或状态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缺少 userId、instId 或 analysisType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400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不创建分析任务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当前分析类型缺少文件路径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400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不创建分析任务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PROCESSING 主记录创建失败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500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不下载文件、不调用模型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文件下载或结构解析失败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沿用现有 400/500/503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已创建主记录更新为 FAILED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部分段落预测失败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200 + PARTIAL_SUCCESS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t>保存完整结果和 warnings，返回聚合编码；外层 message 提示部分完成</w:t>
            </w: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最终明细事务失败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500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明细回滚，主记录独立更新为 FAILED</w:t>
            </w:r>
          </w:p>
        </w:tc>
      </w:tr>
    </w:tbl>
    <w:p>
      <w:pPr>
        <w:spacing w:after="40"/>
      </w:pPr>
    </w:p>
    <w:p>
      <w:pPr>
        <w:pStyle w:val="Heading1"/>
      </w:pPr>
      <w:r>
        <w:t>7 /export 接口调用</w:t>
      </w:r>
    </w:p>
    <w:p>
      <w:r>
        <w:t>/export 与正式分析完全分离。它只根据文件路径生成原有 Excel，不创建 analysisId，不调用 Embedding，也不保存分析日志。userId 和 instId 即使未传也不影响导出。</w:t>
      </w:r>
    </w:p>
    <w:p>
      <w:pPr>
        <w:pStyle w:val="CodeBlock"/>
        <w:keepLines/>
      </w:pPr>
      <w:r>
        <w:t>POST /glxt-service-contract-change/service/contract-compare/export</w:t>
      </w:r>
    </w:p>
    <w:p>
      <w:pPr>
        <w:pStyle w:val="CodeBlock"/>
        <w:keepLines/>
      </w:pPr>
      <w:r>
        <w:t>Content-Type: application/json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"oldFileGetPath": "/合同目录/修改前.docx",</w:t>
      </w:r>
    </w:p>
    <w:p>
      <w:pPr>
        <w:pStyle w:val="CodeBlock"/>
        <w:keepLines/>
      </w:pPr>
      <w:r>
        <w:t xml:space="preserve">  "newFileGetPath": "/合同目录/修改后.docx",</w:t>
      </w:r>
    </w:p>
    <w:p>
      <w:pPr>
        <w:pStyle w:val="CodeBlock"/>
        <w:keepLines/>
      </w:pPr>
      <w:r>
        <w:t xml:space="preserve">  "resultMode": "SIMPLE"</w:t>
      </w:r>
    </w:p>
    <w:p>
      <w:pPr>
        <w:pStyle w:val="CodeBlock"/>
        <w:keepLines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66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列数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DOUBLE_VERSION + SIMPLE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9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变化段落和具体文字变化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DOUBLE_VERSION + CONTEXT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比对结果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11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 SIMPLE 基础上增加完整新旧条款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CHANGE_DOCUMENT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提取结果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  <w:tc>
          <w:tcPr>
            <w:tcW w:type="dxa" w:w="3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来源标题、目标条款、前后内容和具体变化</w:t>
            </w:r>
          </w:p>
        </w:tc>
      </w:tr>
    </w:tbl>
    <w:p>
      <w:pPr>
        <w:spacing w:after="40"/>
      </w:pPr>
    </w:p>
    <w:p>
      <w:pPr>
        <w:pStyle w:val="Heading1"/>
      </w:pPr>
      <w:r>
        <w:t>8 运维与问题定位</w:t>
      </w:r>
    </w:p>
    <w:p>
      <w:pPr>
        <w:pStyle w:val="ListBullet"/>
      </w:pPr>
      <w:r>
        <w:t>索引不可用时先检查 GET /service/contract-change/index/status。</w:t>
      </w:r>
    </w:p>
    <w:p>
      <w:pPr>
        <w:pStyle w:val="ListBullet"/>
      </w:pPr>
      <w:r>
        <w:t>Embedding 不可用时检查网关地址、API Key、模型名称、网络和 UserId 透传。</w:t>
      </w:r>
    </w:p>
    <w:p>
      <w:pPr>
        <w:pStyle w:val="ListBullet"/>
      </w:pPr>
      <w:r>
        <w:t>通过 HT_ANALYSIS_LOG 的 analysisId 查看状态、耗时和完整 RESULT_JSON。</w:t>
      </w:r>
    </w:p>
    <w:p>
      <w:pPr>
        <w:pStyle w:val="ListBullet"/>
      </w:pPr>
      <w:r>
        <w:t>需要定位某个变化段落时，再结合 HT_ANALYSIS_PARA_LOG 和 HT_ANALYSIS_MATCH_LOG 查看输入范围和 Top-K 证据。</w:t>
      </w:r>
    </w:p>
    <w:p>
      <w:pPr>
        <w:pStyle w:val="ListBullet"/>
      </w:pPr>
      <w:r>
        <w:t>长时间停留在 PROCESSING 表示进程可能在最终状态写入前异常退出；本期不额外引入异步任务或心跳机制。</w:t>
      </w:r>
    </w:p>
    <w:p>
      <w:pPr>
        <w:pStyle w:val="Heading1"/>
      </w:pPr>
      <w:r>
        <w:t>9 验收范围</w:t>
      </w:r>
    </w:p>
    <w:p>
      <w:pPr>
        <w:pStyle w:val="ListBullet"/>
      </w:pPr>
      <w:r>
        <w:t>/compare 必须从请求体读取 userId、instId、analysisType，不再读取 UserId 请求头，也不默认双版本。</w:t>
      </w:r>
    </w:p>
    <w:p>
      <w:pPr>
        <w:pStyle w:val="ListBullet"/>
      </w:pPr>
      <w:r>
        <w:t>双版本和单文件策略均返回完整结果，新增策略无需修改 Controller 和编排服务。</w:t>
      </w:r>
    </w:p>
    <w:p>
      <w:pPr>
        <w:pStyle w:val="ListBullet"/>
      </w:pPr>
      <w:r>
        <w:t>新增和修改使用新段落，删除使用旧段落；仅无可靠结果进入上下文兜底。</w:t>
      </w:r>
    </w:p>
    <w:p>
      <w:pPr>
        <w:pStyle w:val="ListBullet"/>
      </w:pPr>
      <w:r>
        <w:t>文件级 HIGH、双段 CANDIDATE、重复段落、部分失败和空集合规则保持一致。</w:t>
      </w:r>
    </w:p>
    <w:p>
      <w:pPr>
        <w:pStyle w:val="ListBullet"/>
      </w:pPr>
      <w:r>
        <w:t>完整 JSON 包含上下文、changeDetails、段落预测、warnings、predictionSummary 和 fileChangeTypeCodes。</w:t>
      </w:r>
    </w:p>
    <w:p>
      <w:pPr>
        <w:pStyle w:val="ListBullet"/>
      </w:pPr>
      <w:r>
        <w:t>最终明细任一写入失败时事务整体回滚；成功 analysisId 一定对应完整记录。</w:t>
      </w:r>
    </w:p>
    <w:p>
      <w:pPr>
        <w:pStyle w:val="ListBullet"/>
      </w:pPr>
      <w:r>
        <w:t>/export 无 userId、instId 仍可工作，未传 analysisType 时兼容双版本，且不调用预测服务。</w:t>
      </w:r>
    </w:p>
    <w:p>
      <w:pPr>
        <w:pStyle w:val="ListBullet"/>
      </w:pPr>
      <w:r>
        <w:t>执行 Java 8 全量测试、打包和 git diff --check。</w:t>
      </w:r>
    </w:p>
    <w:p>
      <w:pPr>
        <w:pStyle w:val="Heading1"/>
      </w:pPr>
      <w:r>
        <w:t>附录 A 数据库字段调整理由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调整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RESULT_JSON 使用 CLOB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完整条款上下文和预测证据可能超过 VARCHAR2 限制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可无损恢复原详细结果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>
              <w:t>段落表保存实际识别文本和 INPUT_SCOPE</w:t>
            </w: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>
              <w:t>可复现首轮或上下文兜底的真实模型输入</w:t>
            </w:r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可统计兜底率并定位错误输入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保存上级条款、来源标题、目标条款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单靠条款编号无法覆盖单文件来源定位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结构化查询时可准确回到业务位置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匹配表冗余 ANALYSIS_ID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排障常按分析任务读取全部证据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EAF2F8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无需先扫描全部段落 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不建立物理外键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分析数据和历史样本有独立归档生命周期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降低运维耦合，一致性仍由事务和约束保证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5A5A5A"/>
        <w:sz w:val="16"/>
      </w:rPr>
      <w:t>合同比对与历史向量业务类型识别流程及接口调用说明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283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合同比对与历史向量业务类型识别流程及接口调用说明</dc:title>
  <dc:subject>合同变更分析接口与数据库留痕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