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</w:rPr>
        <w:t>合同比对逻辑现存问题与改进建议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46464"/>
          <w:sz w:val="20"/>
        </w:rPr>
        <w:t>问题梳理与改进方向</w:t>
      </w:r>
    </w:p>
    <w:p>
      <w:r>
        <w:rPr>
          <w:rFonts w:ascii="Microsoft YaHei" w:hAnsi="Microsoft YaHei" w:eastAsia="Microsoft YaHei" w:cs="Microsoft YaHei"/>
          <w:b/>
        </w:rPr>
        <w:t>结论。</w:t>
      </w:r>
      <w:r>
        <w:rPr>
          <w:rFonts w:ascii="Microsoft YaHei" w:hAnsi="Microsoft YaHei" w:eastAsia="Microsoft YaHei" w:cs="Microsoft YaHei"/>
        </w:rPr>
        <w:t>当前结果与生产人工勾选不一致，可能同时表现为变化类型漏报、多报、误报，以及业务类型预测不准。问题不只来自模型：文档结构解析、段落与条款匹配、历史知识库质量、投票规则和配置阈值都会影响结果。应先区分“文本差异是否正确”和“业务类型是否正确”，用有人工结论的样本逐层验证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主要问题与处理建议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</w:rPr>
              <w:t>问题表现</w:t>
            </w:r>
          </w:p>
        </w:tc>
        <w:tc>
          <w:tcPr>
            <w:tcW w:type="dxa" w:w="3672"/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</w:rPr>
              <w:t>可能原因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</w:rPr>
              <w:t>建议处理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与人工勾选相比少类型或多类型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人工标注口径不统一；一个变化段落可对应多个业务类型，但系统的候选、支持数和置信等级规则可能过滤或放大标签。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明确“一段多标签”规则；复核分歧样本；分别统计漏报、误报和多标签准确率，按业务类型调阈值。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变化文本误报为删除/新增/修改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Word 的真实段落、手动换行、列表编号、表格与修订标记可能改变解析结构；解析边界与条款匹配失败会造成相同文字未配对。近期案例已发现 w:cr 与独立段落的差异，以及数字开头长正文可能被当成子条款的风险。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保留原始段落索引和边界日志；把手动换行和段落换行规范到可比较单元；限制标题启发式误识别；用真实 DOCX 建回归集并检查最终 JSON。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业务类型预测不准或无可靠匹配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历史知识库覆盖不足、类型标错、相似文本重复或过时；向量相似度只表示文本接近，不保证业务标签一致。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按类型补充正例、反例和边界案例；清理重复/冲突标签；定期复核知识库并记录版本，观察各类型覆盖率与混淆情况。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参数变化后结果不稳定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相似度门槛、候选数、投票支持数、候选等级门槛等配置相互作用；沿用统一参数可能不适合不同类型或文本长度。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用带人工结论的留出集做网格评估；按类型/场景调参并版本化；同时报告精确率、召回率和人工复核比例，避免只追求单一指标。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上线后问题难定位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解析、匹配、预测链路可能只保留最终结果，缺少可解释证据；模型、知识库和参数版本未必与结果一起记录。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sz w:val="16"/>
              </w:rPr>
              <w:t>记录文档哈希、解析版本、参数快照、候选样本及分数、投票过程和最终结果；建立误报/漏报反馈闭环，回归验证后再调整。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</w:rPr>
        <w:t>建议的落地顺序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</w:rPr>
        <w:t>先建立对照集。</w:t>
      </w:r>
      <w:r>
        <w:rPr>
          <w:rFonts w:ascii="Microsoft YaHei" w:hAnsi="Microsoft YaHei" w:eastAsia="Microsoft YaHei" w:cs="Microsoft YaHei"/>
        </w:rPr>
        <w:t>从生产人工勾选结果抽取代表性合同和段落，统一类型定义，保留人工复核记录；覆盖漏报、多报、预测错误和格式复杂文件。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</w:rPr>
        <w:t>分层定位错误。</w:t>
      </w:r>
      <w:r>
        <w:rPr>
          <w:rFonts w:ascii="Microsoft YaHei" w:hAnsi="Microsoft YaHei" w:eastAsia="Microsoft YaHei" w:cs="Microsoft YaHei"/>
        </w:rPr>
        <w:t>第一层核对原文抽取及条款归属；第二层核对变化文本配对；第三层核对业务类型候选与投票。避免用分类参数掩盖文本比对错误。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</w:rPr>
        <w:t>再调知识库与参数。</w:t>
      </w:r>
      <w:r>
        <w:rPr>
          <w:rFonts w:ascii="Microsoft YaHei" w:hAnsi="Microsoft YaHei" w:eastAsia="Microsoft YaHei" w:cs="Microsoft YaHei"/>
        </w:rPr>
        <w:t>先清理标签和样本，再在留出集上调相似度、投票和支持数参数；每次变更记录版本并比较分类型指标。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</w:rPr>
        <w:t>持续回归与监控。</w:t>
      </w:r>
      <w:r>
        <w:rPr>
          <w:rFonts w:ascii="Microsoft YaHei" w:hAnsi="Microsoft YaHei" w:eastAsia="Microsoft YaHei" w:cs="Microsoft YaHei"/>
        </w:rPr>
        <w:t>将已确认问题变成固定测试样本；对误报、漏报、无可靠匹配和人工改判持续统计，确保修复没有损害其他条款结构。</w:t>
      </w:r>
    </w:p>
    <w:p>
      <w:pPr>
        <w:spacing w:before="120"/>
      </w:pPr>
      <w:r>
        <w:rPr>
          <w:rFonts w:ascii="Microsoft YaHei" w:hAnsi="Microsoft YaHei" w:eastAsia="Microsoft YaHei" w:cs="Microsoft YaHei"/>
          <w:b/>
        </w:rPr>
        <w:t>说明：</w:t>
      </w:r>
      <w:r>
        <w:rPr>
          <w:rFonts w:ascii="Microsoft YaHei" w:hAnsi="Microsoft YaHei" w:eastAsia="Microsoft YaHei" w:cs="Microsoft YaHei"/>
        </w:rPr>
        <w:t>上述原因是基于当前逻辑和已发现案例列出的风险项，知识库覆盖、人工标注一致性及具体阈值效果仍需通过生产对照集验证，不应仅凭单个案例推定。</w:t>
      </w:r>
    </w:p>
    <w:sectPr w:rsidR="00FC693F" w:rsidRPr="0006063C" w:rsidSect="00034616"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8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合同比对逻辑现存问题与改进建议</dc:title>
  <dc:subject>合同比对差异识别、业务类型预测和改进方向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