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 w:after="160"/>
        <w:jc w:val="center"/>
      </w:pPr>
      <w:r>
        <w:rPr>
          <w:rFonts w:ascii="Calibri" w:hAnsi="Calibri" w:eastAsia="Microsoft YaHei"/>
          <w:b/>
          <w:i w:val="0"/>
          <w:color w:val="1F4D78"/>
          <w:sz w:val="56"/>
        </w:rPr>
        <w:t>合同段落变更类型识别服务</w:t>
      </w:r>
    </w:p>
    <w:p>
      <w:pPr>
        <w:spacing w:after="560"/>
        <w:jc w:val="center"/>
      </w:pPr>
      <w:r>
        <w:rPr>
          <w:rFonts w:ascii="Calibri" w:hAnsi="Calibri" w:eastAsia="Microsoft YaHei"/>
          <w:b/>
          <w:i w:val="0"/>
          <w:color w:val="2E74B5"/>
          <w:sz w:val="40"/>
        </w:rPr>
        <w:t>接口调用说明书</w:t>
      </w:r>
    </w:p>
    <w:p>
      <w:pPr>
        <w:spacing w:after="1280"/>
        <w:jc w:val="center"/>
      </w:pPr>
      <w:r>
        <w:rPr>
          <w:rFonts w:ascii="Calibri" w:hAnsi="Calibri" w:eastAsia="Microsoft YaHei"/>
          <w:b w:val="0"/>
          <w:i w:val="0"/>
          <w:color w:val="667085"/>
          <w:sz w:val="24"/>
        </w:rPr>
        <w:t>历史样本导入 · 段落预测 · 向量索引运维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文档版本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 w:val="0"/>
                <w:i w:val="0"/>
                <w:color w:val="1F2937"/>
                <w:sz w:val="20"/>
              </w:rPr>
              <w:t>V1.0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编制日期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 w:val="0"/>
                <w:i w:val="0"/>
                <w:color w:val="1F2937"/>
                <w:sz w:val="20"/>
              </w:rPr>
              <w:t>2026年8月12日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适用版本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 w:val="0"/>
                <w:i w:val="0"/>
                <w:color w:val="1F2937"/>
                <w:sz w:val="20"/>
              </w:rPr>
              <w:t>glxt-service-contract-change 1.0.0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技术栈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 w:val="0"/>
                <w:i w:val="0"/>
                <w:color w:val="1F2937"/>
                <w:sz w:val="20"/>
              </w:rPr>
              <w:t>Java 8 / Spring Boot 2.1.5 / Oracle / Hugging Face Embedding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读者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 w:val="0"/>
                <w:i w:val="0"/>
                <w:color w:val="1F2937"/>
                <w:sz w:val="20"/>
              </w:rPr>
              <w:t>前端开发、后端集成、测试、运维及业务验收人员</w:t>
            </w:r>
          </w:p>
        </w:tc>
      </w:tr>
    </w:tbl>
    <w:p>
      <w:pPr>
        <w:spacing w:before="720"/>
        <w:jc w:val="center"/>
      </w:pPr>
      <w:r>
        <w:rPr>
          <w:rFonts w:ascii="Calibri" w:hAnsi="Calibri" w:eastAsia="Microsoft YaHei"/>
          <w:b w:val="0"/>
          <w:i w:val="0"/>
          <w:color w:val="667085"/>
          <w:sz w:val="18"/>
        </w:rPr>
        <w:t>内部技术文档</w:t>
      </w:r>
    </w:p>
    <w:p>
      <w:r>
        <w:br w:type="page"/>
      </w:r>
    </w:p>
    <w:p>
      <w:pPr>
        <w:pStyle w:val="Heading1"/>
      </w:pPr>
      <w:r>
        <w:t>文档使用说明</w:t>
      </w: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rPr>
          <w:rFonts w:ascii="Calibri" w:hAnsi="Calibri" w:eastAsia="Microsoft YaHei"/>
          <w:b/>
          <w:i w:val="0"/>
          <w:color w:val="2E74B5"/>
          <w:sz w:val="22"/>
        </w:rPr>
        <w:t xml:space="preserve">适用范围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本文档依据当前工程源码和配置编制，覆盖第一版全部对外业务接口及联调注意事项。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本文档描述的核心接口共4个：历史样本Excel导入、新段落预测、索引重载和索引状态查询。接口不负责解析整份PDF或Word，不负责维护变更类型名称，也不保存预测结果。</w:t>
      </w:r>
    </w:p>
    <w:p>
      <w:pPr>
        <w:pStyle w:val="Heading2"/>
      </w:pPr>
      <w:r>
        <w:t>快速目录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8260"/>
      </w:tblGrid>
      <w:tr>
        <w:trPr>
          <w:tblHeader w:val="true"/>
        </w:trPr>
        <w:tc>
          <w:tcPr>
            <w:tcW w:type="dxa" w:w="1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章节</w:t>
            </w:r>
          </w:p>
        </w:tc>
        <w:tc>
          <w:tcPr>
            <w:tcW w:type="dxa" w:w="82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服务概览与调用前提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统一请求与响应约定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3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历史样本Excel导入接口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4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新合同段落预测接口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5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向量索引重载接口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6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向量索引状态接口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7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完整业务流程与判定规则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8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错误处理与排查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9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联调步骤与配置清单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附录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字段字典、术语和示例</w:t>
            </w:r>
          </w:p>
        </w:tc>
      </w:tr>
    </w:tbl>
    <w:p>
      <w:pPr>
        <w:spacing w:after="40"/>
      </w:pPr>
    </w:p>
    <w:p>
      <w:pPr>
        <w:pStyle w:val="Heading1"/>
      </w:pPr>
      <w:r>
        <w:t>1. 服务概览与调用前提</w:t>
      </w:r>
    </w:p>
    <w:p>
      <w:pPr>
        <w:pStyle w:val="Heading2"/>
      </w:pPr>
      <w:r>
        <w:t>1.1 服务职责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将历史合同段落及其已确认的变更类型编码从Excel导入Oracle。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调用内网Embedding模型生成向量，并将历史向量加载到JVM内存索引。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将新段落与历史段落进行语义相似度比较，通过加权投票或强单条匹配返回类型。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提供索引重载及状态查询能力，便于部署和运维检查。</w:t>
      </w:r>
    </w:p>
    <w:p>
      <w:pPr>
        <w:pStyle w:val="Heading2"/>
      </w:pPr>
      <w:r>
        <w:t>1.2 调用前提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050"/>
        <w:gridCol w:w="3810"/>
      </w:tblGrid>
      <w:tr>
        <w:trPr>
          <w:tblHeader w:val="true"/>
        </w:trPr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依赖</w:t>
            </w:r>
          </w:p>
        </w:tc>
        <w:tc>
          <w:tcPr>
            <w:tcW w:type="dxa" w:w="405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要求</w:t>
            </w:r>
          </w:p>
        </w:tc>
        <w:tc>
          <w:tcPr>
            <w:tcW w:type="dxa" w:w="381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不满足时的影响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Oracle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已执行01_schema.sql，TPIF_HTDLYB可读写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导入、启动加载和索引重载失败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Embedding容器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 /embed可用，输出维度与Java配置一致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导入和非精确预测失败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模型版本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历史向量与当前MODEL_VERSION一致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旧模型数据不会进入当前索引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历史数据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至少有一条SFSX=1的有效样本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预测只能返回NO_RELIABLE_MATCH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上游切分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请求内容已经是单个段落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超长或混合主题文本会降低匹配质量</w:t>
            </w:r>
          </w:p>
        </w:tc>
      </w:tr>
    </w:tbl>
    <w:p>
      <w:pPr>
        <w:spacing w:after="40"/>
      </w:pPr>
    </w:p>
    <w:p>
      <w:pPr>
        <w:pStyle w:val="Heading2"/>
      </w:pPr>
      <w:r>
        <w:t>1.3 服务地址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00"/>
        <w:gridCol w:w="39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场景</w:t>
            </w:r>
          </w:p>
        </w:tc>
        <w:tc>
          <w:tcPr>
            <w:tcW w:type="dxa" w:w="3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基础地址示例</w:t>
            </w:r>
          </w:p>
        </w:tc>
        <w:tc>
          <w:tcPr>
            <w:tcW w:type="dxa" w:w="39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完整预测地址示例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独立模块默认配置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http://localhost:8080/glxt-service-contract-change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http://localhost:8080/glxt-service-contract-change/service/contract-change/predict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当前集成环境示例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http://localhost:15006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http://localhost:15006/service/contract-change/predict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注意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最终地址由端口、context-path、网关路由共同决定。若工程被合入已有服务，通常使用集成服务的端口和上下文，以实际Swagger或部署路由为准。</w:t>
      </w:r>
    </w:p>
    <w:p>
      <w:pPr>
        <w:pStyle w:val="Heading1"/>
      </w:pPr>
      <w:r>
        <w:t>2. 统一请求与响应约定</w:t>
      </w:r>
    </w:p>
    <w:p>
      <w:pPr>
        <w:pStyle w:val="Heading2"/>
      </w:pPr>
      <w:r>
        <w:t>2.1 通用请求头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600"/>
        <w:gridCol w:w="55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请求头</w:t>
            </w:r>
          </w:p>
        </w:tc>
        <w:tc>
          <w:tcPr>
            <w:tcW w:type="dxa" w:w="16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是否必需</w:t>
            </w:r>
          </w:p>
        </w:tc>
        <w:tc>
          <w:tcPr>
            <w:tcW w:type="dxa" w:w="55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Content-Type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是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预测/运维接口使用application/json；导入使用multipart/form-data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Accept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建议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application/json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Authorization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视集成环境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本模块未内置鉴权；若接入网关或统一权限系统，按其要求传递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Trace-Id等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视集成环境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由网关或现有系统链路追踪规范决定</w:t>
            </w:r>
          </w:p>
        </w:tc>
      </w:tr>
    </w:tbl>
    <w:p>
      <w:pPr>
        <w:spacing w:after="40"/>
      </w:pPr>
    </w:p>
    <w:p>
      <w:pPr>
        <w:pStyle w:val="Heading2"/>
      </w:pPr>
      <w:r>
        <w:t>2.2 统一响应外壳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 ...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100"/>
        <w:gridCol w:w="55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2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5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code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业务响应码。独立模块：200成功、400参数/业务校验、503模型不可用、500未预期异常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message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面向调用方的结果说明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data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Object/null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具体接口数据；异常时通常为null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success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Boolean（集成环境可能存在）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若宿主系统统一响应增加该字段，true表示响应外壳成功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集成差异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截图中的宿主项目使用code=0、success=true表示成功；独立模块源码使用code=200。调用方应按最终集成项目的统一响应规范判断，data内部字段不受影响。</w:t>
      </w:r>
    </w:p>
    <w:p>
      <w:pPr>
        <w:spacing w:before="100" w:after="140"/>
        <w:ind w:left="173" w:right="115"/>
        <w:shd w:fill="FFF1F0"/>
        <w:pBdr>
          <w:left w:val="single" w:sz="18" w:color="9B1C1C" w:space="8"/>
        </w:pBdr>
      </w:pPr>
      <w:r>
        <w:rPr>
          <w:rFonts w:ascii="Calibri" w:hAnsi="Calibri" w:eastAsia="Microsoft YaHei"/>
          <w:b/>
          <w:i w:val="0"/>
          <w:color w:val="9B1C1C"/>
          <w:sz w:val="22"/>
        </w:rPr>
        <w:t xml:space="preserve">HTTP状态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当前异常处理器主要通过响应体code表达业务状态，实际HTTP状态可能仍为200。客户端不要只判断HTTP 200，应同时判断响应体code或宿主系统success字段。</w:t>
      </w:r>
    </w:p>
    <w:p>
      <w:pPr>
        <w:pStyle w:val="Heading2"/>
      </w:pPr>
      <w:r>
        <w:t>2.3 数值精度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接口中的maxSimilarity、changeTypes[].score和references[].similarity最多返回4位小数，例如0.879620385984689返回为0.8796。四舍五入只发生在JSON输出阶段，内部排序、阈值判断和投票使用完整精度。</w:t>
      </w:r>
    </w:p>
    <w:p>
      <w:pPr>
        <w:pStyle w:val="Heading1"/>
      </w:pPr>
      <w:r>
        <w:t>3. 历史样本Excel导入接口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接口名称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导入历史合同段落Excel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/service/contract-change/samples/import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Content-Type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multipart/form-data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表单字段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file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执行方式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同步；请求会等待解析、向量化、入库和索引刷新全部完成</w:t>
            </w:r>
          </w:p>
        </w:tc>
      </w:tr>
    </w:tbl>
    <w:p>
      <w:pPr>
        <w:spacing w:after="40"/>
      </w:pPr>
    </w:p>
    <w:p>
      <w:pPr>
        <w:pStyle w:val="Heading2"/>
      </w:pPr>
      <w:r>
        <w:t>3.1 Excel格式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仅支持.xlsx。只读取第一张Sheet，前两列表头必须完全为“合同段落”和“变更类型编码”。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6200"/>
        <w:gridCol w:w="3160"/>
      </w:tblGrid>
      <w:tr>
        <w:trPr>
          <w:tblHeader w:val="true"/>
        </w:trPr>
        <w:tc>
          <w:tcPr>
            <w:tcW w:type="dxa" w:w="6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合同段落</w:t>
            </w:r>
          </w:p>
        </w:tc>
        <w:tc>
          <w:tcPr>
            <w:tcW w:type="dxa" w:w="31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变更类型编码</w:t>
            </w:r>
          </w:p>
        </w:tc>
      </w:tr>
      <w:tr>
        <w:tc>
          <w:tcPr>
            <w:tcW w:type="dxa" w:w="6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基金管理人应当向投资者充分揭示相关风险。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20;25;28</w:t>
            </w:r>
          </w:p>
        </w:tc>
      </w:tr>
      <w:tr>
        <w:tc>
          <w:tcPr>
            <w:tcW w:type="dxa" w:w="6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基金管理人应按规定履行信息披露义务。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26;54;76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多个编码使用英文分号分隔；编码自动去空格、去重并排序。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单个编码最长64字符，编码自身不得包含英文分号或空白字符，总长度不超过4000字符。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单个文件不超过20MB；默认最多1000条非空数据行；规范化后的段落不超过4000字符。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整行为空时跳过，不计入totalRows。</w:t>
      </w:r>
    </w:p>
    <w:p>
      <w:pPr>
        <w:pStyle w:val="Heading2"/>
      </w:pPr>
      <w:r>
        <w:t>3.2 调用示例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curl -X POST "http://localhost:15006/service/contract-change/samples/import" \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-H "Accept: application/json" \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-F "file=@D:/data/合同历史段落.xlsx"</w:t>
      </w:r>
    </w:p>
    <w:p>
      <w:pPr>
        <w:spacing w:after="80"/>
      </w:pP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Postman：Body选择form-data，Key填写file并将类型切换为File，然后选择.xlsx文件。不要手工填写multipart边界，交给Postman自动生成。</w:t>
      </w:r>
    </w:p>
    <w:p>
      <w:pPr>
        <w:pStyle w:val="Heading2"/>
      </w:pPr>
      <w:r>
        <w:t>3.3 成功响应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"success": true,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"totalRows": 10,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"inserted": 8,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"skipped": 2,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"indexReloaded": true,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"errors": []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700"/>
        <w:gridCol w:w="58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8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含义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success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Boolean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本批是否通过校验并完成数据库写入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totalRows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Excel中实际读取的非空数据行数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inserted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本批实际新增的数据库记录数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skipped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文件内或数据库中“段落相同且类型相同”的幂等跳过数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indexReloaded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Boolean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入库后是否成功切换到新内存索引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errors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Array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逐行校验或标签冲突错误；成功时为空数组</w:t>
            </w:r>
          </w:p>
        </w:tc>
      </w:tr>
    </w:tbl>
    <w:p>
      <w:pPr>
        <w:spacing w:after="40"/>
      </w:pPr>
    </w:p>
    <w:p>
      <w:pPr>
        <w:pStyle w:val="Heading2"/>
      </w:pPr>
      <w:r>
        <w:t>3.4 校验失败响应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"success": false,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"totalRows": 3,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"inserted": 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"skipped": 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"indexReloaded": false,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"errors":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{"row": 3, "message": "合同段落不能为空"}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两层成功状态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外层code成功表示接口正常处理并返回了结构化结果；data.success=false表示本次导入业务校验未通过。导入调用方必须检查data.success。</w:t>
      </w:r>
    </w:p>
    <w:p>
      <w:pPr>
        <w:pStyle w:val="Heading2"/>
      </w:pPr>
      <w:r>
        <w:t>3.5 导入处理顺序与事务边界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校验文件是否存在、是否为.xlsx、是否超过上传限制。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读取第一张Sheet并校验固定表头、行数、段落和类型编码。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规范化段落，计算SHA-256；文件内相同Hash同标签跳过，不同标签报冲突。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查询Oracle；数据库中相同Hash同标签跳过，不同标签报冲突。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将全部待新增段落按batch-size分批调用Embedding容器。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全部向量成功后才开启数据库事务；任何插入失败整批回滚。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事务提交后重建内存索引；重建失败保留旧索引并返回indexReloaded=false。</w:t>
      </w: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同步等待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导入接口不是异步任务。1000条数据在CPU模型上可能等待数分钟，并可能受浏览器、网关或Nginx超时影响。第一版建议按100～200条拆分文件，或依据生产压测调整。</w:t>
      </w:r>
    </w:p>
    <w:p>
      <w:pPr>
        <w:spacing w:before="100" w:after="140"/>
        <w:ind w:left="173" w:right="115"/>
        <w:shd w:fill="FFF1F0"/>
        <w:pBdr>
          <w:left w:val="single" w:sz="18" w:color="9B1C1C" w:space="8"/>
        </w:pBdr>
      </w:pPr>
      <w:r>
        <w:rPr>
          <w:rFonts w:ascii="Calibri" w:hAnsi="Calibri" w:eastAsia="Microsoft YaHei"/>
          <w:b/>
          <w:i w:val="0"/>
          <w:color w:val="9B1C1C"/>
          <w:sz w:val="22"/>
        </w:rPr>
        <w:t xml:space="preserve">批量限制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Java的EMBEDDING_BATCH_SIZE必须小于或等于模型容器的MAX_CLIENT_BATCH_SIZE。若Java发送8条而容器只允许4条，将返回HTTP 422和“batch size 8 &gt; maximum allowed batch size 4”。</w:t>
      </w:r>
    </w:p>
    <w:p>
      <w:pPr>
        <w:pStyle w:val="Heading1"/>
      </w:pPr>
      <w:r>
        <w:t>4. 新合同段落预测接口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接口名称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预测新合同段落的变更类型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/service/contract-change/predict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Content-Type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application/json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是否写库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否；预测结果不入库</w:t>
            </w:r>
          </w:p>
        </w:tc>
      </w:tr>
    </w:tbl>
    <w:p>
      <w:pPr>
        <w:spacing w:after="40"/>
      </w:pPr>
    </w:p>
    <w:p>
      <w:pPr>
        <w:pStyle w:val="Heading2"/>
      </w:pPr>
      <w:r>
        <w:t>4.1 请求参数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"paragraph": "基金管理人应当向投资者充分揭示相关风险。"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500"/>
        <w:gridCol w:w="1100"/>
        <w:gridCol w:w="50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1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必填</w:t>
            </w:r>
          </w:p>
        </w:tc>
        <w:tc>
          <w:tcPr>
            <w:tcW w:type="dxa" w:w="50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约束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paragraph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是</w:t>
            </w:r>
          </w:p>
        </w:tc>
        <w:tc>
          <w:tcPr>
            <w:tcW w:type="dxa" w:w="5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已经切分好的单个合同段落；规范化后非空；默认不超过4000字符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rPr>
          <w:rFonts w:ascii="Calibri" w:hAnsi="Calibri" w:eastAsia="Microsoft YaHei"/>
          <w:b/>
          <w:i w:val="0"/>
          <w:color w:val="2E74B5"/>
          <w:sz w:val="22"/>
        </w:rPr>
        <w:t xml:space="preserve">长文本说明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模型可能支持更长Token，但本项目业务层当前限制4000字符。若段落混合多个主题，即使未超过长度也可能造成类型混杂，建议上游按条款或语义段落切分。</w:t>
      </w:r>
    </w:p>
    <w:p>
      <w:pPr>
        <w:pStyle w:val="Heading2"/>
      </w:pPr>
      <w:r>
        <w:t>4.2 响应字段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500"/>
        <w:gridCol w:w="56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6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matchType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EXACT、SEMANTIC或NO_RELIABLE_MATCH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modelVersion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本次预测使用的模型版本标识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maxSimilarity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Number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新段落与最相似历史段落的相似度；最多4位小数；不是正确率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changeTypes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Array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最终认可并返回的变更类型结果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references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Array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按相似度倒序的历史参考段落，默认最多5条</w:t>
            </w:r>
          </w:p>
        </w:tc>
      </w:tr>
    </w:tbl>
    <w:p>
      <w:pPr>
        <w:spacing w:after="40"/>
      </w:pPr>
    </w:p>
    <w:p>
      <w:pPr>
        <w:pStyle w:val="Heading2"/>
      </w:pPr>
      <w:r>
        <w:t>4.3 changeTypes字段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500"/>
        <w:gridCol w:w="56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6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code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变更类型编码；第一版不查询类型名称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score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Number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正常投票时为类型支持权重占比；强单条兜底时为第一名段落相似度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supportCount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参与投票的Top-K样本中包含该类型的样本数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level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HIGH或CANDIDATE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000"/>
        <w:gridCol w:w="57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level</w:t>
            </w:r>
          </w:p>
        </w:tc>
        <w:tc>
          <w:tcPr>
            <w:tcW w:type="dxa" w:w="20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含义</w:t>
            </w:r>
          </w:p>
        </w:tc>
        <w:tc>
          <w:tcPr>
            <w:tcW w:type="dxa" w:w="57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判定规则</w:t>
            </w:r>
          </w:p>
        </w:tc>
      </w:tr>
      <w:t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HIGH</w:t>
            </w:r>
          </w:p>
        </w:tc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高可信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精确命中；或语义投票score&gt;=0.80且supportCount&gt;=2</w:t>
            </w:r>
          </w:p>
        </w:tc>
      </w:tr>
      <w:t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CANDIDATE</w:t>
            </w:r>
          </w:p>
        </w:tc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候选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score&gt;=0.55但未满足HIGH；或触发强单条兜底</w:t>
            </w:r>
          </w:p>
        </w:tc>
      </w:tr>
      <w:t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不返回</w:t>
            </w:r>
          </w:p>
        </w:tc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证据不足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score&lt;0.55且未触发强单条兜底</w:t>
            </w:r>
          </w:p>
        </w:tc>
      </w:tr>
    </w:tbl>
    <w:p>
      <w:pPr>
        <w:spacing w:after="40"/>
      </w:pPr>
    </w:p>
    <w:p>
      <w:pPr>
        <w:pStyle w:val="Heading2"/>
      </w:pPr>
      <w:r>
        <w:t>4.4 references字段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700"/>
        <w:gridCol w:w="54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sampleId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Long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历史样本主键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paragraph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历史段落原文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similarity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Number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新段落与该历史段落的最终余弦相似度，最多4位小数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changeTypeCodes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Array&lt;String&gt;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该历史段落导入时已有的变更类型编码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rPr>
          <w:rFonts w:ascii="Calibri" w:hAnsi="Calibri" w:eastAsia="Microsoft YaHei"/>
          <w:b/>
          <w:i w:val="0"/>
          <w:color w:val="2E74B5"/>
          <w:sz w:val="22"/>
        </w:rPr>
        <w:t xml:space="preserve">核心关系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系统只比较“新段落”和“历史段落”。变更类型不会直接与新段落做向量比较，而是作为历史段落已有标签参与后续投票。</w:t>
      </w:r>
    </w:p>
    <w:p>
      <w:pPr>
        <w:pStyle w:val="Heading2"/>
      </w:pPr>
      <w:r>
        <w:t>4.5 EXACT响应示例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"matchType": "EXACT",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"modelVersion": "bge-base-zh-768-v1",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"maxSimilarity": 1.0,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"changeTypes":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{"code": "20", "score": 1.0, "supportCount": 1, "level": "HIGH"}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"references":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{"sampleId": 3, "paragraph": "历史段落", "similarity": 1.0,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 "changeTypeCodes": ["20"]}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pStyle w:val="Heading2"/>
      </w:pPr>
      <w:r>
        <w:t>4.6 SEMANTIC加权投票响应示例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"matchType": "SEMANTIC",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"modelVersion": "bge-base-zh-768-v1",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"maxSimilarity": 0.9213,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"changeTypes":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{"code": "35", "score": 0.8642, "supportCount": 3, "level": "HIGH"},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{"code": "40", "score": 0.6128, "supportCount": 1, "level": "CANDIDATE"}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"references": [ ...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pStyle w:val="Heading2"/>
      </w:pPr>
      <w:r>
        <w:t>4.7 强单条匹配兜底示例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当Top-K标签分散导致投票没有类型达到0.55，但第一名相似度不低于0.80且至少领先第二名0.05时，返回第一名历史段落的类型，全部标记为CANDIDATE。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"matchType": "SEMANTIC",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"maxSimilarity": 0.8397,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"changeTypes":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{"code": "35", "score": 0.8397, "supportCount": 1, "level": "CANDIDATE"},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{"code": "40", "score": 0.8397, "supportCount": 1, "level": "CANDIDATE"}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"references":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6, "similarity": 0.8397, "changeTypeCodes": ["35", "40"]},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9, "similarity": 0.7439, "changeTypeCodes": ["26", "54"]}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为什么不是HIGH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强单条兜底主要依赖一条历史证据，即使相似度很高，也不能等同于多条样本形成的标签共识。</w:t>
      </w:r>
    </w:p>
    <w:p>
      <w:pPr>
        <w:pStyle w:val="Heading2"/>
      </w:pPr>
      <w:r>
        <w:t>4.8 NO_RELIABLE_MATCH响应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可能存在两种情况：没有任何历史段落达到最低召回相似度；或者找到了相似段落，但类型冲突、投票不足且不满足强单条兜底。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"matchType": "NO_RELIABLE_MATCH",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"modelVersion": "bge-base-zh-768-v1",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"maxSimilarity": 0.84,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"changeTypes": [],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"references":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11, "similarity": 0.84, "changeTypeCodes": ["35", "40"]},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12, "similarity": 0.81, "changeTypeCodes": ["20", "25"]}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表现</w:t>
            </w:r>
          </w:p>
        </w:tc>
        <w:tc>
          <w:tcPr>
            <w:tcW w:type="dxa" w:w="65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业务含义</w:t>
            </w:r>
          </w:p>
        </w:tc>
      </w:tr>
      <w:tr>
        <w:tc>
          <w:tcPr>
            <w:tcW w:type="dxa" w:w="2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references为空</w:t>
            </w:r>
          </w:p>
        </w:tc>
        <w:tc>
          <w:tcPr>
            <w:tcW w:type="dxa" w:w="6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没有历史段落达到最低相似度，或知识库为空</w:t>
            </w:r>
          </w:p>
        </w:tc>
      </w:tr>
      <w:tr>
        <w:tc>
          <w:tcPr>
            <w:tcW w:type="dxa" w:w="2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references不为空</w:t>
            </w:r>
          </w:p>
        </w:tc>
        <w:tc>
          <w:tcPr>
            <w:tcW w:type="dxa" w:w="6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找到了相似证据，但无法可靠确定最终类型，建议人工判断</w:t>
            </w:r>
          </w:p>
        </w:tc>
      </w:tr>
    </w:tbl>
    <w:p>
      <w:pPr>
        <w:spacing w:after="40"/>
      </w:pPr>
    </w:p>
    <w:p>
      <w:pPr>
        <w:pStyle w:val="Heading1"/>
      </w:pPr>
      <w:r>
        <w:t>5. 向量索引重载接口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/service/contract-change/index/reload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请求体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作用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从Oracle重建当前模型版本/维度的内存索引，不重新生成向量</w:t>
            </w:r>
          </w:p>
        </w:tc>
      </w:tr>
    </w:tbl>
    <w:p>
      <w:pPr>
        <w:spacing w:after="40"/>
      </w:pP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curl -X POST "http://localhost:15006/service/contract-change/index/reload" \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-H "Accept: application/json"</w:t>
      </w:r>
    </w:p>
    <w:p>
      <w:pPr>
        <w:spacing w:after="80"/>
      </w:pP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"status": "READY",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"sampleCount": 1000,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"modelVersion": "bge-base-zh-768-v1",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"vectorDimension": 768,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"loadedAt": 1786530000000,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"errorCount": 0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spacing w:before="100" w:after="140"/>
        <w:ind w:left="173" w:right="115"/>
        <w:shd w:fill="F0F9F4"/>
        <w:pBdr>
          <w:left w:val="single" w:sz="18" w:color="247A4D" w:space="8"/>
        </w:pBdr>
      </w:pPr>
      <w:r>
        <w:rPr>
          <w:rFonts w:ascii="Calibri" w:hAnsi="Calibri" w:eastAsia="Microsoft YaHei"/>
          <w:b/>
          <w:i w:val="0"/>
          <w:color w:val="247A4D"/>
          <w:sz w:val="22"/>
        </w:rPr>
        <w:t xml:space="preserve">原子切换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重载期间预测继续使用旧快照。只有新索引完整构建后才一次性替换；查询或构建发生未捕获异常时旧索引继续服务。</w:t>
      </w: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使用场景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人工直接修改SFSX、恢复数据库、服务启动加载失败后恢复、或需要重新同步Oracle有效记录时调用。模型升级后不能仅调用reload，必须先重新生成全部向量。</w:t>
      </w:r>
    </w:p>
    <w:p>
      <w:pPr>
        <w:pStyle w:val="Heading1"/>
      </w:pPr>
      <w:r>
        <w:t>6. 向量索引状态接口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GET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/service/contract-change/index/status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请求体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作用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查询当前实际提供预测服务的JVM内存快照状态</w:t>
            </w:r>
          </w:p>
        </w:tc>
      </w:tr>
    </w:tbl>
    <w:p>
      <w:pPr>
        <w:spacing w:after="40"/>
      </w:pP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curl "http://localhost:15006/service/contract-change/index/status"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字段/状态</w:t>
            </w:r>
          </w:p>
        </w:tc>
        <w:tc>
          <w:tcPr>
            <w:tcW w:type="dxa" w:w="69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含义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READY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存在有效样本，且本次加载没有损坏记录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EMPTY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当前模型版本和维度下没有有效样本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DEGRADED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有样本可用，但部分记录因向量长度或数据错误被跳过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sampleCount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成功加载且实际参与检索的样本数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modelVersion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当前索引绑定的模型版本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vectorDimension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当前索引要求的向量维度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loadedAt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快照生成时间；表现形式受宿主Jackson日期配置影响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errorCount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重载时跳过的损坏记录数</w:t>
            </w:r>
          </w:p>
        </w:tc>
      </w:tr>
    </w:tbl>
    <w:p>
      <w:pPr>
        <w:spacing w:after="40"/>
      </w:pPr>
    </w:p>
    <w:p>
      <w:pPr>
        <w:pStyle w:val="Heading1"/>
      </w:pPr>
      <w:r>
        <w:t>7. 完整比较流程与判定规则</w:t>
      </w:r>
    </w:p>
    <w:p>
      <w:pPr>
        <w:pStyle w:val="Heading2"/>
      </w:pPr>
      <w:r>
        <w:t>7.1 新段落与历史段落如何比较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对新段落执行与导入时相同的文本规范化，并计算SHA-256。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若Hash完全命中历史样本，直接返回该样本类型，matchType=EXACT，不调用模型。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未精确命中时，调用同一Embedding模型生成768维向量并执行L2归一化。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将新向量与所有内存历史向量计算点积；因双方均已归一化，点积等于余弦相似度。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过滤相似度低于0.60的样本，并使用最小堆保留Top 20。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取Top 10进行类型平方加权投票，最多返回Top 5参考段落。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投票无类型时，再判断强单条匹配兜底；仍不满足则返回NO_RELIABLE_MATCH。</w:t>
      </w:r>
    </w:p>
    <w:p>
      <w:pPr>
        <w:pStyle w:val="Heading2"/>
      </w:pPr>
      <w:r>
        <w:t>7.2 加权投票公式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历史样本权重 = similarity²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类型得分 = 支持该类型的历史样本权重之和 / 全部投票样本权重之和</w:t>
      </w:r>
    </w:p>
    <w:p>
      <w:pPr>
        <w:spacing w:after="80"/>
      </w:pP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多标签历史样本中的每个标签都获得该样本完整权重。score表示综合支持度，不是段落相似度；references[].similarity才是段落之间的相似度。</w:t>
      </w:r>
    </w:p>
    <w:p>
      <w:pPr>
        <w:pStyle w:val="Heading2"/>
      </w:pPr>
      <w:r>
        <w:t>7.3 判定总表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4500"/>
        <w:gridCol w:w="3860"/>
      </w:tblGrid>
      <w:tr>
        <w:trPr>
          <w:tblHeader w:val="true"/>
        </w:trPr>
        <w:tc>
          <w:tcPr>
            <w:tcW w:type="dxa" w:w="10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优先级</w:t>
            </w:r>
          </w:p>
        </w:tc>
        <w:tc>
          <w:tcPr>
            <w:tcW w:type="dxa" w:w="4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条件</w:t>
            </w:r>
          </w:p>
        </w:tc>
        <w:tc>
          <w:tcPr>
            <w:tcW w:type="dxa" w:w="38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结果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规范化文本Hash完全相同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EXACT；历史类型全部HIGH；相似度/得分1.0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Top-K投票存在score&gt;=0.55的类型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SEMANTIC；按规则返回HIGH或CANDIDATE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3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投票无结果；第一名&gt;=0.80且领先第二名&gt;=0.05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SEMANTIC；第一名类型作为CANDIDATE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4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召回存在但类型冲突/证据不足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NO_RELIABLE_MATCH；保留references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5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无样本达到0.60或索引为空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NO_RELIABLE_MATCH；changeTypes/references为空</w:t>
            </w:r>
          </w:p>
        </w:tc>
      </w:tr>
    </w:tbl>
    <w:p>
      <w:pPr>
        <w:spacing w:after="40"/>
      </w:pPr>
    </w:p>
    <w:p>
      <w:pPr>
        <w:pStyle w:val="Heading1"/>
      </w:pPr>
      <w:r>
        <w:t>8. 错误处理与常见问题</w:t>
      </w:r>
    </w:p>
    <w:p>
      <w:pPr>
        <w:pStyle w:val="Heading2"/>
      </w:pPr>
      <w:r>
        <w:t>8.1 业务响应码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3980"/>
        <w:gridCol w:w="4180"/>
      </w:tblGrid>
      <w:tr>
        <w:trPr>
          <w:tblHeader w:val="true"/>
        </w:trPr>
        <w:tc>
          <w:tcPr>
            <w:tcW w:type="dxa" w:w="1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code</w:t>
            </w:r>
          </w:p>
        </w:tc>
        <w:tc>
          <w:tcPr>
            <w:tcW w:type="dxa" w:w="398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场景</w:t>
            </w:r>
          </w:p>
        </w:tc>
        <w:tc>
          <w:tcPr>
            <w:tcW w:type="dxa" w:w="418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处理建议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200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正常处理；导入仍需检查data.success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继续解析data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400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空参数、格式错误、段落超长、xlsx不合法等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修正请求或文件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503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Embedding连接失败、超时、4xx/5xx、维度或响应格式异常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检查容器、模型、批量和维度配置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500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数据库、程序或其他未预期异常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结合服务日志和trace-id排查</w:t>
            </w:r>
          </w:p>
        </w:tc>
      </w:tr>
    </w:tbl>
    <w:p>
      <w:pPr>
        <w:spacing w:after="40"/>
      </w:pPr>
    </w:p>
    <w:p>
      <w:pPr>
        <w:pStyle w:val="Heading2"/>
      </w:pPr>
      <w:r>
        <w:t>8.2 常见问题对照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2820"/>
        <w:gridCol w:w="3440"/>
      </w:tblGrid>
      <w:tr>
        <w:trPr>
          <w:tblHeader w:val="true"/>
        </w:trPr>
        <w:tc>
          <w:tcPr>
            <w:tcW w:type="dxa" w:w="3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现象/日志</w:t>
            </w:r>
          </w:p>
        </w:tc>
        <w:tc>
          <w:tcPr>
            <w:tcW w:type="dxa" w:w="282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原因</w:t>
            </w:r>
          </w:p>
        </w:tc>
        <w:tc>
          <w:tcPr>
            <w:tcW w:type="dxa" w:w="344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解决办法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Invalid bound statement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Mapper XML未加载或namespace/id不一致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检查mapper-locations、XML打包和namespace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getBLOB not implemented for T4CClobAccessor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VECTOR_DATA实际为CLOB或SQL取错列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无数据时直接ALTER/MODIFY为BLOB或重建字段；确认映射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 422: batch size 8 &gt; maximum 4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Java批量大于模型容器上限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将EMBEDDING_BATCH_SIZE改为4，或提高容器MAX_CLIENT_BATCH_SIZE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Embedding向量维度不是768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模型输出维度与Java配置不一致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统一模型、输出维度、数据库VECTOR_DIM和Java配置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matchType=SEMANTIC但类型为空（旧版本）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旧逻辑仅因召回存在即返回SEMANTIC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使用已优化版本；无类型时返回NO_RELIABLE_MATCH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最高相似度高但无类型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标签分散、类型冲突或前两名过近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检查references；满足强匹配条件时新版会返回第一名候选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indexReloaded=false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入库成功但索引刷新失败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数据无需重导；修复原因后调用/index/reload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请求耗时很长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CPU首次推理、批次多或长文本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模型预热、拆分Excel、压测batch-size及网关超时</w:t>
            </w:r>
          </w:p>
        </w:tc>
      </w:tr>
    </w:tbl>
    <w:p>
      <w:pPr>
        <w:spacing w:after="40"/>
      </w:pPr>
    </w:p>
    <w:p>
      <w:pPr>
        <w:pStyle w:val="Heading1"/>
      </w:pPr>
      <w:r>
        <w:t>9. 推荐联调顺序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确认Oracle脚本已执行，Java服务和Embedding容器均已启动。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访问Actuator健康检查，确认整体健康；单独调用模型/health确认容器可用。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调用GET /index/status，首次应看到EMPTY或已有样本数量。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准备2～10条格式正确的Excel，调用导入接口并确认success=true、indexReloaded=true。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再次查询/index/status，确认sampleCount与数据库有效样本数量一致。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用完全相同的历史段落调用/predict，验证EXACT。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对历史段落改写后调用/predict，验证SEMANTIC、references、score和level。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使用无关文本验证NO_RELIABLE_MATCH，并检查类型不会被强行返回。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进行100～1000条导入压测，依据CPU、模型和网关设置确定生产批量及超时。</w:t>
      </w:r>
    </w:p>
    <w:p>
      <w:pPr>
        <w:pStyle w:val="Heading2"/>
      </w:pPr>
      <w:r>
        <w:t>9.1 Postman检查清单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请求URL包含正确的端口、context-path和接口路径。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预测请求Body选择raw/JSON，导入请求Body选择form-data并使用file类型。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不要只看HTTP 200；同时检查外层code以及导入data.success。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保存环境变量baseUrl，避免开发、测试、生产地址手工替换错误。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不要在日志或截图中泄露完整合同正文、数据库密码和Authorization令牌。</w:t>
      </w:r>
    </w:p>
    <w:p>
      <w:pPr>
        <w:pStyle w:val="Heading2"/>
      </w:pPr>
      <w:r>
        <w:t>9.2 关键配置清单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2500"/>
        <w:gridCol w:w="3460"/>
      </w:tblGrid>
      <w:tr>
        <w:trPr>
          <w:tblHeader w:val="true"/>
        </w:trPr>
        <w:tc>
          <w:tcPr>
            <w:tcW w:type="dxa" w:w="34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环境变量</w:t>
            </w:r>
          </w:p>
        </w:tc>
        <w:tc>
          <w:tcPr>
            <w:tcW w:type="dxa" w:w="2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默认值</w:t>
            </w:r>
          </w:p>
        </w:tc>
        <w:tc>
          <w:tcPr>
            <w:tcW w:type="dxa" w:w="3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作用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SERVER_PORT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8080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Java服务端口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ORACLE_URL/USERNAME/PASSWORD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开发占位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Oracle连接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EMBEDDING_URL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http://127.0.0.1:8081/embed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模型批量向量接口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EMBEDDING_MODEL_VERSION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bge-base-zh-768-v1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数据隔离和模型版本标识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EMBEDDING_DIMENSION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768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模型输出和BLOB解码维度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EMBEDDING_BATCH_SIZE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8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单次模型调用文本数；不得超过容器上限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IMPORT_MAX_ROWS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1000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单个Excel最大非空行数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SEARCH_MIN_SIMILARITY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0.60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历史样本进入召回的最低相似度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SEARCH_CANDIDATE_THRESHOLD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0.55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类型可返回的最低投票得分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SEARCH_HIGH_THRESHOLD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0.80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高可信类型得分阈值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SEARCH_MIN_SUPPORT_COUNT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2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HIGH所需最少支持样本数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SEARCH_STRONG_MATCH_THRESHOLD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0.80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强单条兜底第一名最低相似度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SEARCH_STRONG_MATCH_MIN_MARGIN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0.05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第一名领先第二名的最小差值</w:t>
            </w:r>
          </w:p>
        </w:tc>
      </w:tr>
    </w:tbl>
    <w:p>
      <w:pPr>
        <w:spacing w:after="40"/>
      </w:pPr>
    </w:p>
    <w:p>
      <w:pPr>
        <w:pStyle w:val="Heading1"/>
      </w:pPr>
      <w:r>
        <w:t>附录A：接口一览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900"/>
        <w:gridCol w:w="2700"/>
        <w:gridCol w:w="1660"/>
      </w:tblGrid>
      <w:tr>
        <w:trPr>
          <w:tblHeader w:val="true"/>
        </w:trPr>
        <w:tc>
          <w:tcPr>
            <w:tcW w:type="dxa" w:w="1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方法</w:t>
            </w:r>
          </w:p>
        </w:tc>
        <w:tc>
          <w:tcPr>
            <w:tcW w:type="dxa" w:w="3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路径</w:t>
            </w:r>
          </w:p>
        </w:tc>
        <w:tc>
          <w:tcPr>
            <w:tcW w:type="dxa" w:w="2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用途</w:t>
            </w:r>
          </w:p>
        </w:tc>
        <w:tc>
          <w:tcPr>
            <w:tcW w:type="dxa" w:w="16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请求体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/service/contract-change/samples/import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导入历史样本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multipart file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/service/contract-change/predict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预测新段落类型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JSON paragraph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/service/contract-change/index/reload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从Oracle重载索引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GET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/service/contract-change/index/status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查询索引状态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</w:tbl>
    <w:p>
      <w:pPr>
        <w:spacing w:after="40"/>
      </w:pPr>
    </w:p>
    <w:p>
      <w:pPr>
        <w:pStyle w:val="Heading1"/>
      </w:pPr>
      <w:r>
        <w:t>附录B：术语说明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术语</w:t>
            </w:r>
          </w:p>
        </w:tc>
        <w:tc>
          <w:tcPr>
            <w:tcW w:type="dxa" w:w="70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历史样本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已确认“合同段落—变更类型编码”关系并已生成向量的数据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规范化文本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统一空白和换行后的段落；用于Hash和向量生成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TEXT_HASH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规范化段落的SHA-256，用于幂等去重和精确命中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Embedding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将一段文本转换为固定维度语义向量的模型过程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余弦相似度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新段落向量与历史段落向量的接近程度；不是准确率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Top-K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按相似度选择的前K条历史样本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加权投票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按similarity²为历史样本赋权，再聚合其类型标签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强单条兜底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投票无结果时，第一名足够高且明显领先第二名则返回其类型候选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内存索引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Oracle有效样本在当前JVM中的只读向量快照</w:t>
            </w:r>
          </w:p>
        </w:tc>
      </w:tr>
    </w:tbl>
    <w:p>
      <w:pPr>
        <w:spacing w:after="40"/>
      </w:pPr>
    </w:p>
    <w:p>
      <w:pPr>
        <w:pStyle w:val="Heading1"/>
      </w:pPr>
      <w:r>
        <w:t>附录C：上线验收建议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使用同一模型镜像摘要、同一模型文件和同一向量维度部署开发与生产。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模型升级后重新生成全部历史向量，不混用不同模型版本。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准备人工确认的合同段落测试集，分别统计EXACT、SEMANTIC、候选和无可靠匹配。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基于实际测试集调整0.60、0.55、0.80和0.05等阈值，不以少量个案直接调参。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生产监控模型调用耗时、HTTP 422/5xx、导入失败率、索引DEGRADED及sampleCount异常。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网关超时必须覆盖最大同步导入耗时；若经常导入大文件，后续再升级为可靠异步任务。</w:t>
      </w: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rPr>
          <w:rFonts w:ascii="Calibri" w:hAnsi="Calibri" w:eastAsia="Microsoft YaHei"/>
          <w:b/>
          <w:i w:val="0"/>
          <w:color w:val="2E74B5"/>
          <w:sz w:val="22"/>
        </w:rPr>
        <w:t xml:space="preserve">文档结束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接口行为以部署版本源码、Swagger及运行配置为最终依据。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24" w:bottom="1037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Microsoft YaHei"/>
        <w:b w:val="0"/>
        <w:i w:val="0"/>
        <w:color w:val="667085"/>
        <w:sz w:val="17"/>
      </w:rPr>
      <w:t xml:space="preserve">第 </w:t>
    </w:r>
    <w:r>
      <w:fldChar w:fldCharType="begin"/>
      <w:instrText xml:space="preserve"> PAGE </w:instrText>
      <w:fldChar w:fldCharType="end"/>
    </w:r>
    <w:r>
      <w:rPr>
        <w:rFonts w:ascii="Calibri" w:hAnsi="Calibri" w:eastAsia="Microsoft YaHei"/>
        <w:b w:val="0"/>
        <w:i w:val="0"/>
        <w:color w:val="667085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b w:val="0"/>
        <w:i w:val="0"/>
        <w:color w:val="667085"/>
        <w:sz w:val="17"/>
      </w:rPr>
      <w:t>合同段落变更类型识别服务  |  接口调用说明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