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200" w:after="160"/>
        <w:jc w:val="center"/>
      </w:pPr>
      <w:r>
        <w:rPr>
          <w:rFonts w:ascii="Calibri" w:hAnsi="Calibri" w:eastAsia="Microsoft YaHei"/>
          <w:b/>
          <w:i w:val="0"/>
          <w:color w:val="1F4D78"/>
          <w:sz w:val="56"/>
        </w:rPr>
        <w:t>合同段落变更类型识别服务</w:t>
      </w:r>
    </w:p>
    <w:p>
      <w:pPr>
        <w:spacing w:after="560"/>
        <w:jc w:val="center"/>
      </w:pPr>
      <w:r>
        <w:rPr>
          <w:rFonts w:ascii="Calibri" w:hAnsi="Calibri" w:eastAsia="Microsoft YaHei"/>
          <w:b/>
          <w:i w:val="0"/>
          <w:color w:val="2E74B5"/>
          <w:sz w:val="40"/>
        </w:rPr>
        <w:t>接口调用说明书</w:t>
      </w:r>
    </w:p>
    <w:p>
      <w:pPr>
        <w:spacing w:after="1280"/>
        <w:jc w:val="center"/>
      </w:pPr>
      <w:r>
        <w:rPr>
          <w:rFonts w:ascii="Calibri" w:hAnsi="Calibri" w:eastAsia="Microsoft YaHei"/>
          <w:b w:val="0"/>
          <w:i w:val="0"/>
          <w:color w:val="667085"/>
          <w:sz w:val="24"/>
        </w:rPr>
        <w:t>历史样本导入 · 段落预测 · 向量索引运维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文档版本</w:t>
            </w:r>
          </w:p>
        </w:tc>
        <w:tc>
          <w:tcPr>
            <w:tcW w:type="dxa" w:w="7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V1.1</w:t>
            </w:r>
          </w:p>
        </w:tc>
      </w:tr>
      <w:tr>
        <w:tc>
          <w:tcPr>
            <w:tcW w:type="dxa" w:w="2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编制日期</w:t>
            </w:r>
          </w:p>
        </w:tc>
        <w:tc>
          <w:tcPr>
            <w:tcW w:type="dxa" w:w="7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2026年8月24日</w:t>
            </w:r>
          </w:p>
        </w:tc>
      </w:tr>
      <w:tr>
        <w:tc>
          <w:tcPr>
            <w:tcW w:type="dxa" w:w="2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  <w:i w:val="0"/>
                <w:color w:val="1F4D78"/>
                <w:sz w:val="20"/>
              </w:rPr>
              <w:t>适用版本</w:t>
            </w:r>
          </w:p>
        </w:tc>
        <w:tc>
          <w:tcPr>
            <w:tcW w:type="dxa" w:w="7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 w:val="0"/>
                <w:i w:val="0"/>
                <w:color w:val="1F2937"/>
                <w:sz w:val="20"/>
              </w:rPr>
              <w:t>glxt-service-contract-change 1.0.0</w:t>
            </w:r>
          </w:p>
        </w:tc>
      </w:tr>
      <w:tr>
        <w:tc>
          <w:tcPr>
            <w:tcW w:type="dxa" w:w="2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技术栈</w:t>
            </w:r>
          </w:p>
        </w:tc>
        <w:tc>
          <w:tcPr>
            <w:tcW w:type="dxa" w:w="7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Java 8 / Spring Boot 2.1.5 / Oracle / 内网统一Embedding网关</w:t>
            </w:r>
          </w:p>
        </w:tc>
      </w:tr>
      <w:tr>
        <w:tc>
          <w:tcPr>
            <w:tcW w:type="dxa" w:w="2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  <w:i w:val="0"/>
                <w:color w:val="1F4D78"/>
                <w:sz w:val="20"/>
              </w:rPr>
              <w:t>读者</w:t>
            </w:r>
          </w:p>
        </w:tc>
        <w:tc>
          <w:tcPr>
            <w:tcW w:type="dxa" w:w="7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 w:val="0"/>
                <w:i w:val="0"/>
                <w:color w:val="1F2937"/>
                <w:sz w:val="20"/>
              </w:rPr>
              <w:t>前端开发、后端集成、测试、运维及业务验收人员</w:t>
            </w:r>
          </w:p>
        </w:tc>
      </w:tr>
    </w:tbl>
    <w:p>
      <w:pPr>
        <w:spacing w:before="720"/>
        <w:jc w:val="center"/>
      </w:pPr>
      <w:r>
        <w:rPr>
          <w:rFonts w:ascii="Calibri" w:hAnsi="Calibri" w:eastAsia="Microsoft YaHei"/>
          <w:b w:val="0"/>
          <w:i w:val="0"/>
          <w:color w:val="667085"/>
          <w:sz w:val="18"/>
        </w:rPr>
        <w:t>内部技术文档</w:t>
      </w:r>
    </w:p>
    <w:p>
      <w:r>
        <w:br w:type="page"/>
      </w:r>
    </w:p>
    <w:p>
      <w:pPr>
        <w:pStyle w:val="Heading1"/>
      </w:pPr>
      <w:r>
        <w:t>文档使用说明</w:t>
      </w:r>
    </w:p>
    <w:p>
      <w:pPr>
        <w:spacing w:before="100" w:after="140"/>
        <w:ind w:left="173" w:right="115"/>
        <w:shd w:fill="F4F6F9"/>
        <w:pBdr>
          <w:left w:val="single" w:sz="18" w:color="2E74B5" w:space="8"/>
        </w:pBdr>
      </w:pPr>
      <w:r>
        <w:rPr>
          <w:rFonts w:ascii="Calibri" w:hAnsi="Calibri" w:eastAsia="Microsoft YaHei"/>
          <w:b/>
          <w:i w:val="0"/>
          <w:color w:val="2E74B5"/>
          <w:sz w:val="22"/>
        </w:rPr>
        <w:t xml:space="preserve">适用范围  </w:t>
      </w:r>
      <w:r>
        <w:rPr>
          <w:rFonts w:ascii="Calibri" w:hAnsi="Calibri" w:eastAsia="Microsoft YaHei"/>
          <w:b w:val="0"/>
          <w:i w:val="0"/>
          <w:color w:val="1F2937"/>
          <w:sz w:val="22"/>
        </w:rPr>
        <w:t>本文档依据当前工程源码和配置编制，覆盖第一版全部对外业务接口及联调注意事项。</w:t>
      </w:r>
    </w:p>
    <w:p>
      <w:r>
        <w:rPr>
          <w:rFonts w:ascii="Calibri" w:hAnsi="Calibri" w:eastAsia="Microsoft YaHei"/>
          <w:b w:val="0"/>
          <w:i w:val="0"/>
          <w:color w:val="1F2937"/>
          <w:sz w:val="22"/>
        </w:rPr>
        <w:t>本文档描述的核心接口共4个：历史样本Excel导入、新段落预测、索引重载和索引状态查询。接口不负责解析整份PDF或Word，不负责维护变更类型名称，也不保存预测结果。</w:t>
      </w:r>
    </w:p>
    <w:p>
      <w:pPr>
        <w:pStyle w:val="Heading2"/>
      </w:pPr>
      <w:r>
        <w:t>快速目录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8260"/>
      </w:tblGrid>
      <w:tr>
        <w:trPr>
          <w:tblHeader w:val="true"/>
        </w:trPr>
        <w:tc>
          <w:tcPr>
            <w:tcW w:type="dxa" w:w="11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章节</w:t>
            </w:r>
          </w:p>
        </w:tc>
        <w:tc>
          <w:tcPr>
            <w:tcW w:type="dxa" w:w="82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内容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1</w:t>
            </w:r>
          </w:p>
        </w:tc>
        <w:tc>
          <w:tcPr>
            <w:tcW w:type="dxa" w:w="8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服务概览与调用前提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2</w:t>
            </w:r>
          </w:p>
        </w:tc>
        <w:tc>
          <w:tcPr>
            <w:tcW w:type="dxa" w:w="8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统一请求与响应约定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3</w:t>
            </w:r>
          </w:p>
        </w:tc>
        <w:tc>
          <w:tcPr>
            <w:tcW w:type="dxa" w:w="8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历史样本Excel导入接口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4</w:t>
            </w:r>
          </w:p>
        </w:tc>
        <w:tc>
          <w:tcPr>
            <w:tcW w:type="dxa" w:w="8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新合同段落预测接口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5</w:t>
            </w:r>
          </w:p>
        </w:tc>
        <w:tc>
          <w:tcPr>
            <w:tcW w:type="dxa" w:w="8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向量索引重载接口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6</w:t>
            </w:r>
          </w:p>
        </w:tc>
        <w:tc>
          <w:tcPr>
            <w:tcW w:type="dxa" w:w="8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向量索引状态接口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7</w:t>
            </w:r>
          </w:p>
        </w:tc>
        <w:tc>
          <w:tcPr>
            <w:tcW w:type="dxa" w:w="8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完整业务流程与判定规则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8</w:t>
            </w:r>
          </w:p>
        </w:tc>
        <w:tc>
          <w:tcPr>
            <w:tcW w:type="dxa" w:w="8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错误处理与排查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9</w:t>
            </w:r>
          </w:p>
        </w:tc>
        <w:tc>
          <w:tcPr>
            <w:tcW w:type="dxa" w:w="8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联调步骤与配置清单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附录</w:t>
            </w:r>
          </w:p>
        </w:tc>
        <w:tc>
          <w:tcPr>
            <w:tcW w:type="dxa" w:w="8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字段字典、术语和示例</w:t>
            </w:r>
          </w:p>
        </w:tc>
      </w:tr>
    </w:tbl>
    <w:p>
      <w:pPr>
        <w:spacing w:after="40"/>
      </w:pPr>
    </w:p>
    <w:p>
      <w:pPr>
        <w:pStyle w:val="Heading1"/>
      </w:pPr>
      <w:r>
        <w:t>1. 服务概览与调用前提</w:t>
      </w:r>
    </w:p>
    <w:p>
      <w:pPr>
        <w:pStyle w:val="Heading2"/>
      </w:pPr>
      <w:r>
        <w:t>1.1 服务职责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将历史合同段落及其已确认的变更类型编码从Excel导入Oracle。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调用公司内网统一Embedding网关生成向量，并将历史向量加载到JVM内存索引。</w:t>
      </w:r>
    </w:p>
    <w:p>
      <w:pPr>
        <w:pStyle w:val="ListBullet"/>
      </w:pPr>
      <w:r>
        <w:t>将新段落与历史段落进行语义相似度比较，通过前10条相似记录加权投票返回类型。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提供索引重载及状态查询能力，便于部署和运维检查。</w:t>
      </w:r>
    </w:p>
    <w:p>
      <w:pPr>
        <w:pStyle w:val="Heading2"/>
      </w:pPr>
      <w:r>
        <w:t>1.2 调用前提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4050"/>
        <w:gridCol w:w="3810"/>
      </w:tblGrid>
      <w:tr>
        <w:trPr>
          <w:tblHeader w:val="true"/>
        </w:trPr>
        <w:tc>
          <w:tcPr>
            <w:tcW w:type="dxa" w:w="15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依赖</w:t>
            </w:r>
          </w:p>
        </w:tc>
        <w:tc>
          <w:tcPr>
            <w:tcW w:type="dxa" w:w="405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要求</w:t>
            </w:r>
          </w:p>
        </w:tc>
        <w:tc>
          <w:tcPr>
            <w:tcW w:type="dxa" w:w="381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不满足时的影响</w:t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Oracle</w:t>
            </w:r>
          </w:p>
        </w:tc>
        <w:tc>
          <w:tcPr>
            <w:tcW w:type="dxa" w:w="40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已执行01_schema.sql，TPIF_HTDLYB可读写</w:t>
            </w:r>
          </w:p>
        </w:tc>
        <w:tc>
          <w:tcPr>
            <w:tcW w:type="dxa" w:w="38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导入、启动加载和索引重载失败</w:t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统一Embedding网关</w:t>
            </w:r>
          </w:p>
        </w:tc>
        <w:tc>
          <w:tcPr>
            <w:tcW w:type="dxa" w:w="40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完整接口URL、API Key、模型名称、模型版本和向量维度均已由平台确认</w:t>
            </w:r>
          </w:p>
        </w:tc>
        <w:tc>
          <w:tcPr>
            <w:tcW w:type="dxa" w:w="38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导入和非精确预测失败；关键配置缺失时应用启动失败</w:t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模型版本</w:t>
            </w:r>
          </w:p>
        </w:tc>
        <w:tc>
          <w:tcPr>
            <w:tcW w:type="dxa" w:w="40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历史向量与当前MODEL_VERSION及VECTOR_DIM一致</w:t>
            </w:r>
          </w:p>
        </w:tc>
        <w:tc>
          <w:tcPr>
            <w:tcW w:type="dxa" w:w="38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旧模型数据不会进入当前索引</w:t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历史数据</w:t>
            </w:r>
          </w:p>
        </w:tc>
        <w:tc>
          <w:tcPr>
            <w:tcW w:type="dxa" w:w="40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至少有一条SFSX=1的有效样本</w:t>
            </w:r>
          </w:p>
        </w:tc>
        <w:tc>
          <w:tcPr>
            <w:tcW w:type="dxa" w:w="38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预测只能返回NO_RELIABLE_MATCH</w:t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上游切分</w:t>
            </w:r>
          </w:p>
        </w:tc>
        <w:tc>
          <w:tcPr>
            <w:tcW w:type="dxa" w:w="40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请求内容已经是单个段落</w:t>
            </w:r>
          </w:p>
        </w:tc>
        <w:tc>
          <w:tcPr>
            <w:tcW w:type="dxa" w:w="38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超长或混合主题文本会降低匹配质量</w:t>
            </w:r>
          </w:p>
        </w:tc>
      </w:tr>
    </w:tbl>
    <w:p>
      <w:pPr>
        <w:spacing w:after="40"/>
      </w:pPr>
    </w:p>
    <w:p>
      <w:pPr>
        <w:pStyle w:val="Heading2"/>
      </w:pPr>
      <w:r>
        <w:t>1.3 服务地址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500"/>
        <w:gridCol w:w="39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场景</w:t>
            </w:r>
          </w:p>
        </w:tc>
        <w:tc>
          <w:tcPr>
            <w:tcW w:type="dxa" w:w="35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基础地址示例</w:t>
            </w:r>
          </w:p>
        </w:tc>
        <w:tc>
          <w:tcPr>
            <w:tcW w:type="dxa" w:w="39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完整预测地址示例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独立模块默认配置</w:t>
            </w:r>
          </w:p>
        </w:tc>
        <w:tc>
          <w:tcPr>
            <w:tcW w:type="dxa" w:w="3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http://localhost:8080/glxt-service-contract-change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http://localhost:8080/glxt-service-contract-change/service/contract-change/predict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当前集成环境示例</w:t>
            </w:r>
          </w:p>
        </w:tc>
        <w:tc>
          <w:tcPr>
            <w:tcW w:type="dxa" w:w="3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http://localhost:15006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http://localhost:15006/service/contract-change/predict</w:t>
            </w:r>
          </w:p>
        </w:tc>
      </w:tr>
    </w:tbl>
    <w:p>
      <w:pPr>
        <w:spacing w:after="40"/>
      </w:pPr>
    </w:p>
    <w:p>
      <w:pPr>
        <w:spacing w:before="100" w:after="140"/>
        <w:ind w:left="173" w:right="115"/>
        <w:shd w:fill="FFF8E8"/>
        <w:pBdr>
          <w:left w:val="single" w:sz="18" w:color="7A5A00" w:space="8"/>
        </w:pBdr>
      </w:pPr>
      <w:r>
        <w:rPr>
          <w:rFonts w:ascii="Calibri" w:hAnsi="Calibri" w:eastAsia="Microsoft YaHei"/>
          <w:b/>
          <w:i w:val="0"/>
          <w:color w:val="7A5A00"/>
          <w:sz w:val="22"/>
        </w:rPr>
        <w:t xml:space="preserve">注意  </w:t>
      </w:r>
      <w:r>
        <w:rPr>
          <w:rFonts w:ascii="Calibri" w:hAnsi="Calibri" w:eastAsia="Microsoft YaHei"/>
          <w:b w:val="0"/>
          <w:i w:val="0"/>
          <w:color w:val="1F2937"/>
          <w:sz w:val="22"/>
        </w:rPr>
        <w:t>最终地址由端口、context-path、网关路由共同决定。若工程被合入已有服务，通常使用集成服务的端口和上下文，以实际Swagger或部署路由为准。</w:t>
      </w:r>
    </w:p>
    <w:p>
      <w:pPr>
        <w:pStyle w:val="Heading2"/>
      </w:pPr>
      <w:r>
        <w:t>1.4 统一Embedding网关调用约定</w:t>
      </w:r>
    </w:p>
    <w:p>
      <w:r>
        <w:t>Java服务通过平台确认的完整Embedding URL调用统一模型网关，不拼接路径，也不再部署Hugging Face、Python服务或模型Docker容器。</w:t>
      </w:r>
    </w:p>
    <w:p>
      <w:r>
        <w:t>网关请求使用Authorization: Bearer &lt;API Key&gt;和user_id请求头；请求体为{"model":"模型名称","input":"合同段落"}，响应向量读取data[].embedding。</w:t>
      </w:r>
    </w:p>
    <w:p>
      <w:r>
        <w:t>API Key只从服务端安全配置读取，不接收或转发业务接口Authorization。模型名称、版本和维度没有代码默认值，平台未确认前不能部署。</w:t>
      </w:r>
    </w:p>
    <w:p>
      <w:r>
        <w:t>批量能力尚未确认时EMBEDDING_BATCH_SIZE保持为1；平台确认input数组和单批上限后，只修改环境变量即可。</w:t>
      </w:r>
    </w:p>
    <w:p>
      <w:pPr>
        <w:pStyle w:val="Heading1"/>
      </w:pPr>
      <w:r>
        <w:t>2. 统一请求与响应约定</w:t>
      </w:r>
    </w:p>
    <w:p>
      <w:pPr>
        <w:pStyle w:val="Heading2"/>
      </w:pPr>
      <w:r>
        <w:t>2.1 通用请求头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600"/>
        <w:gridCol w:w="55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请求头</w:t>
            </w:r>
          </w:p>
        </w:tc>
        <w:tc>
          <w:tcPr>
            <w:tcW w:type="dxa" w:w="16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是否必需</w:t>
            </w:r>
          </w:p>
        </w:tc>
        <w:tc>
          <w:tcPr>
            <w:tcW w:type="dxa" w:w="55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说明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Content-Type</w:t>
            </w:r>
          </w:p>
        </w:tc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是</w:t>
            </w:r>
          </w:p>
        </w:tc>
        <w:tc>
          <w:tcPr>
            <w:tcW w:type="dxa" w:w="5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预测/运维接口使用application/json；导入使用multipart/form-data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Accept</w:t>
            </w:r>
          </w:p>
        </w:tc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建议</w:t>
            </w:r>
          </w:p>
        </w:tc>
        <w:tc>
          <w:tcPr>
            <w:tcW w:type="dxa" w:w="5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application/json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Authorization</w:t>
            </w:r>
          </w:p>
        </w:tc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视集成环境</w:t>
            </w:r>
          </w:p>
        </w:tc>
        <w:tc>
          <w:tcPr>
            <w:tcW w:type="dxa" w:w="5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业务接口鉴权令牌不会转发给模型平台；模型平台使用服务端API Key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user_id</w:t>
            </w:r>
          </w:p>
        </w:tc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导入/预测必需</w:t>
            </w:r>
          </w:p>
        </w:tc>
        <w:tc>
          <w:tcPr>
            <w:tcW w:type="dxa" w:w="5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实际操作人工号；只透传模型平台审计，不写库、不记录日志；反向代理必须允许并转发下划线请求头</w:t>
            </w:r>
          </w:p>
        </w:tc>
      </w:tr>
      <w:tr>
        <w:tc>
          <w:tcPr>
            <w:tcW w:type="dxa" w:w="2200"/>
          </w:tcPr>
          <w:p>
            <w:r>
              <w:t>Trace-Id等</w:t>
            </w:r>
          </w:p>
        </w:tc>
        <w:tc>
          <w:tcPr>
            <w:tcW w:type="dxa" w:w="1600"/>
          </w:tcPr>
          <w:p>
            <w:r>
              <w:t>视集成环境</w:t>
            </w:r>
          </w:p>
        </w:tc>
        <w:tc>
          <w:tcPr>
            <w:tcW w:type="dxa" w:w="5560"/>
          </w:tcPr>
          <w:p>
            <w:r>
              <w:t>由网关或现有系统链路追踪规范决定</w:t>
            </w:r>
          </w:p>
        </w:tc>
      </w:tr>
    </w:tbl>
    <w:p>
      <w:pPr>
        <w:spacing w:after="40"/>
      </w:pPr>
    </w:p>
    <w:p>
      <w:pPr>
        <w:pStyle w:val="Heading2"/>
      </w:pPr>
      <w:r>
        <w:t>2.2 统一响应外壳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"code": 200,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"message": "操作成功",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"data": { ... 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}</w:t>
      </w:r>
    </w:p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100"/>
        <w:gridCol w:w="55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字段</w:t>
            </w:r>
          </w:p>
        </w:tc>
        <w:tc>
          <w:tcPr>
            <w:tcW w:type="dxa" w:w="21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类型</w:t>
            </w:r>
          </w:p>
        </w:tc>
        <w:tc>
          <w:tcPr>
            <w:tcW w:type="dxa" w:w="55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说明</w:t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code</w:t>
            </w:r>
          </w:p>
        </w:tc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Integer</w:t>
            </w:r>
          </w:p>
        </w:tc>
        <w:tc>
          <w:tcPr>
            <w:tcW w:type="dxa" w:w="5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业务响应码。独立模块：200成功、400参数/业务校验、503模型不可用、500未预期异常</w:t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message</w:t>
            </w:r>
          </w:p>
        </w:tc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String</w:t>
            </w:r>
          </w:p>
        </w:tc>
        <w:tc>
          <w:tcPr>
            <w:tcW w:type="dxa" w:w="5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面向调用方的结果说明</w:t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data</w:t>
            </w:r>
          </w:p>
        </w:tc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Object/null</w:t>
            </w:r>
          </w:p>
        </w:tc>
        <w:tc>
          <w:tcPr>
            <w:tcW w:type="dxa" w:w="5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具体接口数据；异常时通常为null</w:t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success</w:t>
            </w:r>
          </w:p>
        </w:tc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Boolean（集成环境可能存在）</w:t>
            </w:r>
          </w:p>
        </w:tc>
        <w:tc>
          <w:tcPr>
            <w:tcW w:type="dxa" w:w="5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若宿主系统统一响应增加该字段，true表示响应外壳成功</w:t>
            </w:r>
          </w:p>
        </w:tc>
      </w:tr>
    </w:tbl>
    <w:p>
      <w:pPr>
        <w:spacing w:after="40"/>
      </w:pPr>
    </w:p>
    <w:p>
      <w:pPr>
        <w:spacing w:before="100" w:after="140"/>
        <w:ind w:left="173" w:right="115"/>
        <w:shd w:fill="FFF8E8"/>
        <w:pBdr>
          <w:left w:val="single" w:sz="18" w:color="7A5A00" w:space="8"/>
        </w:pBdr>
      </w:pPr>
      <w:r>
        <w:rPr>
          <w:rFonts w:ascii="Calibri" w:hAnsi="Calibri" w:eastAsia="Microsoft YaHei"/>
          <w:b/>
          <w:i w:val="0"/>
          <w:color w:val="7A5A00"/>
          <w:sz w:val="22"/>
        </w:rPr>
        <w:t xml:space="preserve">集成差异  </w:t>
      </w:r>
      <w:r>
        <w:rPr>
          <w:rFonts w:ascii="Calibri" w:hAnsi="Calibri" w:eastAsia="Microsoft YaHei"/>
          <w:b w:val="0"/>
          <w:i w:val="0"/>
          <w:color w:val="1F2937"/>
          <w:sz w:val="22"/>
        </w:rPr>
        <w:t>截图中的宿主项目使用code=0、success=true表示成功；独立模块源码使用code=200。调用方应按最终集成项目的统一响应规范判断，data内部字段不受影响。</w:t>
      </w:r>
    </w:p>
    <w:p>
      <w:pPr>
        <w:spacing w:before="100" w:after="140"/>
        <w:ind w:left="173" w:right="115"/>
        <w:shd w:fill="FFF1F0"/>
        <w:pBdr>
          <w:left w:val="single" w:sz="18" w:color="9B1C1C" w:space="8"/>
        </w:pBdr>
      </w:pPr>
      <w:r>
        <w:rPr>
          <w:rFonts w:ascii="Calibri" w:hAnsi="Calibri" w:eastAsia="Microsoft YaHei"/>
          <w:b/>
          <w:i w:val="0"/>
          <w:color w:val="9B1C1C"/>
          <w:sz w:val="22"/>
        </w:rPr>
        <w:t xml:space="preserve">HTTP状态  </w:t>
      </w:r>
      <w:r>
        <w:rPr>
          <w:rFonts w:ascii="Calibri" w:hAnsi="Calibri" w:eastAsia="Microsoft YaHei"/>
          <w:b w:val="0"/>
          <w:i w:val="0"/>
          <w:color w:val="1F2937"/>
          <w:sz w:val="22"/>
        </w:rPr>
        <w:t>当前异常处理器主要通过响应体code表达业务状态，实际HTTP状态可能仍为200。客户端不要只判断HTTP 200，应同时判断响应体code或宿主系统success字段。</w:t>
      </w:r>
    </w:p>
    <w:p>
      <w:pPr>
        <w:pStyle w:val="Heading2"/>
      </w:pPr>
      <w:r>
        <w:t>2.3 数值精度</w:t>
      </w:r>
    </w:p>
    <w:p>
      <w:r>
        <w:rPr>
          <w:rFonts w:ascii="Calibri" w:hAnsi="Calibri" w:eastAsia="Microsoft YaHei"/>
          <w:b w:val="0"/>
          <w:i w:val="0"/>
          <w:color w:val="1F2937"/>
          <w:sz w:val="22"/>
        </w:rPr>
        <w:t>接口中的maxSimilarity、changeTypes[].score和references[].similarity最多返回4位小数，例如0.879620385984689返回为0.8796。四舍五入只发生在JSON输出阶段，内部排序、阈值判断和投票使用完整精度。</w:t>
      </w:r>
    </w:p>
    <w:p>
      <w:pPr>
        <w:pStyle w:val="Heading1"/>
      </w:pPr>
      <w:r>
        <w:t>3. 历史样本Excel导入接口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项目</w:t>
            </w:r>
          </w:p>
        </w:tc>
        <w:tc>
          <w:tcPr>
            <w:tcW w:type="dxa" w:w="74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值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接口名称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导入历史合同段落Excel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方法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POST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路径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/service/contract-change/samples/import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Content-Type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multipart/form-data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表单字段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file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执行方式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同步；请求会等待解析、向量化、入库和索引刷新全部完成</w:t>
            </w:r>
          </w:p>
        </w:tc>
      </w:tr>
      <w:tr>
        <w:tc>
          <w:tcPr>
            <w:tcW w:type="dxa" w:w="1900"/>
          </w:tcPr>
          <w:p>
            <w:r>
              <w:t>请求头</w:t>
            </w:r>
          </w:p>
        </w:tc>
        <w:tc>
          <w:tcPr>
            <w:tcW w:type="dxa" w:w="7460"/>
          </w:tcPr>
          <w:p>
            <w:r>
              <w:t>user_id：实际操作人工号，必填</w:t>
            </w:r>
          </w:p>
        </w:tc>
      </w:tr>
    </w:tbl>
    <w:p>
      <w:pPr>
        <w:spacing w:after="40"/>
      </w:pPr>
    </w:p>
    <w:p>
      <w:pPr>
        <w:pStyle w:val="Heading2"/>
      </w:pPr>
      <w:r>
        <w:t>3.1 Excel格式</w:t>
      </w:r>
    </w:p>
    <w:p>
      <w:r>
        <w:rPr>
          <w:rFonts w:ascii="Calibri" w:hAnsi="Calibri" w:eastAsia="Microsoft YaHei"/>
          <w:b w:val="0"/>
          <w:i w:val="0"/>
          <w:color w:val="1F2937"/>
          <w:sz w:val="22"/>
        </w:rPr>
        <w:t>仅支持.xlsx。只读取第一张Sheet，前两列表头必须完全为“合同段落”和“变更类型编码”。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6200"/>
        <w:gridCol w:w="3160"/>
      </w:tblGrid>
      <w:tr>
        <w:trPr>
          <w:tblHeader w:val="true"/>
        </w:trPr>
        <w:tc>
          <w:tcPr>
            <w:tcW w:type="dxa" w:w="6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合同段落</w:t>
            </w:r>
          </w:p>
        </w:tc>
        <w:tc>
          <w:tcPr>
            <w:tcW w:type="dxa" w:w="31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变更类型编码</w:t>
            </w:r>
          </w:p>
        </w:tc>
      </w:tr>
      <w:tr>
        <w:tc>
          <w:tcPr>
            <w:tcW w:type="dxa" w:w="6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基金管理人应当向投资者充分揭示相关风险。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20;25;28</w:t>
            </w:r>
          </w:p>
        </w:tc>
      </w:tr>
      <w:tr>
        <w:tc>
          <w:tcPr>
            <w:tcW w:type="dxa" w:w="6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基金管理人应按规定履行信息披露义务。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26;54;76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多个编码使用英文分号分隔；编码自动去空格、去重并排序。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单个编码最长64字符，编码自身不得包含英文分号或空白字符，总长度不超过4000字符。</w:t>
      </w:r>
    </w:p>
    <w:p>
      <w:pPr>
        <w:pStyle w:val="ListBullet"/>
      </w:pPr>
      <w:r>
        <w:t>单个文件不超过20MB；默认最多1000条非空数据行；历史物理记录总数最多10000条；规范化后的段落不超过480字符。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整行为空时跳过，不计入totalRows。</w:t>
      </w:r>
    </w:p>
    <w:p>
      <w:pPr>
        <w:pStyle w:val="Heading2"/>
      </w:pPr>
      <w:r>
        <w:t>3.2 调用示例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curl -X POST "http://localhost:15006/service/contract-change/samples/import" \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-H "Accept: application/json" \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-H "user_id: employee-001" \</w:t>
      </w:r>
    </w:p>
    <w:p>
      <w:pPr>
        <w:spacing w:after="80"/>
      </w:pPr>
      <w:r>
        <w:t xml:space="preserve">  -F "file=@D:/data/合同历史段落.xlsx"</w:t>
      </w:r>
    </w:p>
    <w:p>
      <w:r>
        <w:rPr>
          <w:rFonts w:ascii="Calibri" w:hAnsi="Calibri" w:eastAsia="Microsoft YaHei"/>
          <w:b w:val="0"/>
          <w:i w:val="0"/>
          <w:color w:val="1F2937"/>
          <w:sz w:val="22"/>
        </w:rPr>
        <w:t>Postman：Body选择form-data，Key填写file并将类型切换为File，然后选择.xlsx文件。不要手工填写multipart边界，交给Postman自动生成。</w:t>
      </w:r>
    </w:p>
    <w:p>
      <w:pPr>
        <w:pStyle w:val="Heading2"/>
      </w:pPr>
      <w:r>
        <w:t>3.3 成功响应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"code": 200,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"message": "操作成功",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"data": 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"success": true,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"totalRows": 10,</w:t>
      </w:r>
    </w:p>
    <w:p>
      <w:pPr>
        <w:spacing w:before="0" w:after="0" w:line="240" w:lineRule="auto"/>
        <w:ind w:left="173" w:right="173"/>
        <w:shd w:fill="F7F8FA"/>
      </w:pPr>
      <w:r>
        <w:t xml:space="preserve">    "inserted": 7,</w:t>
        <w:br/>
        <w:t xml:space="preserve">    "updated": 1,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"skipped": 2,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"indexReloaded": true,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"errors": []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}</w:t>
      </w:r>
    </w:p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700"/>
        <w:gridCol w:w="58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字段</w:t>
            </w:r>
          </w:p>
        </w:tc>
        <w:tc>
          <w:tcPr>
            <w:tcW w:type="dxa" w:w="17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类型</w:t>
            </w:r>
          </w:p>
        </w:tc>
        <w:tc>
          <w:tcPr>
            <w:tcW w:type="dxa" w:w="58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含义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success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Boolean</w:t>
            </w:r>
          </w:p>
        </w:tc>
        <w:tc>
          <w:tcPr>
            <w:tcW w:type="dxa" w:w="5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本批是否通过校验并完成数据库写入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totalRows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Integer</w:t>
            </w:r>
          </w:p>
        </w:tc>
        <w:tc>
          <w:tcPr>
            <w:tcW w:type="dxa" w:w="5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Excel中实际读取的非空数据行数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inserted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Integer</w:t>
            </w:r>
          </w:p>
        </w:tc>
        <w:tc>
          <w:tcPr>
            <w:tcW w:type="dxa" w:w="5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本批实际新增的数据库记录数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updated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Integer</w:t>
            </w:r>
          </w:p>
        </w:tc>
        <w:tc>
          <w:tcPr>
            <w:tcW w:type="dxa" w:w="5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本批重新启用或按当前模型重新生成向量的记录数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skipped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Integer</w:t>
            </w:r>
          </w:p>
        </w:tc>
        <w:tc>
          <w:tcPr>
            <w:tcW w:type="dxa" w:w="5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文件内或数据库中“段落相同且类型相同”的幂等跳过数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indexReloaded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Boolean</w:t>
            </w:r>
          </w:p>
        </w:tc>
        <w:tc>
          <w:tcPr>
            <w:tcW w:type="dxa" w:w="5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入库后是否成功切换到新内存索引</w:t>
            </w:r>
          </w:p>
        </w:tc>
      </w:tr>
      <w:tr>
        <w:tc>
          <w:tcPr>
            <w:tcW w:type="dxa" w:w="1800"/>
          </w:tcPr>
          <w:p>
            <w:r>
              <w:t>errors</w:t>
            </w:r>
          </w:p>
        </w:tc>
        <w:tc>
          <w:tcPr>
            <w:tcW w:type="dxa" w:w="1700"/>
          </w:tcPr>
          <w:p>
            <w:r>
              <w:t>Array</w:t>
            </w:r>
          </w:p>
        </w:tc>
        <w:tc>
          <w:tcPr>
            <w:tcW w:type="dxa" w:w="5860"/>
          </w:tcPr>
          <w:p>
            <w:r>
              <w:t>逐行校验或标签冲突错误；成功时为空数组</w:t>
            </w:r>
          </w:p>
        </w:tc>
      </w:tr>
    </w:tbl>
    <w:p>
      <w:pPr>
        <w:spacing w:after="40"/>
      </w:pPr>
    </w:p>
    <w:p>
      <w:pPr>
        <w:pStyle w:val="Heading2"/>
      </w:pPr>
      <w:r>
        <w:t>3.4 校验失败响应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"code": 200,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"message": "操作成功",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"data": 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"success": false,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"totalRows": 3,</w:t>
      </w:r>
    </w:p>
    <w:p>
      <w:pPr>
        <w:spacing w:before="0" w:after="0" w:line="240" w:lineRule="auto"/>
        <w:ind w:left="173" w:right="173"/>
        <w:shd w:fill="F7F8FA"/>
      </w:pPr>
      <w:r>
        <w:t xml:space="preserve">    "inserted": 0,</w:t>
        <w:br/>
        <w:t xml:space="preserve">    "updated": 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"skipped": 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"indexReloaded": false,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"errors": [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  {"row": 3, "message": "合同段落不能为空"}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]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}</w:t>
      </w:r>
    </w:p>
    <w:p>
      <w:pPr>
        <w:spacing w:after="80"/>
      </w:pPr>
    </w:p>
    <w:p>
      <w:pPr>
        <w:spacing w:before="100" w:after="140"/>
        <w:ind w:left="173" w:right="115"/>
        <w:shd w:fill="FFF8E8"/>
        <w:pBdr>
          <w:left w:val="single" w:sz="18" w:color="7A5A00" w:space="8"/>
        </w:pBdr>
      </w:pPr>
      <w:r>
        <w:rPr>
          <w:rFonts w:ascii="Calibri" w:hAnsi="Calibri" w:eastAsia="Microsoft YaHei"/>
          <w:b/>
          <w:i w:val="0"/>
          <w:color w:val="7A5A00"/>
          <w:sz w:val="22"/>
        </w:rPr>
        <w:t xml:space="preserve">两层成功状态  </w:t>
      </w:r>
      <w:r>
        <w:rPr>
          <w:rFonts w:ascii="Calibri" w:hAnsi="Calibri" w:eastAsia="Microsoft YaHei"/>
          <w:b w:val="0"/>
          <w:i w:val="0"/>
          <w:color w:val="1F2937"/>
          <w:sz w:val="22"/>
        </w:rPr>
        <w:t>外层code成功表示接口正常处理并返回了结构化结果；data.success=false表示本次导入业务校验未通过。导入调用方必须检查data.success。</w:t>
      </w:r>
    </w:p>
    <w:p>
      <w:pPr>
        <w:pStyle w:val="Heading2"/>
      </w:pPr>
      <w:r>
        <w:t>3.5 导入处理顺序与事务边界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校验文件是否存在、是否为.xlsx、是否超过上传限制。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读取第一张Sheet并校验固定表头、行数、段落和类型编码。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规范化段落，计算SHA-256；文件内相同Hash同标签跳过，不同标签报冲突。</w:t>
      </w:r>
    </w:p>
    <w:p>
      <w:pPr>
        <w:pStyle w:val="ListNumber"/>
      </w:pPr>
      <w:r>
        <w:t>分批查询Oracle全部Hash；当前模型、维度、生效状态和标签均一致时跳过；停用记录重新启用；相同标签的旧模型向量更新原行；生效记录标签不同时报冲突。</w:t>
      </w:r>
    </w:p>
    <w:p>
      <w:pPr>
        <w:pStyle w:val="ListNumber"/>
      </w:pPr>
      <w:r>
        <w:t>将全部待新增或待更新段落按batch-size分批调用统一Embedding网关。</w:t>
      </w:r>
    </w:p>
    <w:p>
      <w:pPr>
        <w:pStyle w:val="ListNumber"/>
      </w:pPr>
      <w:r>
        <w:t>全部向量成功后才开启数据库事务；任何新增或更新失败整批回滚。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事务提交后重建内存索引；重建失败保留旧索引并返回indexReloaded=false。</w:t>
      </w:r>
    </w:p>
    <w:p>
      <w:pPr>
        <w:spacing w:before="100" w:after="140"/>
        <w:ind w:left="173" w:right="115"/>
        <w:shd w:fill="FFF8E8"/>
        <w:pBdr>
          <w:left w:val="single" w:sz="18" w:color="7A5A00" w:space="8"/>
        </w:pBdr>
      </w:pPr>
      <w:r>
        <w:rPr>
          <w:rFonts w:ascii="Calibri" w:hAnsi="Calibri" w:eastAsia="Microsoft YaHei"/>
          <w:b/>
          <w:i w:val="0"/>
          <w:color w:val="7A5A00"/>
          <w:sz w:val="22"/>
        </w:rPr>
        <w:t>同步等待  导入接口不是异步任务。默认逐条调用模型网关，1000条数据可能等待较长时间，并受浏览器、业务网关或Nginx超时影响。平台确认批量能力后可通过配置提高批量大小。</w:t>
      </w:r>
      <w:r>
        <w:rPr>
          <w:rFonts w:ascii="Calibri" w:hAnsi="Calibri" w:eastAsia="Microsoft YaHei"/>
          <w:b w:val="0"/>
          <w:i w:val="0"/>
          <w:color w:val="1F2937"/>
          <w:sz w:val="22"/>
        </w:rPr>
      </w:r>
    </w:p>
    <w:p>
      <w:pPr>
        <w:spacing w:before="100" w:after="140"/>
        <w:ind w:left="173" w:right="115"/>
        <w:shd w:fill="FFF1F0"/>
        <w:pBdr>
          <w:left w:val="single" w:sz="18" w:color="9B1C1C" w:space="8"/>
        </w:pBdr>
      </w:pPr>
      <w:r>
        <w:t>批量限制  EMBEDDING_BATCH_SIZE默认1。只有平台确认模型支持input数组及单批上限后才允许调大；超过网关限制通常会返回HTTP 400或422。</w:t>
      </w:r>
    </w:p>
    <w:p>
      <w:pPr>
        <w:pStyle w:val="Heading1"/>
      </w:pPr>
      <w:r>
        <w:t>4. 新合同段落预测接口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项目</w:t>
            </w:r>
          </w:p>
        </w:tc>
        <w:tc>
          <w:tcPr>
            <w:tcW w:type="dxa" w:w="74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值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接口名称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预测新合同段落的变更类型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方法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POST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路径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/service/contract-change/predict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Content-Type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application/json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是否写库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否；预测结果不入库</w:t>
            </w:r>
          </w:p>
        </w:tc>
      </w:tr>
      <w:tr>
        <w:tc>
          <w:tcPr>
            <w:tcW w:type="dxa" w:w="1900"/>
          </w:tcPr>
          <w:p>
            <w:r>
              <w:t>请求头</w:t>
            </w:r>
          </w:p>
        </w:tc>
        <w:tc>
          <w:tcPr>
            <w:tcW w:type="dxa" w:w="7460"/>
          </w:tcPr>
          <w:p>
            <w:r>
              <w:t>user_id：实际操作人工号，必填</w:t>
            </w:r>
          </w:p>
        </w:tc>
      </w:tr>
    </w:tbl>
    <w:p>
      <w:pPr>
        <w:spacing w:after="40"/>
      </w:pPr>
      <w:r>
        <w:t>调用该接口必须携带user_id请求头，值为实际操作人工号。</w:t>
      </w:r>
    </w:p>
    <w:p>
      <w:pPr>
        <w:pStyle w:val="Heading2"/>
      </w:pPr>
      <w:r>
        <w:t>4.1 请求参数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"paragraph": "基金管理人应当向投资者充分揭示相关风险。"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}</w:t>
      </w:r>
    </w:p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1500"/>
        <w:gridCol w:w="1100"/>
        <w:gridCol w:w="50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字段</w:t>
            </w:r>
          </w:p>
        </w:tc>
        <w:tc>
          <w:tcPr>
            <w:tcW w:type="dxa" w:w="15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类型</w:t>
            </w:r>
          </w:p>
        </w:tc>
        <w:tc>
          <w:tcPr>
            <w:tcW w:type="dxa" w:w="11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必填</w:t>
            </w:r>
          </w:p>
        </w:tc>
        <w:tc>
          <w:tcPr>
            <w:tcW w:type="dxa" w:w="50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约束</w:t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paragraph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String</w:t>
            </w:r>
          </w:p>
        </w:tc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是</w:t>
            </w:r>
          </w:p>
        </w:tc>
        <w:tc>
          <w:tcPr>
            <w:tcW w:type="dxa" w:w="5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已经切分好的单个合同段落；规范化后非空；默认不超过480字符</w:t>
            </w:r>
          </w:p>
        </w:tc>
      </w:tr>
    </w:tbl>
    <w:p>
      <w:pPr>
        <w:spacing w:after="40"/>
      </w:pPr>
    </w:p>
    <w:p>
      <w:pPr>
        <w:spacing w:before="100" w:after="140"/>
        <w:ind w:left="173" w:right="115"/>
        <w:shd w:fill="F4F6F9"/>
        <w:pBdr>
          <w:left w:val="single" w:sz="18" w:color="2E74B5" w:space="8"/>
        </w:pBdr>
      </w:pPr>
      <w:r>
        <w:t>长文本说明  480字符是当前业务上限，不等同于新模型Token上限。服务明确拒绝超长段落且不自动截断，避免丢失金额、比例、否定词和权利义务；平台确认上下文长度后可调整配置。若段落混合多个主题，建议上游按条款或语义段落切分。</w:t>
      </w:r>
    </w:p>
    <w:p>
      <w:pPr>
        <w:pStyle w:val="Heading2"/>
      </w:pPr>
      <w:r>
        <w:t>4.2 响应字段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500"/>
        <w:gridCol w:w="56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字段</w:t>
            </w:r>
          </w:p>
        </w:tc>
        <w:tc>
          <w:tcPr>
            <w:tcW w:type="dxa" w:w="15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类型</w:t>
            </w:r>
          </w:p>
        </w:tc>
        <w:tc>
          <w:tcPr>
            <w:tcW w:type="dxa" w:w="56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说明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matchType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String</w:t>
            </w:r>
          </w:p>
        </w:tc>
        <w:tc>
          <w:tcPr>
            <w:tcW w:type="dxa" w:w="5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EXACT、SEMANTIC或NO_RELIABLE_MATCH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modelVersion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String</w:t>
            </w:r>
          </w:p>
        </w:tc>
        <w:tc>
          <w:tcPr>
            <w:tcW w:type="dxa" w:w="5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本次预测使用的模型版本标识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maxSimilarity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Number</w:t>
            </w:r>
          </w:p>
        </w:tc>
        <w:tc>
          <w:tcPr>
            <w:tcW w:type="dxa" w:w="5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新段落与最相似历史段落的相似度；最多4位小数；不是正确率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changeTypes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Array</w:t>
            </w:r>
          </w:p>
        </w:tc>
        <w:tc>
          <w:tcPr>
            <w:tcW w:type="dxa" w:w="5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最终认可并返回的变更类型结果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references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Array</w:t>
            </w:r>
          </w:p>
        </w:tc>
        <w:tc>
          <w:tcPr>
            <w:tcW w:type="dxa" w:w="5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按相似度倒序的历史参考段落，默认最多5条</w:t>
            </w:r>
          </w:p>
        </w:tc>
      </w:tr>
    </w:tbl>
    <w:p>
      <w:pPr>
        <w:spacing w:after="40"/>
      </w:pPr>
    </w:p>
    <w:p>
      <w:pPr>
        <w:pStyle w:val="Heading2"/>
      </w:pPr>
      <w:r>
        <w:t>4.3 changeTypes字段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500"/>
        <w:gridCol w:w="56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字段</w:t>
            </w:r>
          </w:p>
        </w:tc>
        <w:tc>
          <w:tcPr>
            <w:tcW w:type="dxa" w:w="15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类型</w:t>
            </w:r>
          </w:p>
        </w:tc>
        <w:tc>
          <w:tcPr>
            <w:tcW w:type="dxa" w:w="56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说明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code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String</w:t>
            </w:r>
          </w:p>
        </w:tc>
        <w:tc>
          <w:tcPr>
            <w:tcW w:type="dxa" w:w="5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变更类型编码；第一版不查询类型名称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score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Number</w:t>
            </w:r>
          </w:p>
        </w:tc>
        <w:tc>
          <w:tcPr>
            <w:tcW w:type="dxa" w:w="5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类型支持得分：EXACT为1；语义匹配为该类型支持权重占全部投票权重的比例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supportCount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Integer</w:t>
            </w:r>
          </w:p>
        </w:tc>
        <w:tc>
          <w:tcPr>
            <w:tcW w:type="dxa" w:w="5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参与投票的Top-K样本中包含该类型的样本数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level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String</w:t>
            </w:r>
          </w:p>
        </w:tc>
        <w:tc>
          <w:tcPr>
            <w:tcW w:type="dxa" w:w="5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HIGH或CANDIDATE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2000"/>
        <w:gridCol w:w="5760"/>
      </w:tblGrid>
      <w:tr>
        <w:trPr>
          <w:tblHeader w:val="true"/>
        </w:trPr>
        <w:tc>
          <w:tcPr>
            <w:tcW w:type="dxa" w:w="16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level</w:t>
            </w:r>
          </w:p>
        </w:tc>
        <w:tc>
          <w:tcPr>
            <w:tcW w:type="dxa" w:w="20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含义</w:t>
            </w:r>
          </w:p>
        </w:tc>
        <w:tc>
          <w:tcPr>
            <w:tcW w:type="dxa" w:w="57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判定规则</w:t>
            </w:r>
          </w:p>
        </w:tc>
      </w:tr>
      <w:tr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HIGH</w:t>
            </w:r>
          </w:p>
        </w:tc>
        <w:tc>
          <w:tcPr>
            <w:tcW w:type="dxa" w:w="2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高可信</w:t>
            </w:r>
          </w:p>
        </w:tc>
        <w:tc>
          <w:tcPr>
            <w:tcW w:type="dxa" w:w="5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精确命中；或语义投票score&gt;=0.80且supportCount&gt;=2</w:t>
            </w:r>
          </w:p>
        </w:tc>
      </w:tr>
      <w:tr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CANDIDATE</w:t>
            </w:r>
          </w:p>
        </w:tc>
        <w:tc>
          <w:tcPr>
            <w:tcW w:type="dxa" w:w="2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候选</w:t>
            </w:r>
          </w:p>
        </w:tc>
        <w:tc>
          <w:tcPr>
            <w:tcW w:type="dxa" w:w="5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score&gt;=0.55但未满足HIGH；或触发强单条兜底</w:t>
            </w:r>
          </w:p>
        </w:tc>
      </w:tr>
      <w:tr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不返回</w:t>
            </w:r>
          </w:p>
        </w:tc>
        <w:tc>
          <w:tcPr>
            <w:tcW w:type="dxa" w:w="2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证据不足</w:t>
            </w:r>
          </w:p>
        </w:tc>
        <w:tc>
          <w:tcPr>
            <w:tcW w:type="dxa" w:w="5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score&lt;0.55且未触发强单条兜底</w:t>
            </w:r>
          </w:p>
        </w:tc>
      </w:tr>
    </w:tbl>
    <w:p>
      <w:pPr>
        <w:spacing w:after="40"/>
      </w:pPr>
    </w:p>
    <w:p>
      <w:pPr>
        <w:pStyle w:val="Heading2"/>
      </w:pPr>
      <w:r>
        <w:t>4.4 references字段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700"/>
        <w:gridCol w:w="54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字段</w:t>
            </w:r>
          </w:p>
        </w:tc>
        <w:tc>
          <w:tcPr>
            <w:tcW w:type="dxa" w:w="17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类型</w:t>
            </w:r>
          </w:p>
        </w:tc>
        <w:tc>
          <w:tcPr>
            <w:tcW w:type="dxa" w:w="54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说明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sampleId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Long</w:t>
            </w:r>
          </w:p>
        </w:tc>
        <w:tc>
          <w:tcPr>
            <w:tcW w:type="dxa" w:w="5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历史样本主键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paragraph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String</w:t>
            </w:r>
          </w:p>
        </w:tc>
        <w:tc>
          <w:tcPr>
            <w:tcW w:type="dxa" w:w="5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历史段落原文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similarity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Number</w:t>
            </w:r>
          </w:p>
        </w:tc>
        <w:tc>
          <w:tcPr>
            <w:tcW w:type="dxa" w:w="5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新段落与该历史段落的最终余弦相似度，最多4位小数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changeTypeCodes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Array&lt;String&gt;</w:t>
            </w:r>
          </w:p>
        </w:tc>
        <w:tc>
          <w:tcPr>
            <w:tcW w:type="dxa" w:w="5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该历史段落导入时已有的变更类型编码</w:t>
            </w:r>
          </w:p>
        </w:tc>
      </w:tr>
    </w:tbl>
    <w:p>
      <w:pPr>
        <w:spacing w:after="40"/>
      </w:pPr>
    </w:p>
    <w:p>
      <w:pPr>
        <w:spacing w:before="100" w:after="140"/>
        <w:ind w:left="173" w:right="115"/>
        <w:shd w:fill="F4F6F9"/>
        <w:pBdr>
          <w:left w:val="single" w:sz="18" w:color="2E74B5" w:space="8"/>
        </w:pBdr>
      </w:pPr>
      <w:r>
        <w:rPr>
          <w:rFonts w:ascii="Calibri" w:hAnsi="Calibri" w:eastAsia="Microsoft YaHei"/>
          <w:b/>
          <w:i w:val="0"/>
          <w:color w:val="2E74B5"/>
          <w:sz w:val="22"/>
        </w:rPr>
        <w:t xml:space="preserve">核心关系  </w:t>
      </w:r>
      <w:r>
        <w:rPr>
          <w:rFonts w:ascii="Calibri" w:hAnsi="Calibri" w:eastAsia="Microsoft YaHei"/>
          <w:b w:val="0"/>
          <w:i w:val="0"/>
          <w:color w:val="1F2937"/>
          <w:sz w:val="22"/>
        </w:rPr>
        <w:t>系统只比较“新段落”和“历史段落”。变更类型不会直接与新段落做向量比较，而是作为历史段落已有标签参与后续投票。</w:t>
      </w:r>
    </w:p>
    <w:p>
      <w:pPr>
        <w:pStyle w:val="Heading2"/>
      </w:pPr>
      <w:r>
        <w:t>4.5 EXACT响应示例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"code": 200,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"message": "操作成功",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"data": {</w:t>
      </w:r>
    </w:p>
    <w:p>
      <w:pPr>
        <w:spacing w:before="0" w:after="0" w:line="240" w:lineRule="auto"/>
        <w:ind w:left="173" w:right="173"/>
        <w:shd w:fill="F7F8FA"/>
      </w:pPr>
      <w:r>
        <w:t xml:space="preserve">    "matchType": "EXACT",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"modelVersion": "embedding-model-v1",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"maxSimilarity": 1.0,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"changeTypes": [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  {"code": "20", "score": 1.0, "supportCount": 1, "level": "HIGH"}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],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"references": [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  {"sampleId": 3, "paragraph": "历史段落", "similarity": 1.0,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   "changeTypeCodes": ["20"]}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]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}</w:t>
      </w:r>
    </w:p>
    <w:p>
      <w:pPr>
        <w:spacing w:after="80"/>
      </w:pPr>
    </w:p>
    <w:p>
      <w:pPr>
        <w:pStyle w:val="Heading2"/>
      </w:pPr>
      <w:r>
        <w:t>4.6 SEMANTIC加权投票响应示例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"code": 200,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"message": "操作成功",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"data": {</w:t>
      </w:r>
    </w:p>
    <w:p>
      <w:pPr>
        <w:spacing w:before="0" w:after="0" w:line="240" w:lineRule="auto"/>
        <w:ind w:left="173" w:right="173"/>
        <w:shd w:fill="F7F8FA"/>
      </w:pPr>
      <w:r>
        <w:t xml:space="preserve">    "matchType": "SEMANTIC",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"modelVersion": "embedding-model-v1",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"maxSimilarity": 0.9213,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"changeTypes": [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  {"code": "35", "score": 0.8642, "supportCount": 3, "level": "HIGH"},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  {"code": "40", "score": 0.6128, "supportCount": 1, "level": "CANDIDATE"}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],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"references": [ ... ]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}</w:t>
      </w:r>
    </w:p>
    <w:p>
      <w:pPr>
        <w:spacing w:after="80"/>
      </w:pPr>
    </w:p>
    <w:p>
      <w:pPr>
        <w:pStyle w:val="Heading2"/>
      </w:pPr>
      <w:r>
        <w:t>4.7 强单条匹配兜底示例</w:t>
      </w:r>
    </w:p>
    <w:p>
      <w:r>
        <w:t>当最相似的10条历史样本投票没有类型达到0.55，但第一名相似度不低于0.80时，返回第一名历史段落的类型，全部标记为CANDIDATE。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{</w:t>
      </w:r>
    </w:p>
    <w:p>
      <w:pPr>
        <w:spacing w:before="0" w:after="0" w:line="240" w:lineRule="auto"/>
        <w:ind w:left="173" w:right="173"/>
        <w:shd w:fill="F7F8FA"/>
      </w:pPr>
      <w:r>
        <w:t xml:space="preserve">  "matchType": "SEMANTIC",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"maxSimilarity": 0.8397,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"changeTypes": [</w:t>
      </w:r>
    </w:p>
    <w:p>
      <w:pPr>
        <w:spacing w:before="0" w:after="0" w:line="240" w:lineRule="auto"/>
        <w:ind w:left="173" w:right="173"/>
        <w:shd w:fill="F7F8FA"/>
      </w:pPr>
      <w:r>
        <w:t xml:space="preserve">    {"code": "35", "score": 0.3821, "supportCount": 1, "level": "CANDIDATE"},</w:t>
      </w:r>
    </w:p>
    <w:p>
      <w:pPr>
        <w:spacing w:before="0" w:after="0" w:line="240" w:lineRule="auto"/>
        <w:ind w:left="173" w:right="173"/>
        <w:shd w:fill="F7F8FA"/>
      </w:pPr>
      <w:r>
        <w:t xml:space="preserve">    {"code": "40", "score": 0.3821, "supportCount": 1, "level": "CANDIDATE"}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],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"references": [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{"sampleId": 6, "similarity": 0.8397, "changeTypeCodes": ["35", "40"]},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{"sampleId": 9, "similarity": 0.7439, "changeTypeCodes": ["26", "54"]}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]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}</w:t>
      </w:r>
    </w:p>
    <w:p>
      <w:pPr>
        <w:spacing w:after="80"/>
      </w:pPr>
    </w:p>
    <w:p>
      <w:pPr>
        <w:spacing w:before="100" w:after="140"/>
        <w:ind w:left="173" w:right="115"/>
        <w:shd w:fill="FFF8E8"/>
        <w:pBdr>
          <w:left w:val="single" w:sz="18" w:color="7A5A00" w:space="8"/>
        </w:pBdr>
      </w:pPr>
      <w:r>
        <w:rPr>
          <w:rFonts w:ascii="Calibri" w:hAnsi="Calibri" w:eastAsia="Microsoft YaHei"/>
          <w:b/>
          <w:i w:val="0"/>
          <w:color w:val="7A5A00"/>
          <w:sz w:val="22"/>
        </w:rPr>
        <w:t xml:space="preserve">为什么不是HIGH  </w:t>
      </w:r>
      <w:r>
        <w:rPr>
          <w:rFonts w:ascii="Calibri" w:hAnsi="Calibri" w:eastAsia="Microsoft YaHei"/>
          <w:b w:val="0"/>
          <w:i w:val="0"/>
          <w:color w:val="1F2937"/>
          <w:sz w:val="22"/>
        </w:rPr>
        <w:t>强单条兜底主要依赖一条历史证据，即使相似度很高，也不能等同于多条样本形成的标签共识。</w:t>
      </w:r>
    </w:p>
    <w:p>
      <w:pPr>
        <w:pStyle w:val="Heading2"/>
      </w:pPr>
      <w:r>
        <w:t>4.8 NO_RELIABLE_MATCH响应</w:t>
      </w:r>
    </w:p>
    <w:p>
      <w:r>
        <w:rPr>
          <w:rFonts w:ascii="Calibri" w:hAnsi="Calibri" w:eastAsia="Microsoft YaHei"/>
          <w:b w:val="0"/>
          <w:i w:val="0"/>
          <w:color w:val="1F2937"/>
          <w:sz w:val="22"/>
        </w:rPr>
        <w:t>可能存在两种情况：没有任何历史段落达到最低召回相似度；或者找到了相似段落，但类型冲突、投票不足且不满足强单条兜底。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{</w:t>
      </w:r>
    </w:p>
    <w:p>
      <w:pPr>
        <w:spacing w:before="0" w:after="0" w:line="240" w:lineRule="auto"/>
        <w:ind w:left="173" w:right="173"/>
        <w:shd w:fill="F7F8FA"/>
      </w:pPr>
      <w:r>
        <w:t xml:space="preserve">  "matchType": "NO_RELIABLE_MATCH",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"modelVersion": "embedding-model-v1",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"maxSimilarity": 0.84,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"changeTypes": [],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"references": [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{"sampleId": 11, "similarity": 0.84, "changeTypeCodes": ["35", "40"]},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{"sampleId": 12, "similarity": 0.81, "changeTypeCodes": ["20", "25"]}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]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}</w:t>
      </w:r>
    </w:p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tblHeader w:val="true"/>
        </w:trPr>
        <w:tc>
          <w:tcPr>
            <w:tcW w:type="dxa" w:w="28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表现</w:t>
            </w:r>
          </w:p>
        </w:tc>
        <w:tc>
          <w:tcPr>
            <w:tcW w:type="dxa" w:w="65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业务含义</w:t>
            </w:r>
          </w:p>
        </w:tc>
      </w:tr>
      <w:tr>
        <w:tc>
          <w:tcPr>
            <w:tcW w:type="dxa" w:w="2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references为空</w:t>
            </w:r>
          </w:p>
        </w:tc>
        <w:tc>
          <w:tcPr>
            <w:tcW w:type="dxa" w:w="6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仅正常空库时为空；低于0.60仍保留真实Top参考段落</w:t>
            </w:r>
          </w:p>
        </w:tc>
      </w:tr>
      <w:tr>
        <w:tc>
          <w:tcPr>
            <w:tcW w:type="dxa" w:w="2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references不为空</w:t>
            </w:r>
          </w:p>
        </w:tc>
        <w:tc>
          <w:tcPr>
            <w:tcW w:type="dxa" w:w="6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找到了相似证据，但无法可靠确定最终类型，建议人工判断</w:t>
            </w:r>
          </w:p>
        </w:tc>
      </w:tr>
    </w:tbl>
    <w:p>
      <w:pPr>
        <w:spacing w:after="40"/>
      </w:pPr>
    </w:p>
    <w:p>
      <w:pPr>
        <w:pStyle w:val="Heading1"/>
      </w:pPr>
      <w:r>
        <w:t>5. 向量索引重载接口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项目</w:t>
            </w:r>
          </w:p>
        </w:tc>
        <w:tc>
          <w:tcPr>
            <w:tcW w:type="dxa" w:w="74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值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方法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POST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路径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/service/contract-change/index/reload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请求体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无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作用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从Oracle重建当前模型版本/维度的内存索引，不重新生成向量</w:t>
            </w:r>
          </w:p>
        </w:tc>
      </w:tr>
    </w:tbl>
    <w:p>
      <w:pPr>
        <w:spacing w:after="40"/>
      </w:pP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curl -X POST "http://localhost:15006/service/contract-change/index/reload" \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-H "Accept: application/json"</w:t>
      </w:r>
    </w:p>
    <w:p>
      <w:pPr>
        <w:spacing w:after="80"/>
      </w:pP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"code": 200,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"message": "操作成功",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"data": 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"status": "READY",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"sampleCount": 1000,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"modelVersion": "embedding-model-v1",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"vectorDimension": 768,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"loadedAt": 1786530000000,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"errorCount": 0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}</w:t>
      </w:r>
    </w:p>
    <w:p>
      <w:pPr>
        <w:spacing w:after="80"/>
      </w:pPr>
    </w:p>
    <w:p>
      <w:pPr>
        <w:spacing w:before="100" w:after="140"/>
        <w:ind w:left="173" w:right="115"/>
        <w:shd w:fill="F0F9F4"/>
        <w:pBdr>
          <w:left w:val="single" w:sz="18" w:color="247A4D" w:space="8"/>
        </w:pBdr>
      </w:pPr>
      <w:r>
        <w:rPr>
          <w:rFonts w:ascii="Calibri" w:hAnsi="Calibri" w:eastAsia="Microsoft YaHei"/>
          <w:b/>
          <w:i w:val="0"/>
          <w:color w:val="247A4D"/>
          <w:sz w:val="22"/>
        </w:rPr>
        <w:t xml:space="preserve">原子切换  </w:t>
      </w:r>
      <w:r>
        <w:rPr>
          <w:rFonts w:ascii="Calibri" w:hAnsi="Calibri" w:eastAsia="Microsoft YaHei"/>
          <w:b w:val="0"/>
          <w:i w:val="0"/>
          <w:color w:val="1F2937"/>
          <w:sz w:val="22"/>
        </w:rPr>
        <w:t>重载期间预测继续使用旧快照。只有新索引完整构建后才一次性替换；查询或构建发生未捕获异常时旧索引继续服务。</w:t>
      </w:r>
    </w:p>
    <w:p>
      <w:pPr>
        <w:spacing w:before="100" w:after="140"/>
        <w:ind w:left="173" w:right="115"/>
        <w:shd w:fill="FFF8E8"/>
        <w:pBdr>
          <w:left w:val="single" w:sz="18" w:color="7A5A00" w:space="8"/>
        </w:pBdr>
      </w:pPr>
      <w:r>
        <w:t>使用场景  人工直接修改SFSX、恢复数据库、服务启动加载失败后恢复、或需要重新同步Oracle有效记录时调用。模型升级后不能仅调用reload；使用同一Excel重新导入会更新旧模型向量，然后再验收索引数量。</w:t>
      </w:r>
    </w:p>
    <w:p>
      <w:pPr>
        <w:pStyle w:val="Heading1"/>
      </w:pPr>
      <w:r>
        <w:t>6. 向量索引状态接口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项目</w:t>
            </w:r>
          </w:p>
        </w:tc>
        <w:tc>
          <w:tcPr>
            <w:tcW w:type="dxa" w:w="74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值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方法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GET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路径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/service/contract-change/index/status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请求体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无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作用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查询当前实际提供预测服务的JVM内存快照状态</w:t>
            </w:r>
          </w:p>
        </w:tc>
      </w:tr>
    </w:tbl>
    <w:p>
      <w:pPr>
        <w:spacing w:after="40"/>
      </w:pP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curl "http://localhost:15006/service/contract-change/index/status"</w:t>
      </w:r>
    </w:p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字段/状态</w:t>
            </w:r>
          </w:p>
        </w:tc>
        <w:tc>
          <w:tcPr>
            <w:tcW w:type="dxa" w:w="69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含义</w:t>
            </w:r>
          </w:p>
        </w:tc>
      </w:tr>
      <w:t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READY</w:t>
            </w:r>
          </w:p>
        </w:tc>
        <w:tc>
          <w:tcPr>
            <w:tcW w:type="dxa" w:w="6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存在有效样本，且本次加载没有损坏记录</w:t>
            </w:r>
          </w:p>
        </w:tc>
      </w:tr>
      <w:t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EMPTY</w:t>
            </w:r>
          </w:p>
        </w:tc>
        <w:tc>
          <w:tcPr>
            <w:tcW w:type="dxa" w:w="6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当前模型版本和维度下没有有效样本</w:t>
            </w:r>
          </w:p>
        </w:tc>
      </w:tr>
      <w:t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DEGRADED</w:t>
            </w:r>
          </w:p>
        </w:tc>
        <w:tc>
          <w:tcPr>
            <w:tcW w:type="dxa" w:w="6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数据库存在记录但部分或全部记录损坏；sampleCount可能为0</w:t>
            </w:r>
          </w:p>
        </w:tc>
      </w:tr>
      <w:t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sampleCount</w:t>
            </w:r>
          </w:p>
        </w:tc>
        <w:tc>
          <w:tcPr>
            <w:tcW w:type="dxa" w:w="6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成功加载且实际参与检索的样本数</w:t>
            </w:r>
          </w:p>
        </w:tc>
      </w:tr>
      <w:t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modelVersion</w:t>
            </w:r>
          </w:p>
        </w:tc>
        <w:tc>
          <w:tcPr>
            <w:tcW w:type="dxa" w:w="6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当前索引绑定的模型版本</w:t>
            </w:r>
          </w:p>
        </w:tc>
      </w:tr>
      <w:t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vectorDimension</w:t>
            </w:r>
          </w:p>
        </w:tc>
        <w:tc>
          <w:tcPr>
            <w:tcW w:type="dxa" w:w="6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当前索引要求的向量维度</w:t>
            </w:r>
          </w:p>
        </w:tc>
      </w:tr>
      <w:t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loadedAt</w:t>
            </w:r>
          </w:p>
        </w:tc>
        <w:tc>
          <w:tcPr>
            <w:tcW w:type="dxa" w:w="6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快照生成时间；表现形式受宿主Jackson日期配置影响</w:t>
            </w:r>
          </w:p>
        </w:tc>
      </w:tr>
      <w:t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errorCount</w:t>
            </w:r>
          </w:p>
        </w:tc>
        <w:tc>
          <w:tcPr>
            <w:tcW w:type="dxa" w:w="6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重载时跳过的损坏记录数</w:t>
            </w:r>
          </w:p>
        </w:tc>
      </w:tr>
      <w:tr>
        <w:tc>
          <w:tcPr>
            <w:tcW w:type="dxa" w:w="2400"/>
          </w:tcPr>
          <w:p>
            <w:r>
              <w:t>NOT_READY</w:t>
            </w:r>
          </w:p>
        </w:tc>
        <w:tc>
          <w:tcPr>
            <w:tcW w:type="dxa" w:w="6960"/>
          </w:tcPr>
          <w:p>
            <w:r>
              <w:t>应用尚未完成首次Oracle索引加载，预测不可用</w:t>
            </w:r>
          </w:p>
        </w:tc>
      </w:tr>
      <w:tr>
        <w:tc>
          <w:tcPr>
            <w:tcW w:type="dxa" w:w="2400"/>
          </w:tcPr>
          <w:p>
            <w:r>
              <w:t>LOAD_FAILED</w:t>
            </w:r>
          </w:p>
        </w:tc>
        <w:tc>
          <w:tcPr>
            <w:tcW w:type="dxa" w:w="6960"/>
          </w:tcPr>
          <w:p>
            <w:r>
              <w:t>首次加载或空快照重载失败，预测不可用</w:t>
            </w:r>
          </w:p>
        </w:tc>
      </w:tr>
    </w:tbl>
    <w:p>
      <w:pPr>
        <w:spacing w:after="40"/>
      </w:pPr>
      <w:r/>
    </w:p>
    <w:p>
      <w:pPr>
        <w:pStyle w:val="Heading1"/>
      </w:pPr>
      <w:r>
        <w:t>7. 完整比较流程与判定规则</w:t>
      </w:r>
    </w:p>
    <w:p>
      <w:pPr>
        <w:pStyle w:val="Heading2"/>
      </w:pPr>
      <w:r>
        <w:t>7.1 新段落与历史段落如何比较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对新段落执行与导入时相同的文本规范化，并计算SHA-256。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若Hash完全命中历史样本，直接返回该样本类型，matchType=EXACT，不调用模型。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未精确命中时，调用统一Embedding网关生成配置维度的向量，并在Java侧执行L2归一化。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将新向量与所有内存历史向量计算点积；因双方均已归一化，点积等于余弦相似度。</w:t>
      </w:r>
    </w:p>
    <w:p>
      <w:pPr>
        <w:pStyle w:val="ListNumber"/>
      </w:pPr>
      <w:r>
        <w:t>使用最小堆保留最相似的10条记录，再按0.60判断可靠候选；即使全部低于阈值，也保留真实最高相似度和参考段落。</w:t>
      </w:r>
    </w:p>
    <w:p>
      <w:pPr>
        <w:pStyle w:val="ListNumber"/>
      </w:pPr>
      <w:r>
        <w:t>最相似的10条记录参与类型平方加权投票，其中最多返回5条参考段落。</w:t>
      </w:r>
    </w:p>
    <w:p>
      <w:pPr>
        <w:pStyle w:val="ListNumber"/>
      </w:pPr>
      <w:r>
        <w:t>投票无类型且第一名相似度达到0.80时，返回第一名类型作为候选；否则返回NO_RELIABLE_MATCH。</w:t>
      </w:r>
    </w:p>
    <w:p>
      <w:pPr>
        <w:pStyle w:val="Heading2"/>
      </w:pPr>
      <w:r>
        <w:t>7.2 加权投票公式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历史样本权重 = similarity²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类型得分 = 支持该类型的历史样本权重之和 / 全部投票样本权重之和</w:t>
      </w:r>
    </w:p>
    <w:p>
      <w:pPr>
        <w:spacing w:after="80"/>
      </w:pPr>
    </w:p>
    <w:p>
      <w:r>
        <w:rPr>
          <w:rFonts w:ascii="Calibri" w:hAnsi="Calibri" w:eastAsia="Microsoft YaHei"/>
          <w:b w:val="0"/>
          <w:i w:val="0"/>
          <w:color w:val="1F2937"/>
          <w:sz w:val="22"/>
        </w:rPr>
        <w:t>多标签历史样本中的每个标签都获得该样本完整权重。score表示综合支持度，不是段落相似度；references[].similarity才是段落之间的相似度。</w:t>
      </w:r>
    </w:p>
    <w:p>
      <w:pPr>
        <w:pStyle w:val="Heading2"/>
      </w:pPr>
      <w:r>
        <w:t>7.3 判定总表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000"/>
        <w:gridCol w:w="4500"/>
        <w:gridCol w:w="3860"/>
      </w:tblGrid>
      <w:tr>
        <w:trPr>
          <w:tblHeader w:val="true"/>
        </w:trPr>
        <w:tc>
          <w:tcPr>
            <w:tcW w:type="dxa" w:w="10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优先级</w:t>
            </w:r>
          </w:p>
        </w:tc>
        <w:tc>
          <w:tcPr>
            <w:tcW w:type="dxa" w:w="45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条件</w:t>
            </w:r>
          </w:p>
        </w:tc>
        <w:tc>
          <w:tcPr>
            <w:tcW w:type="dxa" w:w="38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结果</w:t>
            </w:r>
          </w:p>
        </w:tc>
      </w:tr>
      <w:tr>
        <w:tc>
          <w:tcPr>
            <w:tcW w:type="dxa" w:w="1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1</w:t>
            </w:r>
          </w:p>
        </w:tc>
        <w:tc>
          <w:tcPr>
            <w:tcW w:type="dxa" w:w="4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规范化文本Hash完全相同</w:t>
            </w:r>
          </w:p>
        </w:tc>
        <w:tc>
          <w:tcPr>
            <w:tcW w:type="dxa" w:w="3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EXACT；历史类型全部HIGH；相似度/得分1.0</w:t>
            </w:r>
          </w:p>
        </w:tc>
      </w:tr>
      <w:tr>
        <w:tc>
          <w:tcPr>
            <w:tcW w:type="dxa" w:w="1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2</w:t>
            </w:r>
          </w:p>
        </w:tc>
        <w:tc>
          <w:tcPr>
            <w:tcW w:type="dxa" w:w="4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Top-K投票存在score&gt;=0.55的类型</w:t>
            </w:r>
          </w:p>
        </w:tc>
        <w:tc>
          <w:tcPr>
            <w:tcW w:type="dxa" w:w="3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SEMANTIC；按规则返回HIGH或CANDIDATE</w:t>
            </w:r>
          </w:p>
        </w:tc>
      </w:tr>
      <w:tr>
        <w:tc>
          <w:tcPr>
            <w:tcW w:type="dxa" w:w="1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3</w:t>
            </w:r>
          </w:p>
        </w:tc>
        <w:tc>
          <w:tcPr>
            <w:tcW w:type="dxa" w:w="4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投票无结果；第一名相似度&gt;=0.80</w:t>
            </w:r>
          </w:p>
        </w:tc>
        <w:tc>
          <w:tcPr>
            <w:tcW w:type="dxa" w:w="3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SEMANTIC；第一名类型作为CANDIDATE</w:t>
            </w:r>
          </w:p>
        </w:tc>
      </w:tr>
      <w:tr>
        <w:tc>
          <w:tcPr>
            <w:tcW w:type="dxa" w:w="1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4</w:t>
            </w:r>
          </w:p>
        </w:tc>
        <w:tc>
          <w:tcPr>
            <w:tcW w:type="dxa" w:w="4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召回存在但类型冲突/证据不足</w:t>
            </w:r>
          </w:p>
        </w:tc>
        <w:tc>
          <w:tcPr>
            <w:tcW w:type="dxa" w:w="3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NO_RELIABLE_MATCH；保留references</w:t>
            </w:r>
          </w:p>
        </w:tc>
      </w:tr>
      <w:tr>
        <w:tc>
          <w:tcPr>
            <w:tcW w:type="dxa" w:w="1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5</w:t>
            </w:r>
          </w:p>
        </w:tc>
        <w:tc>
          <w:tcPr>
            <w:tcW w:type="dxa" w:w="4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无样本达到0.60</w:t>
            </w:r>
          </w:p>
        </w:tc>
        <w:tc>
          <w:tcPr>
            <w:tcW w:type="dxa" w:w="3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NO_RELIABLE_MATCH；保留真实maxSimilarity和参考段落</w:t>
            </w:r>
          </w:p>
        </w:tc>
      </w:tr>
    </w:tbl>
    <w:p>
      <w:pPr>
        <w:spacing w:after="40"/>
      </w:pPr>
    </w:p>
    <w:p>
      <w:pPr>
        <w:pStyle w:val="Heading1"/>
      </w:pPr>
      <w:r>
        <w:t>8. 错误处理与常见问题</w:t>
      </w:r>
    </w:p>
    <w:p>
      <w:pPr>
        <w:pStyle w:val="Heading2"/>
      </w:pPr>
      <w:r>
        <w:t>8.1 业务响应码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3980"/>
        <w:gridCol w:w="4180"/>
      </w:tblGrid>
      <w:tr>
        <w:trPr>
          <w:tblHeader w:val="true"/>
        </w:trPr>
        <w:tc>
          <w:tcPr>
            <w:tcW w:type="dxa" w:w="1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code</w:t>
            </w:r>
          </w:p>
        </w:tc>
        <w:tc>
          <w:tcPr>
            <w:tcW w:type="dxa" w:w="398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场景</w:t>
            </w:r>
          </w:p>
        </w:tc>
        <w:tc>
          <w:tcPr>
            <w:tcW w:type="dxa" w:w="418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处理建议</w:t>
            </w:r>
          </w:p>
        </w:tc>
      </w:tr>
      <w:tr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200</w:t>
            </w:r>
          </w:p>
        </w:tc>
        <w:tc>
          <w:tcPr>
            <w:tcW w:type="dxa" w:w="39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正常处理；导入仍需检查data.success</w:t>
            </w:r>
          </w:p>
        </w:tc>
        <w:tc>
          <w:tcPr>
            <w:tcW w:type="dxa" w:w="41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继续解析data</w:t>
            </w:r>
          </w:p>
        </w:tc>
      </w:tr>
      <w:tr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400</w:t>
            </w:r>
          </w:p>
        </w:tc>
        <w:tc>
          <w:tcPr>
            <w:tcW w:type="dxa" w:w="39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空参数、格式错误、段落超长、xlsx不合法等</w:t>
            </w:r>
          </w:p>
        </w:tc>
        <w:tc>
          <w:tcPr>
            <w:tcW w:type="dxa" w:w="41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修正请求或文件</w:t>
            </w:r>
          </w:p>
        </w:tc>
      </w:tr>
      <w:tr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503</w:t>
            </w:r>
          </w:p>
        </w:tc>
        <w:tc>
          <w:tcPr>
            <w:tcW w:type="dxa" w:w="39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Embedding网关连接/超时、4xx/5xx、限流、维度或响应格式异常</w:t>
            </w:r>
          </w:p>
        </w:tc>
        <w:tc>
          <w:tcPr>
            <w:tcW w:type="dxa" w:w="41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根据错误信息检查URL、API Key、权限、模型名、输入、批量和维度</w:t>
            </w:r>
          </w:p>
        </w:tc>
      </w:tr>
      <w:tr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500</w:t>
            </w:r>
          </w:p>
        </w:tc>
        <w:tc>
          <w:tcPr>
            <w:tcW w:type="dxa" w:w="39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数据库、程序或其他未预期异常</w:t>
            </w:r>
          </w:p>
        </w:tc>
        <w:tc>
          <w:tcPr>
            <w:tcW w:type="dxa" w:w="41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结合服务日志和trace-id排查</w:t>
            </w:r>
          </w:p>
        </w:tc>
      </w:tr>
    </w:tbl>
    <w:p>
      <w:pPr>
        <w:spacing w:after="40"/>
      </w:pPr>
      <w:r/>
    </w:p>
    <w:p>
      <w:pPr>
        <w:pStyle w:val="Heading2"/>
      </w:pPr>
      <w:r>
        <w:t>8.2 常见问题对照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2820"/>
        <w:gridCol w:w="3440"/>
      </w:tblGrid>
      <w:tr>
        <w:trPr>
          <w:tblHeader w:val="true"/>
        </w:trPr>
        <w:tc>
          <w:tcPr>
            <w:tcW w:type="dxa" w:w="31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现象/日志</w:t>
            </w:r>
          </w:p>
        </w:tc>
        <w:tc>
          <w:tcPr>
            <w:tcW w:type="dxa" w:w="282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原因</w:t>
            </w:r>
          </w:p>
        </w:tc>
        <w:tc>
          <w:tcPr>
            <w:tcW w:type="dxa" w:w="344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解决办法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Invalid bound statement</w:t>
            </w:r>
          </w:p>
        </w:tc>
        <w:tc>
          <w:tcPr>
            <w:tcW w:type="dxa" w:w="28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Mapper XML未加载或namespace/id不一致</w:t>
            </w:r>
          </w:p>
        </w:tc>
        <w:tc>
          <w:tcPr>
            <w:tcW w:type="dxa" w:w="3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检查mapper-locations、XML打包和namespace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getBLOB not implemented for T4CClobAccessor</w:t>
            </w:r>
          </w:p>
        </w:tc>
        <w:tc>
          <w:tcPr>
            <w:tcW w:type="dxa" w:w="28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VECTOR_DATA实际为CLOB或SQL取错列</w:t>
            </w:r>
          </w:p>
        </w:tc>
        <w:tc>
          <w:tcPr>
            <w:tcW w:type="dxa" w:w="3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无数据时直接ALTER/MODIFY为BLOB或重建字段；确认映射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HTTP 400/422：请求被拒绝</w:t>
            </w:r>
          </w:p>
        </w:tc>
        <w:tc>
          <w:tcPr>
            <w:tcW w:type="dxa" w:w="28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请求格式、文本长度或批量参数不符合模型网关要求</w:t>
            </w:r>
          </w:p>
        </w:tc>
        <w:tc>
          <w:tcPr>
            <w:tcW w:type="dxa" w:w="3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默认将EMBEDDING_BATCH_SIZE设为1；向平台确认输入和批量限制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Embedding向量维度不一致</w:t>
            </w:r>
          </w:p>
        </w:tc>
        <w:tc>
          <w:tcPr>
            <w:tcW w:type="dxa" w:w="28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模型实际输出维度与Java配置不一致</w:t>
            </w:r>
          </w:p>
        </w:tc>
        <w:tc>
          <w:tcPr>
            <w:tcW w:type="dxa" w:w="3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使用平台确认维度，并统一VECTOR_DIM和EMBEDDING_DIMENSION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matchType=SEMANTIC但类型为空（旧版本）</w:t>
            </w:r>
          </w:p>
        </w:tc>
        <w:tc>
          <w:tcPr>
            <w:tcW w:type="dxa" w:w="28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旧逻辑仅因召回存在即返回SEMANTIC</w:t>
            </w:r>
          </w:p>
        </w:tc>
        <w:tc>
          <w:tcPr>
            <w:tcW w:type="dxa" w:w="3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使用已优化版本；无类型时返回NO_RELIABLE_MATCH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最高相似度高但无类型</w:t>
            </w:r>
          </w:p>
        </w:tc>
        <w:tc>
          <w:tcPr>
            <w:tcW w:type="dxa" w:w="28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标签分散、类型冲突或前两名过近</w:t>
            </w:r>
          </w:p>
        </w:tc>
        <w:tc>
          <w:tcPr>
            <w:tcW w:type="dxa" w:w="3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检查references；满足强匹配条件时新版会返回第一名候选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indexReloaded=false</w:t>
            </w:r>
          </w:p>
        </w:tc>
        <w:tc>
          <w:tcPr>
            <w:tcW w:type="dxa" w:w="28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入库成功但索引刷新失败</w:t>
            </w:r>
          </w:p>
        </w:tc>
        <w:tc>
          <w:tcPr>
            <w:tcW w:type="dxa" w:w="3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数据无需重导；修复原因后调用/index/reload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请求耗时很长</w:t>
            </w:r>
          </w:p>
        </w:tc>
        <w:tc>
          <w:tcPr>
            <w:tcW w:type="dxa" w:w="28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默认逐条网关调用、批次多或长文本</w:t>
            </w:r>
          </w:p>
        </w:tc>
        <w:tc>
          <w:tcPr>
            <w:tcW w:type="dxa" w:w="3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确认平台批量能力、拆分Excel并调整调用链超时</w:t>
            </w:r>
          </w:p>
        </w:tc>
      </w:tr>
    </w:tbl>
    <w:p>
      <w:pPr>
        <w:spacing w:after="40"/>
      </w:pPr>
      <w:r/>
    </w:p>
    <w:p>
      <w:pPr>
        <w:pStyle w:val="Heading1"/>
      </w:pPr>
      <w:r>
        <w:t>9. 推荐联调顺序</w:t>
      </w:r>
    </w:p>
    <w:p>
      <w:pPr>
        <w:pStyle w:val="ListNumber"/>
      </w:pPr>
      <w:r>
        <w:t>确认Oracle脚本已执行；确认测试网络可访问10.63.36.231:80，并取得平台确认的完整Embedding URL、API Key、模型名称、版本、维度和输入限制。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使用平台测试环境完成一条Embedding请求，确认data[].embedding数量和维度正确；Actuator不主动调用模型推理接口。</w:t>
      </w:r>
    </w:p>
    <w:p>
      <w:pPr>
        <w:pStyle w:val="ListNumber"/>
      </w:pPr>
      <w:r>
        <w:t>调用GET /index/status，首次成功加载应看到EMPTY、READY或DEGRADED；NOT_READY或LOAD_FAILED表示索引不可用。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准备2～10条格式正确的Excel，携带user_id调用导入接口，确认success=true、indexReloaded=true。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再次查询/index/status，确认sampleCount与数据库有效样本数量一致。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携带user_id，用完全相同的历史段落调用/predict，验证EXACT且不会额外调用模型。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携带user_id，对历史段落改写后调用/predict，验证SEMANTIC、references、score和level。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使用无关文本验证NO_RELIABLE_MATCH，并检查类型不会被强行返回。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进行100～1000条同步导入压测；批量未确认时保持为1，确认平台数组上限后再调整批量及调用链超时。</w:t>
      </w:r>
    </w:p>
    <w:p>
      <w:pPr>
        <w:pStyle w:val="Heading2"/>
      </w:pPr>
      <w:r>
        <w:t>9.1 Postman检查清单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请求URL包含正确的端口、context-path和接口路径。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预测和导入请求都必须填写user_id；预测Body选择raw/JSON，导入Body选择form-data并使用file类型。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不要只看HTTP 200；同时检查外层code以及导入data.success。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保存环境变量baseUrl，避免开发、测试、生产地址手工替换错误。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不要在日志、截图、代码或Git中泄露完整合同正文、数据库密码、API Key、user_id或Authorization令牌。</w:t>
      </w:r>
    </w:p>
    <w:p>
      <w:pPr>
        <w:pStyle w:val="Heading2"/>
      </w:pPr>
      <w:r>
        <w:t>9.2 关键配置清单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400"/>
        <w:gridCol w:w="2500"/>
        <w:gridCol w:w="3460"/>
      </w:tblGrid>
      <w:tr>
        <w:trPr>
          <w:tblHeader w:val="true"/>
        </w:trPr>
        <w:tc>
          <w:tcPr>
            <w:tcW w:type="dxa" w:w="34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6"/>
              </w:rPr>
              <w:t>环境变量</w:t>
            </w:r>
          </w:p>
        </w:tc>
        <w:tc>
          <w:tcPr>
            <w:tcW w:type="dxa" w:w="25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6"/>
              </w:rPr>
              <w:t>默认值</w:t>
            </w:r>
          </w:p>
        </w:tc>
        <w:tc>
          <w:tcPr>
            <w:tcW w:type="dxa" w:w="34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6"/>
              </w:rPr>
              <w:t>作用</w:t>
            </w:r>
          </w:p>
        </w:tc>
      </w:tr>
      <w:tr>
        <w:tc>
          <w:tcPr>
            <w:tcW w:type="dxa" w:w="3400"/>
          </w:tcPr>
          <w:p>
            <w:r>
              <w:t>SERVER_PORT</w:t>
            </w:r>
          </w:p>
        </w:tc>
        <w:tc>
          <w:tcPr>
            <w:tcW w:type="dxa" w:w="2500"/>
          </w:tcPr>
          <w:p>
            <w:r>
              <w:t>8080</w:t>
            </w:r>
          </w:p>
        </w:tc>
        <w:tc>
          <w:tcPr>
            <w:tcW w:type="dxa" w:w="3460"/>
          </w:tcPr>
          <w:p>
            <w:r>
              <w:t>Java服务端口</w:t>
            </w:r>
          </w:p>
        </w:tc>
      </w:tr>
      <w:tr>
        <w:tc>
          <w:tcPr>
            <w:tcW w:type="dxa" w:w="3400"/>
          </w:tcPr>
          <w:p>
            <w:r>
              <w:t>ORACLE_URL/USERNAME/PASSWORD</w:t>
            </w:r>
          </w:p>
        </w:tc>
        <w:tc>
          <w:tcPr>
            <w:tcW w:type="dxa" w:w="2500"/>
          </w:tcPr>
          <w:p>
            <w:r>
              <w:t>开发占位</w:t>
            </w:r>
          </w:p>
        </w:tc>
        <w:tc>
          <w:tcPr>
            <w:tcW w:type="dxa" w:w="3460"/>
          </w:tcPr>
          <w:p>
            <w:r>
              <w:t>Oracle连接</w:t>
            </w:r>
          </w:p>
        </w:tc>
      </w:tr>
      <w:tr>
        <w:tc>
          <w:tcPr>
            <w:tcW w:type="dxa" w:w="3400"/>
          </w:tcPr>
          <w:p>
            <w:r>
              <w:t>EMBEDDING_URL</w:t>
            </w:r>
          </w:p>
        </w:tc>
        <w:tc>
          <w:tcPr>
            <w:tcW w:type="dxa" w:w="2500"/>
          </w:tcPr>
          <w:p>
            <w:r>
              <w:t>无</w:t>
            </w:r>
          </w:p>
        </w:tc>
        <w:tc>
          <w:tcPr>
            <w:tcW w:type="dxa" w:w="3460"/>
          </w:tcPr>
          <w:p>
            <w:r>
              <w:t>平台确认的完整Embedding接口地址</w:t>
            </w:r>
          </w:p>
        </w:tc>
      </w:tr>
      <w:tr>
        <w:tc>
          <w:tcPr>
            <w:tcW w:type="dxa" w:w="3400"/>
          </w:tcPr>
          <w:p>
            <w:r>
              <w:t>EMBEDDING_API_KEY</w:t>
            </w:r>
          </w:p>
        </w:tc>
        <w:tc>
          <w:tcPr>
            <w:tcW w:type="dxa" w:w="2500"/>
          </w:tcPr>
          <w:p>
            <w:r>
              <w:t>无</w:t>
            </w:r>
          </w:p>
        </w:tc>
        <w:tc>
          <w:tcPr>
            <w:tcW w:type="dxa" w:w="3460"/>
          </w:tcPr>
          <w:p>
            <w:r>
              <w:t>模型平台密钥；禁止提交Git或输出日志</w:t>
            </w:r>
          </w:p>
        </w:tc>
      </w:tr>
      <w:tr>
        <w:tc>
          <w:tcPr>
            <w:tcW w:type="dxa" w:w="3400"/>
          </w:tcPr>
          <w:p>
            <w:r>
              <w:t>EMBEDDING_MODEL_NAME</w:t>
            </w:r>
          </w:p>
        </w:tc>
        <w:tc>
          <w:tcPr>
            <w:tcW w:type="dxa" w:w="2500"/>
          </w:tcPr>
          <w:p>
            <w:r>
              <w:t>无</w:t>
            </w:r>
          </w:p>
        </w:tc>
        <w:tc>
          <w:tcPr>
            <w:tcW w:type="dxa" w:w="3460"/>
          </w:tcPr>
          <w:p>
            <w:r>
              <w:t>请求体model字段</w:t>
            </w:r>
          </w:p>
        </w:tc>
      </w:tr>
      <w:tr>
        <w:tc>
          <w:tcPr>
            <w:tcW w:type="dxa" w:w="3400"/>
          </w:tcPr>
          <w:p>
            <w:r>
              <w:t>EMBEDDING_MODEL_VERSION</w:t>
            </w:r>
          </w:p>
        </w:tc>
        <w:tc>
          <w:tcPr>
            <w:tcW w:type="dxa" w:w="2500"/>
          </w:tcPr>
          <w:p>
            <w:r>
              <w:t>无</w:t>
            </w:r>
          </w:p>
        </w:tc>
        <w:tc>
          <w:tcPr>
            <w:tcW w:type="dxa" w:w="3460"/>
          </w:tcPr>
          <w:p>
            <w:r>
              <w:t>数据隔离和向量兼容版本</w:t>
            </w:r>
          </w:p>
        </w:tc>
      </w:tr>
      <w:tr>
        <w:tc>
          <w:tcPr>
            <w:tcW w:type="dxa" w:w="3400"/>
          </w:tcPr>
          <w:p>
            <w:r>
              <w:t>EMBEDDING_DIMENSION</w:t>
            </w:r>
          </w:p>
        </w:tc>
        <w:tc>
          <w:tcPr>
            <w:tcW w:type="dxa" w:w="2500"/>
          </w:tcPr>
          <w:p>
            <w:r>
              <w:t>无</w:t>
            </w:r>
          </w:p>
        </w:tc>
        <w:tc>
          <w:tcPr>
            <w:tcW w:type="dxa" w:w="3460"/>
          </w:tcPr>
          <w:p>
            <w:r>
              <w:t>平台确认的实际向量维度</w:t>
            </w:r>
          </w:p>
        </w:tc>
      </w:tr>
      <w:tr>
        <w:tc>
          <w:tcPr>
            <w:tcW w:type="dxa" w:w="3400"/>
          </w:tcPr>
          <w:p>
            <w:r>
              <w:t>EMBEDDING_BATCH_SIZE</w:t>
            </w:r>
          </w:p>
        </w:tc>
        <w:tc>
          <w:tcPr>
            <w:tcW w:type="dxa" w:w="2500"/>
          </w:tcPr>
          <w:p>
            <w:r>
              <w:t>1</w:t>
            </w:r>
          </w:p>
        </w:tc>
        <w:tc>
          <w:tcPr>
            <w:tcW w:type="dxa" w:w="3460"/>
          </w:tcPr>
          <w:p>
            <w:r>
              <w:t>单次网关调用文本数；确认平台上限后再调大</w:t>
            </w:r>
          </w:p>
        </w:tc>
      </w:tr>
      <w:tr>
        <w:tc>
          <w:tcPr>
            <w:tcW w:type="dxa" w:w="3400"/>
          </w:tcPr>
          <w:p>
            <w:r>
              <w:t>IMPORT_MAX_ROWS</w:t>
            </w:r>
          </w:p>
        </w:tc>
        <w:tc>
          <w:tcPr>
            <w:tcW w:type="dxa" w:w="2500"/>
          </w:tcPr>
          <w:p>
            <w:r>
              <w:t>1000</w:t>
            </w:r>
          </w:p>
        </w:tc>
        <w:tc>
          <w:tcPr>
            <w:tcW w:type="dxa" w:w="3460"/>
          </w:tcPr>
          <w:p>
            <w:r>
              <w:t>单个Excel最大非空行数</w:t>
            </w:r>
          </w:p>
        </w:tc>
      </w:tr>
      <w:tr>
        <w:tc>
          <w:tcPr>
            <w:tcW w:type="dxa" w:w="3400"/>
          </w:tcPr>
          <w:p>
            <w:r>
              <w:t>IMPORT_MAX_TOTAL_SAMPLES</w:t>
            </w:r>
          </w:p>
        </w:tc>
        <w:tc>
          <w:tcPr>
            <w:tcW w:type="dxa" w:w="2500"/>
          </w:tcPr>
          <w:p>
            <w:r>
              <w:t>10000</w:t>
            </w:r>
          </w:p>
        </w:tc>
        <w:tc>
          <w:tcPr>
            <w:tcW w:type="dxa" w:w="3460"/>
          </w:tcPr>
          <w:p>
            <w:r>
              <w:t>第一版历史样本总数上限</w:t>
            </w:r>
          </w:p>
        </w:tc>
      </w:tr>
      <w:tr>
        <w:tc>
          <w:tcPr>
            <w:tcW w:type="dxa" w:w="3400"/>
          </w:tcPr>
          <w:p>
            <w:r>
              <w:t>SEARCH_MAX_PARAGRAPH_LENGTH</w:t>
            </w:r>
          </w:p>
        </w:tc>
        <w:tc>
          <w:tcPr>
            <w:tcW w:type="dxa" w:w="2500"/>
          </w:tcPr>
          <w:p>
            <w:r>
              <w:t>480</w:t>
            </w:r>
          </w:p>
        </w:tc>
        <w:tc>
          <w:tcPr>
            <w:tcW w:type="dxa" w:w="3460"/>
          </w:tcPr>
          <w:p>
            <w:r>
              <w:t>业务字符上限；不自动截断</w:t>
            </w:r>
          </w:p>
        </w:tc>
      </w:tr>
      <w:tr>
        <w:tc>
          <w:tcPr>
            <w:tcW w:type="dxa" w:w="3400"/>
          </w:tcPr>
          <w:p>
            <w:r>
              <w:t>SEARCH_MIN_SIMILARITY</w:t>
            </w:r>
          </w:p>
        </w:tc>
        <w:tc>
          <w:tcPr>
            <w:tcW w:type="dxa" w:w="2500"/>
          </w:tcPr>
          <w:p>
            <w:r>
              <w:t>0.60</w:t>
            </w:r>
          </w:p>
        </w:tc>
        <w:tc>
          <w:tcPr>
            <w:tcW w:type="dxa" w:w="3460"/>
          </w:tcPr>
          <w:p>
            <w:r>
              <w:t>历史样本进入召回的最低相似度</w:t>
            </w:r>
          </w:p>
        </w:tc>
      </w:tr>
      <w:tr>
        <w:tc>
          <w:tcPr>
            <w:tcW w:type="dxa" w:w="3400"/>
          </w:tcPr>
          <w:p>
            <w:r>
              <w:t>SEARCH_CANDIDATE_THRESHOLD</w:t>
            </w:r>
          </w:p>
        </w:tc>
        <w:tc>
          <w:tcPr>
            <w:tcW w:type="dxa" w:w="2500"/>
          </w:tcPr>
          <w:p>
            <w:r>
              <w:t>0.55</w:t>
            </w:r>
          </w:p>
        </w:tc>
        <w:tc>
          <w:tcPr>
            <w:tcW w:type="dxa" w:w="3460"/>
          </w:tcPr>
          <w:p>
            <w:r>
              <w:t>类型可返回的最低投票得分</w:t>
            </w:r>
          </w:p>
        </w:tc>
      </w:tr>
      <w:tr>
        <w:tc>
          <w:tcPr>
            <w:tcW w:type="dxa" w:w="3400"/>
          </w:tcPr>
          <w:p>
            <w:r>
              <w:t>SEARCH_HIGH_THRESHOLD</w:t>
            </w:r>
          </w:p>
        </w:tc>
        <w:tc>
          <w:tcPr>
            <w:tcW w:type="dxa" w:w="2500"/>
          </w:tcPr>
          <w:p>
            <w:r>
              <w:t>0.80</w:t>
            </w:r>
          </w:p>
        </w:tc>
        <w:tc>
          <w:tcPr>
            <w:tcW w:type="dxa" w:w="3460"/>
          </w:tcPr>
          <w:p>
            <w:r>
              <w:t>高可信类型得分阈值</w:t>
            </w:r>
          </w:p>
        </w:tc>
      </w:tr>
      <w:tr>
        <w:tc>
          <w:tcPr>
            <w:tcW w:type="dxa" w:w="3400"/>
          </w:tcPr>
          <w:p>
            <w:r>
              <w:t>SEARCH_MIN_SUPPORT_COUNT</w:t>
            </w:r>
          </w:p>
        </w:tc>
        <w:tc>
          <w:tcPr>
            <w:tcW w:type="dxa" w:w="2500"/>
          </w:tcPr>
          <w:p>
            <w:r>
              <w:t>2</w:t>
            </w:r>
          </w:p>
        </w:tc>
        <w:tc>
          <w:tcPr>
            <w:tcW w:type="dxa" w:w="3460"/>
          </w:tcPr>
          <w:p>
            <w:r>
              <w:t>HIGH所需最少支持样本数</w:t>
            </w:r>
          </w:p>
        </w:tc>
      </w:tr>
      <w:tr>
        <w:tc>
          <w:tcPr>
            <w:tcW w:type="dxa" w:w="3400"/>
          </w:tcPr>
          <w:p>
            <w:r>
              <w:t>SEARCH_STRONG_MATCH_THRESHOLD</w:t>
            </w:r>
          </w:p>
        </w:tc>
        <w:tc>
          <w:tcPr>
            <w:tcW w:type="dxa" w:w="2500"/>
          </w:tcPr>
          <w:p>
            <w:r>
              <w:t>0.80</w:t>
            </w:r>
          </w:p>
        </w:tc>
        <w:tc>
          <w:tcPr>
            <w:tcW w:type="dxa" w:w="3460"/>
          </w:tcPr>
          <w:p>
            <w:r>
              <w:t>强单条兜底第一名最低相似度</w:t>
            </w:r>
          </w:p>
        </w:tc>
      </w:tr>
    </w:tbl>
    <w:p>
      <w:pPr>
        <w:spacing w:after="40"/>
      </w:pPr>
    </w:p>
    <w:p>
      <w:pPr>
        <w:pStyle w:val="Heading1"/>
      </w:pPr>
      <w:r>
        <w:t>附录A：接口一览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3900"/>
        <w:gridCol w:w="2700"/>
        <w:gridCol w:w="1660"/>
      </w:tblGrid>
      <w:tr>
        <w:trPr>
          <w:tblHeader w:val="true"/>
        </w:trPr>
        <w:tc>
          <w:tcPr>
            <w:tcW w:type="dxa" w:w="11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方法</w:t>
            </w:r>
          </w:p>
        </w:tc>
        <w:tc>
          <w:tcPr>
            <w:tcW w:type="dxa" w:w="39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路径</w:t>
            </w:r>
          </w:p>
        </w:tc>
        <w:tc>
          <w:tcPr>
            <w:tcW w:type="dxa" w:w="27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用途</w:t>
            </w:r>
          </w:p>
        </w:tc>
        <w:tc>
          <w:tcPr>
            <w:tcW w:type="dxa" w:w="16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请求体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POST</w:t>
            </w:r>
          </w:p>
        </w:tc>
        <w:tc>
          <w:tcPr>
            <w:tcW w:type="dxa" w:w="3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/service/contract-change/samples/import</w:t>
            </w:r>
          </w:p>
        </w:tc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导入历史样本</w:t>
            </w:r>
          </w:p>
        </w:tc>
        <w:tc>
          <w:tcPr>
            <w:tcW w:type="dxa" w:w="1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multipart file；user_id头必填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POST</w:t>
            </w:r>
          </w:p>
        </w:tc>
        <w:tc>
          <w:tcPr>
            <w:tcW w:type="dxa" w:w="3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/service/contract-change/predict</w:t>
            </w:r>
          </w:p>
        </w:tc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预测新段落类型</w:t>
            </w:r>
          </w:p>
        </w:tc>
        <w:tc>
          <w:tcPr>
            <w:tcW w:type="dxa" w:w="1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JSON paragraph；user_id头必填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POST</w:t>
            </w:r>
          </w:p>
        </w:tc>
        <w:tc>
          <w:tcPr>
            <w:tcW w:type="dxa" w:w="3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/service/contract-change/index/reload</w:t>
            </w:r>
          </w:p>
        </w:tc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从Oracle重载索引</w:t>
            </w:r>
          </w:p>
        </w:tc>
        <w:tc>
          <w:tcPr>
            <w:tcW w:type="dxa" w:w="1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无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GET</w:t>
            </w:r>
          </w:p>
        </w:tc>
        <w:tc>
          <w:tcPr>
            <w:tcW w:type="dxa" w:w="3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/service/contract-change/index/status</w:t>
            </w:r>
          </w:p>
        </w:tc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查询索引状态</w:t>
            </w:r>
          </w:p>
        </w:tc>
        <w:tc>
          <w:tcPr>
            <w:tcW w:type="dxa" w:w="1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无</w:t>
            </w:r>
          </w:p>
        </w:tc>
      </w:tr>
    </w:tbl>
    <w:p>
      <w:pPr>
        <w:spacing w:after="40"/>
      </w:pPr>
      <w:r/>
    </w:p>
    <w:p>
      <w:pPr>
        <w:pStyle w:val="Heading1"/>
      </w:pPr>
      <w:r>
        <w:t>附录B：术语说明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rPr>
          <w:tblHeader w:val="true"/>
        </w:trPr>
        <w:tc>
          <w:tcPr>
            <w:tcW w:type="dxa" w:w="23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术语</w:t>
            </w:r>
          </w:p>
        </w:tc>
        <w:tc>
          <w:tcPr>
            <w:tcW w:type="dxa" w:w="70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说明</w:t>
            </w:r>
          </w:p>
        </w:tc>
      </w:tr>
      <w:t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历史样本</w:t>
            </w:r>
          </w:p>
        </w:tc>
        <w:tc>
          <w:tcPr>
            <w:tcW w:type="dxa" w:w="7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已确认“合同段落—变更类型编码”关系并已生成向量的数据</w:t>
            </w:r>
          </w:p>
        </w:tc>
      </w:tr>
      <w:t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规范化文本</w:t>
            </w:r>
          </w:p>
        </w:tc>
        <w:tc>
          <w:tcPr>
            <w:tcW w:type="dxa" w:w="7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统一空白和换行后的段落；用于Hash和向量生成</w:t>
            </w:r>
          </w:p>
        </w:tc>
      </w:tr>
      <w:t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TEXT_HASH</w:t>
            </w:r>
          </w:p>
        </w:tc>
        <w:tc>
          <w:tcPr>
            <w:tcW w:type="dxa" w:w="7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规范化段落的SHA-256，用于幂等去重和精确命中</w:t>
            </w:r>
          </w:p>
        </w:tc>
      </w:tr>
      <w:t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Embedding</w:t>
            </w:r>
          </w:p>
        </w:tc>
        <w:tc>
          <w:tcPr>
            <w:tcW w:type="dxa" w:w="7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将一段文本转换为固定维度语义向量的模型过程</w:t>
            </w:r>
          </w:p>
        </w:tc>
      </w:tr>
      <w:t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余弦相似度</w:t>
            </w:r>
          </w:p>
        </w:tc>
        <w:tc>
          <w:tcPr>
            <w:tcW w:type="dxa" w:w="7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新段落向量与历史段落向量的接近程度；不是准确率</w:t>
            </w:r>
          </w:p>
        </w:tc>
      </w:tr>
      <w:t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Top-K</w:t>
            </w:r>
          </w:p>
        </w:tc>
        <w:tc>
          <w:tcPr>
            <w:tcW w:type="dxa" w:w="7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按相似度选择的前K条历史样本</w:t>
            </w:r>
          </w:p>
        </w:tc>
      </w:tr>
      <w:t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加权投票</w:t>
            </w:r>
          </w:p>
        </w:tc>
        <w:tc>
          <w:tcPr>
            <w:tcW w:type="dxa" w:w="7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按similarity²为历史样本赋权，再聚合其类型标签</w:t>
            </w:r>
          </w:p>
        </w:tc>
      </w:tr>
      <w:t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强单条兜底</w:t>
            </w:r>
          </w:p>
        </w:tc>
        <w:tc>
          <w:tcPr>
            <w:tcW w:type="dxa" w:w="7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投票无结果且第一名达到强匹配阈值时，返回第一名类型作为CANDIDATE</w:t>
            </w:r>
          </w:p>
        </w:tc>
      </w:tr>
      <w:t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内存索引</w:t>
            </w:r>
          </w:p>
        </w:tc>
        <w:tc>
          <w:tcPr>
            <w:tcW w:type="dxa" w:w="7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Oracle有效样本在当前JVM中的只读向量快照</w:t>
            </w:r>
          </w:p>
        </w:tc>
      </w:tr>
    </w:tbl>
    <w:p>
      <w:pPr>
        <w:spacing w:after="40"/>
      </w:pPr>
    </w:p>
    <w:p>
      <w:pPr>
        <w:pStyle w:val="Heading1"/>
      </w:pPr>
      <w:r>
        <w:t>附录C：上线验收建议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开发和生产使用同一Java制品；只通过环境变量切换统一网关地址、API Key、Oracle和容量参数。</w:t>
      </w:r>
    </w:p>
    <w:p>
      <w:pPr>
        <w:pStyle w:val="ListBullet"/>
      </w:pPr>
      <w:r>
        <w:t>模型升级后设置新的MODEL_VERSION和实际维度，并使用原历史Excel全量重新导入；不得混用不同模型版本向量。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准备人工确认的合同段落测试集，分别统计EXACT、SEMANTIC、候选和无可靠匹配。</w:t>
      </w:r>
    </w:p>
    <w:p>
      <w:pPr>
        <w:pStyle w:val="ListBullet"/>
      </w:pPr>
      <w:r>
        <w:t>基于实际测试集调整0.60、0.55和0.80等阈值，不以少量个案直接调参。</w:t>
      </w:r>
    </w:p>
    <w:p>
      <w:pPr>
        <w:pStyle w:val="ListBullet"/>
      </w:pPr>
      <w:r>
        <w:t>生产监控模型调用耗时、HTTP 400/401/403/404/422/429/5xx、导入失败率、索引DEGRADED及sampleCount异常。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业务网关超时必须覆盖最大同步导入耗时；平台确认批量能力后优先调大批量，第一版不增加异步任务。</w:t>
      </w:r>
    </w:p>
    <w:p>
      <w:pPr>
        <w:spacing w:before="100" w:after="140"/>
        <w:ind w:left="173" w:right="115"/>
        <w:shd w:fill="F4F6F9"/>
        <w:pBdr>
          <w:left w:val="single" w:sz="18" w:color="2E74B5" w:space="8"/>
        </w:pBdr>
      </w:pPr>
      <w:r>
        <w:rPr>
          <w:rFonts w:ascii="Calibri" w:hAnsi="Calibri" w:eastAsia="Microsoft YaHei"/>
          <w:b/>
          <w:i w:val="0"/>
          <w:color w:val="2E74B5"/>
          <w:sz w:val="22"/>
        </w:rPr>
        <w:t xml:space="preserve">文档结束  </w:t>
      </w:r>
      <w:r>
        <w:rPr>
          <w:rFonts w:ascii="Calibri" w:hAnsi="Calibri" w:eastAsia="Microsoft YaHei"/>
          <w:b w:val="0"/>
          <w:i w:val="0"/>
          <w:color w:val="1F2937"/>
          <w:sz w:val="22"/>
        </w:rPr>
        <w:t>接口行为以部署版本源码、Swagger及运行配置为最终依据。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24" w:bottom="1037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 w:eastAsia="Microsoft YaHei"/>
        <w:b w:val="0"/>
        <w:i w:val="0"/>
        <w:color w:val="667085"/>
        <w:sz w:val="17"/>
      </w:rPr>
      <w:t xml:space="preserve">第 </w:t>
    </w:r>
    <w:r>
      <w:fldChar w:fldCharType="begin"/>
      <w:instrText xml:space="preserve"> PAGE </w:instrText>
      <w:fldChar w:fldCharType="end"/>
    </w:r>
    <w:r>
      <w:rPr>
        <w:rFonts w:ascii="Calibri" w:hAnsi="Calibri" w:eastAsia="Microsoft YaHei"/>
        <w:b w:val="0"/>
        <w:i w:val="0"/>
        <w:color w:val="667085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 w:eastAsia="Microsoft YaHei"/>
        <w:b w:val="0"/>
        <w:i w:val="0"/>
        <w:color w:val="667085"/>
        <w:sz w:val="17"/>
      </w:rPr>
      <w:t>合同段落变更类型识别服务  |  接口调用说明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