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36"/>
        </w:rPr>
        <w:t>基于 MAF 的多智能体正确性治理与错误链路分析（闭环补充版）</w:t>
      </w:r>
    </w:p>
    <w:p>
      <w:pPr>
        <w:spacing w:after="360"/>
        <w:jc w:val="center"/>
      </w:pPr>
      <w:r>
        <w:rPr>
          <w:rFonts w:ascii="Calibri" w:hAnsi="Calibri" w:eastAsia="Microsoft YaHei"/>
          <w:b w:val="0"/>
          <w:i w:val="0"/>
          <w:color w:val="5B6573"/>
          <w:sz w:val="21"/>
        </w:rPr>
        <w:t>补充实验报告 | 2026 年 8 月 17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多智能体系统的讨论目标应是最终决策正确，而不是更快形成共识。既有 HiddenBench 复现已显示，私有信息能否及时公开、被正确理解并落实到行动，会共同影响最终结果。为回应实验中单智能体对照、错误链路可追溯性和人工复核入口尚未闭环的问题，本文只使用冻结确认性 JSONL 与原子披露审计重新提取证据。在相同 DeepSeek 模型和三题各 10 次范围内，局部信息单智能体、全信息无讨论单智能体和 fixed-60 多智能体分别为 4/30、20/30 和 17/30。本文进一步给出未披露、已披露但与证据矛盾、以及已披露但未落实到最终行动的三条消息级链路卡。同时生成双人真人盲审签核包和保守合并器，但未把模型复核写成人工金标准，也未把未运行的 GPT-4.1 解耦实验写成结果。因此，本补充版的贡献是把可自动复核的部分固定为可追溯证据，并把仍需真人或外部接口支持的结论边界明确保留。</w:t>
      </w:r>
    </w:p>
    <w:p>
      <w:pPr>
        <w:spacing w:after="240"/>
      </w:pPr>
      <w:r>
        <w:rPr>
          <w:rFonts w:ascii="Calibri" w:hAnsi="Calibri" w:eastAsia="Microsoft YaHei"/>
          <w:b/>
          <w:i w:val="0"/>
          <w:sz w:val="21"/>
        </w:rPr>
        <w:t>关键词：</w:t>
      </w:r>
      <w:r>
        <w:rPr>
          <w:rFonts w:ascii="Calibri" w:hAnsi="Calibri" w:eastAsia="Microsoft YaHei"/>
          <w:b w:val="0"/>
          <w:i w:val="0"/>
          <w:sz w:val="21"/>
        </w:rPr>
        <w:t>多智能体系统；正确性治理；单智能体对照；信息披露；双人盲审；HiddenBench</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补充版边界：</w:t>
            </w:r>
            <w:r>
              <w:rPr>
                <w:rFonts w:ascii="Calibri" w:hAnsi="Calibri" w:eastAsia="Microsoft YaHei"/>
                <w:b w:val="0"/>
                <w:i w:val="0"/>
                <w:sz w:val="21"/>
              </w:rPr>
              <w:t>已完成的是冻结数据的重算、可追溯链路和真人盲审工具；真人标签与模型—框架解耦结果仍待真实外部输入。</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大语言模型驱动的多智能体系统把复杂任务交给多个具有不同角色、工具或信息的 Agent，再通过消息交换和投票形成答案。相关综述把角色分工、通信结构、记忆和工作流视为系统能力的重要来源</w:t>
      </w:r>
      <w:r>
        <w:rPr>
          <w:rStyle w:val="FootnoteReference"/>
        </w:rPr>
        <w:footnoteReference w:id="1"/>
      </w:r>
      <w:r>
        <w:rPr>
          <w:rFonts w:ascii="Calibri" w:hAnsi="Calibri" w:eastAsia="Microsoft YaHei"/>
          <w:b w:val="0"/>
          <w:i w:val="0"/>
          <w:sz w:val="22"/>
        </w:rPr>
        <w:t>；多智能体辩论则表明，相互审查可能改善部分事实性和推理任务</w:t>
      </w:r>
      <w:r>
        <w:rPr>
          <w:rStyle w:val="FootnoteReference"/>
        </w:rPr>
        <w:footnoteReference w:id="2"/>
      </w:r>
      <w:r>
        <w:rPr>
          <w:rFonts w:ascii="Calibri" w:hAnsi="Calibri" w:eastAsia="Microsoft YaHei"/>
          <w:b w:val="0"/>
          <w:i w:val="0"/>
          <w:sz w:val="22"/>
        </w:rPr>
        <w:t>。但参与者更多、讨论更长或共识更强，都不能直接保证答案正确。</w:t>
      </w:r>
    </w:p>
    <w:p>
      <w:pPr>
        <w:spacing w:before="0" w:after="160" w:line="320" w:lineRule="auto"/>
        <w:jc w:val="both"/>
      </w:pPr>
      <w:r>
        <w:rPr>
          <w:rFonts w:ascii="Calibri" w:hAnsi="Calibri" w:eastAsia="Microsoft YaHei"/>
          <w:b w:val="0"/>
          <w:i w:val="0"/>
          <w:sz w:val="22"/>
        </w:rPr>
        <w:t>信息不对称任务尤其容易暴露这一问题。Hidden Profile 范式让每个成员只掌握一部分决定性信息，正确答案只有在讨论中汇集未共享信息后才会出现</w:t>
      </w:r>
      <w:r>
        <w:rPr>
          <w:rStyle w:val="FootnoteReference"/>
        </w:rPr>
        <w:footnoteReference w:id="3"/>
      </w:r>
      <w:r>
        <w:rPr>
          <w:rFonts w:ascii="Calibri" w:hAnsi="Calibri" w:eastAsia="Microsoft YaHei"/>
          <w:b w:val="0"/>
          <w:i w:val="0"/>
          <w:sz w:val="22"/>
        </w:rPr>
        <w:t>；长期研究表明，群体往往重复公共信息而忽视未共享信息</w:t>
      </w:r>
      <w:r>
        <w:rPr>
          <w:rStyle w:val="FootnoteReference"/>
        </w:rPr>
        <w:footnoteReference w:id="4"/>
      </w:r>
      <w:r>
        <w:rPr>
          <w:rFonts w:ascii="Calibri" w:hAnsi="Calibri" w:eastAsia="Microsoft YaHei"/>
          <w:b w:val="0"/>
          <w:i w:val="0"/>
          <w:sz w:val="22"/>
        </w:rPr>
        <w:t>。HiddenBench 将该范式迁移到 LLM 多智能体，并公开了分布式信息条件下的集体推理失败</w:t>
      </w:r>
      <w:r>
        <w:rPr>
          <w:rStyle w:val="FootnoteReference"/>
        </w:rPr>
        <w:footnoteReference w:id="5"/>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本文因此把研究主线从“全披露是否更准”调整为“如何保证多智能体最终结果正确”。全局 Reveal-All 仅作为信息可得性的上限对照，用来判断任务错误是否仍可能由信息缺失解释；它不是本文主要贡献。本文关注私有事实从产生答案必须经过的公开、读取、解释和行动四个环节，并把错误现象—观测指标—针对性干预连接成治理闭环。</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分布式私有信息任务中会出现哪些可观测的错误现象？</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哪些信息处理环节导致最终答案错误，分别可以用哪些指标捕捉？</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针对不同错误环节的干预能否改善最终正确率？</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更换执行框架和大模型后，原论文结论是否仍成立，数值差异可能来自哪里？</w:t>
      </w:r>
    </w:p>
    <w:p>
      <w:pPr>
        <w:pStyle w:val="Heading1"/>
        <w:keepNext/>
      </w:pPr>
      <w:r>
        <w:rPr>
          <w:rFonts w:ascii="Calibri" w:hAnsi="Calibri" w:eastAsia="Microsoft YaHei"/>
          <w:b/>
          <w:i w:val="0"/>
          <w:color w:val="2E74B5"/>
          <w:sz w:val="32"/>
        </w:rPr>
        <w:t>2 多智能体错误现象与已有研究</w:t>
      </w:r>
    </w:p>
    <w:p>
      <w:pPr>
        <w:spacing w:before="0" w:after="160" w:line="320" w:lineRule="auto"/>
        <w:jc w:val="both"/>
      </w:pPr>
      <w:r>
        <w:rPr>
          <w:rFonts w:ascii="Calibri" w:hAnsi="Calibri" w:eastAsia="Microsoft YaHei"/>
          <w:b w:val="0"/>
          <w:i w:val="0"/>
          <w:sz w:val="22"/>
        </w:rPr>
        <w:t>本章按照错误发生链路组织相关研究：先定义可见的结果异常，再追溯信息公开、利用、解释和协调环节。MAST 从多种框架与任务中归纳了 14 种失败模式，为系统设计、智能体间错位以及验证终止问题提供了诊断框架</w:t>
      </w:r>
      <w:r>
        <w:rPr>
          <w:rStyle w:val="FootnoteReference"/>
        </w:rPr>
        <w:footnoteReference w:id="6"/>
      </w:r>
      <w:r>
        <w:rPr>
          <w:rFonts w:ascii="Calibri" w:hAnsi="Calibri" w:eastAsia="Microsoft YaHei"/>
          <w:b w:val="0"/>
          <w:i w:val="0"/>
          <w:sz w:val="22"/>
        </w:rPr>
        <w:t>。本文使用该分类作有限映射，但只有消息级证据充分时才确认某一失败模式。</w:t>
      </w:r>
    </w:p>
    <w:p>
      <w:pPr>
        <w:pStyle w:val="Heading2"/>
        <w:keepNext/>
      </w:pPr>
      <w:r>
        <w:rPr>
          <w:rFonts w:ascii="Calibri" w:hAnsi="Calibri" w:eastAsia="Microsoft YaHei"/>
          <w:b/>
          <w:i w:val="0"/>
          <w:color w:val="2E74B5"/>
          <w:sz w:val="26"/>
        </w:rPr>
        <w:t>2.1 结果层：错误答案与错误共识</w:t>
      </w:r>
    </w:p>
    <w:p>
      <w:pPr>
        <w:spacing w:before="0" w:after="160" w:line="320" w:lineRule="auto"/>
        <w:jc w:val="both"/>
      </w:pPr>
      <w:r>
        <w:rPr>
          <w:rFonts w:ascii="Calibri" w:hAnsi="Calibri" w:eastAsia="Microsoft YaHei"/>
          <w:b w:val="0"/>
          <w:i w:val="0"/>
          <w:sz w:val="22"/>
        </w:rPr>
        <w:t>最直观的错误是最终多数票或全体投票选择错误答案。更危险的情况是错误共识：所有 Agent 给出一致判断，但一致性来自从众、早期立场锁定或共同误解，而不是充分证据。社会影响可能降低意见多样性，却不一定降低群体误差</w:t>
      </w:r>
      <w:r>
        <w:rPr>
          <w:rStyle w:val="FootnoteReference"/>
        </w:rPr>
        <w:footnoteReference w:id="7"/>
      </w:r>
      <w:r>
        <w:rPr>
          <w:rFonts w:ascii="Calibri" w:hAnsi="Calibri" w:eastAsia="Microsoft YaHei"/>
          <w:b w:val="0"/>
          <w:i w:val="0"/>
          <w:sz w:val="22"/>
        </w:rPr>
        <w:t>；反共识辩论研究也指出，保留完整论证轨迹比只观察最后多数票更有信息</w:t>
      </w:r>
      <w:r>
        <w:rPr>
          <w:rStyle w:val="FootnoteReference"/>
        </w:rPr>
        <w:footnoteReference w:id="8"/>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2.2 公开层：私有事实未披露或披露过晚</w:t>
      </w:r>
    </w:p>
    <w:p>
      <w:pPr>
        <w:spacing w:before="0" w:after="160" w:line="320" w:lineRule="auto"/>
        <w:jc w:val="both"/>
      </w:pPr>
      <w:r>
        <w:rPr>
          <w:rFonts w:ascii="Calibri" w:hAnsi="Calibri" w:eastAsia="Microsoft YaHei"/>
          <w:b w:val="0"/>
          <w:i w:val="0"/>
          <w:sz w:val="22"/>
        </w:rPr>
        <w:t>公开失败指决定性私有事实没有进入公共消息，或在立场已经锁定后才出现。它可以通过原子披露率、事实所有者是否发言、首次披露轮次和投票前证据覆盖率捕捉。该问题对应 Hidden Profile 的未共享信息偏差，也是 HiddenBench 任务的基本风险来源。</w:t>
      </w:r>
    </w:p>
    <w:p>
      <w:pPr>
        <w:pStyle w:val="Heading2"/>
        <w:keepNext/>
      </w:pPr>
      <w:r>
        <w:rPr>
          <w:rFonts w:ascii="Calibri" w:hAnsi="Calibri" w:eastAsia="Microsoft YaHei"/>
          <w:b/>
          <w:i w:val="0"/>
          <w:color w:val="2E74B5"/>
          <w:sz w:val="26"/>
        </w:rPr>
        <w:t>2.3 利用与解释层：说出来仍可能用错</w:t>
      </w:r>
    </w:p>
    <w:p>
      <w:pPr>
        <w:spacing w:before="0" w:after="160" w:line="320" w:lineRule="auto"/>
        <w:jc w:val="both"/>
      </w:pPr>
      <w:r>
        <w:rPr>
          <w:rFonts w:ascii="Calibri" w:hAnsi="Calibri" w:eastAsia="Microsoft YaHei"/>
          <w:b w:val="0"/>
          <w:i w:val="0"/>
          <w:sz w:val="22"/>
        </w:rPr>
        <w:t>事实出现在公共消息中不代表其他 Agent 已经读取并用于推理。利用失败表现为后续理由不引用关键事实、收到证据后立场不变或投票仍依赖旧信息；解释失败则表现为事实含义被反转、忽略否定关系，或把证据错误绑定到候选项。思维退化研究说明，高置信立场形成后，后续反思未必产生新的推理路径</w:t>
      </w:r>
      <w:r>
        <w:rPr>
          <w:rStyle w:val="FootnoteReference"/>
        </w:rPr>
        <w:footnoteReference w:id="9"/>
      </w:r>
      <w:r>
        <w:rPr>
          <w:rFonts w:ascii="Calibri" w:hAnsi="Calibri" w:eastAsia="Microsoft YaHei"/>
          <w:b w:val="0"/>
          <w:i w:val="0"/>
          <w:sz w:val="22"/>
        </w:rPr>
        <w:t>；自动责任归因研究也显示，即使保留完整轨迹，定位责任 Agent 仍然困难</w:t>
      </w:r>
      <w:r>
        <w:rPr>
          <w:rStyle w:val="FootnoteReference"/>
        </w:rPr>
        <w:footnoteReference w:id="10"/>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2.4 协调层：发言机会、过早收敛与虚假协同</w:t>
      </w:r>
    </w:p>
    <w:p>
      <w:pPr>
        <w:spacing w:before="0" w:after="160" w:line="320" w:lineRule="auto"/>
        <w:jc w:val="both"/>
      </w:pPr>
      <w:r>
        <w:rPr>
          <w:rFonts w:ascii="Calibri" w:hAnsi="Calibri" w:eastAsia="Microsoft YaHei"/>
          <w:b w:val="0"/>
          <w:i w:val="0"/>
          <w:sz w:val="22"/>
        </w:rPr>
        <w:t>协调失败包括发言机会失衡、异议过早消失以及时间上同步但信息上没有互补。AutoGen 等框架提供集中式选择器组织群聊</w:t>
      </w:r>
      <w:r>
        <w:rPr>
          <w:rStyle w:val="FootnoteReference"/>
        </w:rPr>
        <w:footnoteReference w:id="11"/>
      </w:r>
      <w:r>
        <w:rPr>
          <w:rFonts w:ascii="Calibri" w:hAnsi="Calibri" w:eastAsia="Microsoft YaHei"/>
          <w:b w:val="0"/>
          <w:i w:val="0"/>
          <w:sz w:val="22"/>
        </w:rPr>
        <w:t>，DyLAN 则动态优化 Agent 网络</w:t>
      </w:r>
      <w:r>
        <w:rPr>
          <w:rStyle w:val="FootnoteReference"/>
        </w:rPr>
        <w:footnoteReference w:id="12"/>
      </w:r>
      <w:r>
        <w:rPr>
          <w:rFonts w:ascii="Calibri" w:hAnsi="Calibri" w:eastAsia="Microsoft YaHei"/>
          <w:b w:val="0"/>
          <w:i w:val="0"/>
          <w:sz w:val="22"/>
        </w:rPr>
        <w:t>；偏信息分解研究进一步区分真实协同与表面时间耦合</w:t>
      </w:r>
      <w:r>
        <w:rPr>
          <w:rStyle w:val="FootnoteReference"/>
        </w:rPr>
        <w:footnoteReference w:id="13"/>
      </w:r>
      <w:r>
        <w:rPr>
          <w:rFonts w:ascii="Calibri" w:hAnsi="Calibri" w:eastAsia="Microsoft YaHei"/>
          <w:b w:val="0"/>
          <w:i w:val="0"/>
          <w:sz w:val="22"/>
        </w:rPr>
        <w:t>。这些工作说明发言结构可以设计，但仍需用最终正确率判断治理是否有效。</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MetaGPT、ChatDev 和 AgentVerse 分别用标准作业流程、聊天链和任务环境固化多智能体协作</w:t>
      </w:r>
      <w:r>
        <w:rPr>
          <w:rStyle w:val="FootnoteReference"/>
        </w:rPr>
        <w:footnoteReference w:id="14"/>
      </w:r>
      <w:r>
        <w:rPr>
          <w:rStyle w:val="FootnoteReference"/>
        </w:rPr>
        <w:footnoteReference w:id="15"/>
      </w:r>
      <w:r>
        <w:rPr>
          <w:rStyle w:val="FootnoteReference"/>
        </w:rPr>
        <w:footnoteReference w:id="16"/>
      </w:r>
      <w:r>
        <w:rPr>
          <w:rFonts w:ascii="Calibri" w:hAnsi="Calibri" w:eastAsia="Microsoft YaHei"/>
          <w:b w:val="0"/>
          <w:i w:val="0"/>
          <w:sz w:val="22"/>
        </w:rPr>
        <w:t>。Microsoft Agent Framework 面向 Python 与 .NET 提供 Agent 和模型执行能力</w:t>
      </w:r>
      <w:r>
        <w:rPr>
          <w:rStyle w:val="FootnoteReference"/>
        </w:rPr>
        <w:footnoteReference w:id="17"/>
      </w:r>
      <w:r>
        <w:rPr>
          <w:rFonts w:ascii="Calibri" w:hAnsi="Calibri" w:eastAsia="Microsoft YaHei"/>
          <w:b w:val="0"/>
          <w:i w:val="0"/>
          <w:sz w:val="22"/>
        </w:rPr>
        <w:t>。本文只使用 MAF 的执行层；讨论协议、选择器、Reveal、投票和审计均为项目代码。</w:t>
      </w:r>
    </w:p>
    <w:p>
      <w:pPr>
        <w:pStyle w:val="Heading1"/>
        <w:keepNext/>
      </w:pPr>
      <w:r>
        <w:rPr>
          <w:rFonts w:ascii="Calibri" w:hAnsi="Calibri" w:eastAsia="Microsoft YaHei"/>
          <w:b/>
          <w:i w:val="0"/>
          <w:color w:val="2E74B5"/>
          <w:sz w:val="32"/>
        </w:rPr>
        <w:t>3 多智能体正确性治理体系</w:t>
      </w:r>
    </w:p>
    <w:p>
      <w:pPr>
        <w:spacing w:before="0" w:after="160" w:line="320" w:lineRule="auto"/>
        <w:jc w:val="both"/>
      </w:pPr>
      <w:r>
        <w:rPr>
          <w:rFonts w:ascii="Calibri" w:hAnsi="Calibri" w:eastAsia="Microsoft YaHei"/>
          <w:b w:val="0"/>
          <w:i w:val="0"/>
          <w:sz w:val="22"/>
        </w:rPr>
        <w:t>本文治理过程依次为：锁定任务与私有事实分配，执行多智能体讨论，对公共消息做原子事实审计，检查证据是否被利用和正确解释，检测投票与错误共识，最后根据错误所在环节选择干预并重新评估正确率。治理不把所有错误都交给同一种提示词或调度器处理。</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s-correctness-governance-loop.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多智能体错误链路、观测指标与针对性干预闭环</w:t>
      </w:r>
    </w:p>
    <w:p>
      <w:pPr>
        <w:pStyle w:val="Heading2"/>
        <w:keepNext/>
      </w:pPr>
      <w:r>
        <w:rPr>
          <w:rFonts w:ascii="Calibri" w:hAnsi="Calibri" w:eastAsia="Microsoft YaHei"/>
          <w:b/>
          <w:i w:val="0"/>
          <w:color w:val="2E74B5"/>
          <w:sz w:val="26"/>
        </w:rPr>
        <w:t>3.1 错误现象、观测点与干预矩阵</w:t>
      </w:r>
    </w:p>
    <w:p>
      <w:pPr>
        <w:keepNext/>
        <w:spacing w:before="80" w:after="80"/>
        <w:jc w:val="center"/>
      </w:pPr>
      <w:r>
        <w:rPr>
          <w:rFonts w:ascii="Calibri" w:hAnsi="Calibri" w:eastAsia="Microsoft YaHei"/>
          <w:b/>
          <w:i w:val="0"/>
          <w:color w:val="1F4D78"/>
          <w:sz w:val="19"/>
        </w:rPr>
        <w:t>表 1  错误链路的可观测点与对应干预</w:t>
      </w:r>
    </w:p>
    <w:tbl>
      <w:tblPr>
        <w:tblStyle w:val="TableGrid"/>
        <w:tblW w:type="dxa" w:w="9360"/>
        <w:tblLayout w:type="fixed"/>
        <w:tblLook w:firstColumn="1" w:firstRow="1" w:lastColumn="0" w:lastRow="0" w:noHBand="0" w:noVBand="1" w:val="04A0"/>
        <w:tblInd w:w="120" w:type="dxa"/>
      </w:tblPr>
      <w:tblGrid>
        <w:gridCol w:w="1100"/>
        <w:gridCol w:w="2300"/>
        <w:gridCol w:w="3000"/>
        <w:gridCol w:w="29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错误环节</w:t>
            </w:r>
          </w:p>
        </w:tc>
        <w:tc>
          <w:tcPr>
            <w:tcW w:type="dxa" w:w="2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可观测现象</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主要观测指标</w:t>
            </w:r>
          </w:p>
        </w:tc>
        <w:tc>
          <w:tcPr>
            <w:tcW w:type="dxa" w:w="2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对应干预</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公开</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事实未出现或出现过晚</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原子披露率；首次披露轮次；所有者披露情况</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结构化交换；缺失事实提醒；全局 Reveal-All</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读取/利用</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事实出现但未影响理由或投票</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后续证据引用；立场变化；投票前证据覆盖</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要求引用证据；提示未处理事实</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解释</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事实含义或事实-选项关系理解错误</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理由-事实一致性；候选项-证据映射</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反思；冲突核验；重新解释</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协调</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过早收敛、从众或发言机会失衡</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发言分布；共识形成轮次；异议消失时间</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动态发言；保留异议；延迟表决</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决策</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理由与投票不一致或错误共识</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个体票；多数答案；理由-票一致性；错误共识率</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异常投票复审；二次投票</w:t>
            </w:r>
          </w:p>
        </w:tc>
      </w:tr>
    </w:tbl>
    <w:p>
      <w:pPr>
        <w:spacing w:after="40"/>
      </w:pPr>
    </w:p>
    <w:p>
      <w:pPr>
        <w:pStyle w:val="Heading2"/>
        <w:keepNext/>
      </w:pPr>
      <w:r>
        <w:rPr>
          <w:rFonts w:ascii="Calibri" w:hAnsi="Calibri" w:eastAsia="Microsoft YaHei"/>
          <w:b/>
          <w:i w:val="0"/>
          <w:color w:val="2E74B5"/>
          <w:sz w:val="26"/>
        </w:rPr>
        <w:t>3.2 结果指标与诊断指标</w:t>
      </w:r>
    </w:p>
    <w:p>
      <w:pPr>
        <w:spacing w:before="0" w:after="160" w:line="320" w:lineRule="auto"/>
        <w:jc w:val="both"/>
      </w:pPr>
      <w:r>
        <w:rPr>
          <w:rFonts w:ascii="Calibri" w:hAnsi="Calibri" w:eastAsia="Microsoft YaHei"/>
          <w:b w:val="0"/>
          <w:i w:val="0"/>
          <w:sz w:val="22"/>
        </w:rPr>
        <w:t>最终正确率和多数正确率用于判断系统是否真正完成任务；错误共识率用于识别“稳定但错误”的输出。原子披露率 D=m/n 只回答多少条私有事实通过证据核验进入了公共讨论，不能直接代替正确率。后续引用、立场变化、理由-证据一致性和理由-投票一致性用于进一步判断公开信息是否被正确使用。</w:t>
      </w:r>
    </w:p>
    <w:p>
      <w:pPr>
        <w:spacing w:before="0" w:after="160" w:line="320" w:lineRule="auto"/>
        <w:jc w:val="both"/>
      </w:pPr>
      <w:r>
        <w:rPr>
          <w:rFonts w:ascii="Calibri" w:hAnsi="Calibri" w:eastAsia="Microsoft YaHei"/>
          <w:b w:val="0"/>
          <w:i w:val="0"/>
          <w:sz w:val="22"/>
        </w:rPr>
        <w:t>本项目已实现原子事实披露审计、多数投票、错误共识率、同预算固定/动态对照和运行级 MAST 映射；后续证据引用与解释一致性的全样本人工双盲编码尚未完成，因此本文只对有明确消息证据的案例作有限判断。</w:t>
      </w:r>
    </w:p>
    <w:p>
      <w:pPr>
        <w:pStyle w:val="Heading1"/>
        <w:keepNext/>
      </w:pPr>
      <w:r>
        <w:rPr>
          <w:rFonts w:ascii="Calibri" w:hAnsi="Calibri" w:eastAsia="Microsoft YaHei"/>
          <w:b/>
          <w:i w:val="0"/>
          <w:color w:val="2E74B5"/>
          <w:sz w:val="32"/>
        </w:rPr>
        <w:t>4 已有工作、本文改进与原创边界</w:t>
      </w:r>
    </w:p>
    <w:p>
      <w:pPr>
        <w:keepNext/>
        <w:spacing w:before="80" w:after="80"/>
        <w:jc w:val="center"/>
      </w:pPr>
      <w:r>
        <w:rPr>
          <w:rFonts w:ascii="Calibri" w:hAnsi="Calibri" w:eastAsia="Microsoft YaHei"/>
          <w:b/>
          <w:i w:val="0"/>
          <w:color w:val="1F4D78"/>
          <w:sz w:val="19"/>
        </w:rPr>
        <w:t>表 2  已有工作、本文实现与原创性边界</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类别</w:t>
            </w:r>
          </w:p>
        </w:tc>
        <w:tc>
          <w:tcPr>
            <w:tcW w:type="dxa" w:w="7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内容</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已有研究</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HiddenBench 提供任务、官方 GPT-4.1 基线和 Reveal-All 结果；MAST 提供失败类型；MAF 提供 Agent/模型执行能力。</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本文实现与改进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在 MAF 上复现 HiddenBench；实现原子事实审计；比较固定、结构化和同预算动态发言；逐运行定位错误链路；形成观测-干预闭环。</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非本文原创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 Profile 范式、Reveal-All 思路、MAST 分类以及 Microsoft Agent Framework 本身。</w:t>
            </w:r>
          </w:p>
        </w:tc>
      </w:tr>
    </w:tbl>
    <w:p>
      <w:pPr>
        <w:spacing w:after="40"/>
      </w:pPr>
    </w:p>
    <w:p>
      <w:pPr>
        <w:spacing w:before="0" w:after="160" w:line="320" w:lineRule="auto"/>
        <w:jc w:val="both"/>
      </w:pPr>
      <w:r>
        <w:rPr>
          <w:rFonts w:ascii="Calibri" w:hAnsi="Calibri" w:eastAsia="Microsoft YaHei"/>
          <w:b/>
          <w:i w:val="0"/>
          <w:color w:val="1F4D78"/>
          <w:sz w:val="22"/>
        </w:rPr>
        <w:t>已有研究：</w:t>
      </w:r>
      <w:r>
        <w:rPr>
          <w:rFonts w:ascii="Calibri" w:hAnsi="Calibri" w:eastAsia="Microsoft YaHei"/>
          <w:b w:val="0"/>
          <w:i w:val="0"/>
          <w:sz w:val="22"/>
        </w:rPr>
        <w:t>HiddenBench 提供任务、官方 GPT-4.1 基线和 Reveal-All 结果；MAST 提供失败类型；MAF 提供 Agent/模型执行能力。</w:t>
      </w:r>
    </w:p>
    <w:p>
      <w:pPr>
        <w:spacing w:before="0" w:after="160" w:line="320" w:lineRule="auto"/>
        <w:jc w:val="both"/>
      </w:pPr>
      <w:r>
        <w:rPr>
          <w:rFonts w:ascii="Calibri" w:hAnsi="Calibri" w:eastAsia="Microsoft YaHei"/>
          <w:b/>
          <w:i w:val="0"/>
          <w:color w:val="1F4D78"/>
          <w:sz w:val="22"/>
        </w:rPr>
        <w:t>本文实现与改进：</w:t>
      </w:r>
      <w:r>
        <w:rPr>
          <w:rFonts w:ascii="Calibri" w:hAnsi="Calibri" w:eastAsia="Microsoft YaHei"/>
          <w:b w:val="0"/>
          <w:i w:val="0"/>
          <w:sz w:val="22"/>
        </w:rPr>
        <w:t>在 MAF 上复现 HiddenBench；实现原子事实审计；比较固定、结构化和同预算动态发言；逐运行定位错误链路；形成观测-干预闭环。</w:t>
      </w:r>
    </w:p>
    <w:p>
      <w:pPr>
        <w:spacing w:before="0" w:after="160" w:line="320" w:lineRule="auto"/>
        <w:jc w:val="both"/>
      </w:pPr>
      <w:r>
        <w:rPr>
          <w:rFonts w:ascii="Calibri" w:hAnsi="Calibri" w:eastAsia="Microsoft YaHei"/>
          <w:b/>
          <w:i w:val="0"/>
          <w:color w:val="1F4D78"/>
          <w:sz w:val="22"/>
        </w:rPr>
        <w:t>非本文原创：</w:t>
      </w:r>
      <w:r>
        <w:rPr>
          <w:rFonts w:ascii="Calibri" w:hAnsi="Calibri" w:eastAsia="Microsoft YaHei"/>
          <w:b w:val="0"/>
          <w:i w:val="0"/>
          <w:sz w:val="22"/>
        </w:rPr>
        <w:t>Hidden Profile 范式、Reveal-All 思路、MAST 分类以及 Microsoft Agent Framework 本身。</w:t>
      </w:r>
    </w:p>
    <w:p>
      <w:pPr>
        <w:spacing w:before="0" w:after="160" w:line="320" w:lineRule="auto"/>
        <w:jc w:val="both"/>
      </w:pPr>
      <w:r>
        <w:rPr>
          <w:rFonts w:ascii="Calibri" w:hAnsi="Calibri" w:eastAsia="Microsoft YaHei"/>
          <w:b w:val="0"/>
          <w:i w:val="0"/>
          <w:sz w:val="22"/>
        </w:rPr>
        <w:t>五因子动态选择器是项目代码中的 external centralized scheduler，可以读取完整私有事实分配，并非 MAF 原生群聊能力。因此它目前是机制研究工具，不是可直接部署的去中心化治理器。Codex 对 144 项样本的独立盲审属于模型辅助复核，不是人工金标准。</w:t>
      </w:r>
    </w:p>
    <w:p>
      <w:pPr>
        <w:pStyle w:val="Heading1"/>
        <w:keepNext/>
      </w:pPr>
      <w:r>
        <w:rPr>
          <w:rFonts w:ascii="Calibri" w:hAnsi="Calibri" w:eastAsia="Microsoft YaHei"/>
          <w:b/>
          <w:i w:val="0"/>
          <w:color w:val="2E74B5"/>
          <w:sz w:val="32"/>
        </w:rPr>
        <w:t>5 实验设置与对标方法</w:t>
      </w:r>
    </w:p>
    <w:p>
      <w:pPr>
        <w:pStyle w:val="Heading2"/>
        <w:keepNext/>
      </w:pPr>
      <w:r>
        <w:rPr>
          <w:rFonts w:ascii="Calibri" w:hAnsi="Calibri" w:eastAsia="Microsoft YaHei"/>
          <w:b/>
          <w:i w:val="0"/>
          <w:color w:val="2E74B5"/>
          <w:sz w:val="26"/>
        </w:rPr>
        <w:t>5.1 三道案例的选择依据</w:t>
      </w:r>
    </w:p>
    <w:p>
      <w:pPr>
        <w:spacing w:before="0" w:after="160" w:line="320" w:lineRule="auto"/>
        <w:jc w:val="both"/>
      </w:pPr>
      <w:r>
        <w:rPr>
          <w:rFonts w:ascii="Calibri" w:hAnsi="Calibri" w:eastAsia="Microsoft YaHei"/>
          <w:b w:val="0"/>
          <w:i w:val="0"/>
          <w:sz w:val="22"/>
        </w:rPr>
        <w:t>选择 ID1、ID2 和 ID3，是因为官方公开了逐题 GPT-4.1 基线和 Reveal-All 结果，可以直接和本地复现逐题对表。三题共享同一背景和候选项 West City、North Hill 与 East Town，只改变决定正确答案的私有事实链，因此能够在背景基本固定时观察错误位置差异。本文不把三题结论外推到全部 65 题。</w:t>
      </w:r>
    </w:p>
    <w:p>
      <w:pPr>
        <w:keepNext/>
        <w:spacing w:before="80" w:after="80"/>
        <w:jc w:val="center"/>
      </w:pPr>
      <w:r>
        <w:rPr>
          <w:rFonts w:ascii="Calibri" w:hAnsi="Calibri" w:eastAsia="Microsoft YaHei"/>
          <w:b/>
          <w:i w:val="0"/>
          <w:color w:val="1F4D78"/>
          <w:sz w:val="19"/>
        </w:rPr>
        <w:t>表 3  三道短任务及决定性证据链</w:t>
      </w:r>
    </w:p>
    <w:tbl>
      <w:tblPr>
        <w:tblStyle w:val="TableGrid"/>
        <w:tblW w:type="dxa" w:w="9360"/>
        <w:tblLayout w:type="fixed"/>
        <w:tblLook w:firstColumn="1" w:firstRow="1" w:lastColumn="0" w:lastRow="0" w:noHBand="0" w:noVBand="1" w:val="04A0"/>
        <w:tblInd w:w="120" w:type="dxa"/>
      </w:tblPr>
      <w:tblGrid>
        <w:gridCol w:w="700"/>
        <w:gridCol w:w="1200"/>
        <w:gridCol w:w="20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决定性证据链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5.2 对标层次与实验控制</w:t>
      </w:r>
    </w:p>
    <w:p>
      <w:pPr>
        <w:spacing w:before="0" w:after="160" w:line="320" w:lineRule="auto"/>
        <w:jc w:val="both"/>
      </w:pPr>
      <w:r>
        <w:rPr>
          <w:rFonts w:ascii="Calibri" w:hAnsi="Calibri" w:eastAsia="Microsoft YaHei"/>
          <w:b w:val="0"/>
          <w:i w:val="0"/>
          <w:sz w:val="22"/>
        </w:rPr>
        <w:t>第一层是跨实现复现：官方 GPT-4.1 与作者自写模拟器，对比本地 DeepSeek 与 MAF，只判断结论方向是否仍然存在。第二层是本地机制比较：保持任务、模型、Prompt、事实分配和发言预算一致，再比较讨论协议，避免把模型、框架或预算差异误认为治理效果。pair seed 只控制事实归属，generation seed 未传给 DeepSeek，因此不能保证逐字复现。</w:t>
      </w:r>
    </w:p>
    <w:p>
      <w:pPr>
        <w:keepNext/>
        <w:spacing w:before="80" w:after="80"/>
        <w:jc w:val="center"/>
      </w:pPr>
      <w:r>
        <w:rPr>
          <w:rFonts w:ascii="Calibri" w:hAnsi="Calibri" w:eastAsia="Microsoft YaHei"/>
          <w:b/>
          <w:i w:val="0"/>
          <w:color w:val="1F4D78"/>
          <w:sz w:val="19"/>
        </w:rPr>
        <w:t>表 4  冻结证据规模</w:t>
      </w:r>
    </w:p>
    <w:tbl>
      <w:tblPr>
        <w:tblStyle w:val="TableGrid"/>
        <w:tblW w:type="dxa" w:w="9360"/>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各阶段冻结证据合计</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原子事实判定</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讨论/投票与审计合计</w:t>
            </w:r>
          </w:p>
        </w:tc>
      </w:tr>
    </w:tbl>
    <w:p>
      <w:pPr>
        <w:spacing w:after="40"/>
      </w:pPr>
    </w:p>
    <w:p>
      <w:pPr>
        <w:pStyle w:val="Heading1"/>
        <w:keepNext/>
      </w:pPr>
      <w:r>
        <w:rPr>
          <w:rFonts w:ascii="Calibri" w:hAnsi="Calibri" w:eastAsia="Microsoft YaHei"/>
          <w:b/>
          <w:i w:val="0"/>
          <w:color w:val="2E74B5"/>
          <w:sz w:val="32"/>
        </w:rPr>
        <w:t>6 实验结果与归因分析</w:t>
      </w:r>
    </w:p>
    <w:p>
      <w:pPr>
        <w:pStyle w:val="Heading2"/>
        <w:keepNext/>
      </w:pPr>
      <w:r>
        <w:rPr>
          <w:rFonts w:ascii="Calibri" w:hAnsi="Calibri" w:eastAsia="Microsoft YaHei"/>
          <w:b/>
          <w:i w:val="0"/>
          <w:color w:val="2E74B5"/>
          <w:sz w:val="26"/>
        </w:rPr>
        <w:t>6.1 原论文与本地复现是否得到相同结论</w:t>
      </w:r>
    </w:p>
    <w:p>
      <w:pPr>
        <w:keepNext/>
        <w:spacing w:before="80" w:after="80"/>
        <w:jc w:val="center"/>
      </w:pPr>
      <w:r>
        <w:rPr>
          <w:rFonts w:ascii="Calibri" w:hAnsi="Calibri" w:eastAsia="Microsoft YaHei"/>
          <w:b/>
          <w:i w:val="0"/>
          <w:color w:val="1F4D78"/>
          <w:sz w:val="19"/>
        </w:rPr>
        <w:t>表 5  官方 GPT-4.1 与本地 DeepSeek 的逐题结果</w:t>
      </w:r>
    </w:p>
    <w:tbl>
      <w:tblPr>
        <w:tblStyle w:val="TableGrid"/>
        <w:tblW w:type="dxa" w:w="9360"/>
        <w:tblLayout w:type="fixed"/>
        <w:tblLook w:firstColumn="1" w:firstRow="1" w:lastColumn="0" w:lastRow="0" w:noHBand="0" w:noVBand="1" w:val="04A0"/>
        <w:tblInd w:w="120" w:type="dxa"/>
      </w:tblPr>
      <w:tblGrid>
        <w:gridCol w:w="700"/>
        <w:gridCol w:w="1500"/>
        <w:gridCol w:w="1700"/>
        <w:gridCol w:w="1700"/>
        <w:gridCol w:w="37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w:t>
            </w:r>
          </w:p>
        </w:tc>
        <w:tc>
          <w:tcPr>
            <w:tcW w:type="dxa" w:w="37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本地官方兼容 Reveal-All</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bl>
    <w:p>
      <w:pPr>
        <w:spacing w:after="40"/>
      </w:pPr>
    </w:p>
    <w:p>
      <w:pPr>
        <w:spacing w:before="0" w:after="160" w:line="320" w:lineRule="auto"/>
        <w:jc w:val="both"/>
      </w:pPr>
      <w:r>
        <w:rPr>
          <w:rFonts w:ascii="Calibri" w:hAnsi="Calibri" w:eastAsia="Microsoft YaHei"/>
          <w:b w:val="0"/>
          <w:i w:val="0"/>
          <w:sz w:val="22"/>
        </w:rPr>
        <w:t>官方部分信息基线 ID1、ID2、ID3 分别为 11/30、4/30、6/30；本地 fixed-60 分别为 10/10、0/10、7/10。两边方向上都观察到分布式信息条件下的失败，且全局 Reveal-All 后接近或达到满分，但具体数值并不一致。ID2 在本地更差，ID1 和 ID3 则更好。</w:t>
      </w:r>
    </w:p>
    <w:p>
      <w:pPr>
        <w:spacing w:before="0" w:after="160" w:line="320" w:lineRule="auto"/>
        <w:jc w:val="both"/>
      </w:pPr>
      <w:r>
        <w:rPr>
          <w:rFonts w:ascii="Calibri" w:hAnsi="Calibri" w:eastAsia="Microsoft YaHei"/>
          <w:b w:val="0"/>
          <w:i w:val="0"/>
          <w:sz w:val="22"/>
        </w:rPr>
        <w:t>可能原因包括 DeepSeek 与 GPT-4.1 的模型差异、MAF 与作者模拟器的消息组织差异、讨论协议和预算差异，以及未受控的生成随机性。由于模型与框架在跨实现比较中同时改变，现有实验不能把差异单独归因给模型或框架；上述因素只是候选解释，不是已经建立的因果结论。</w:t>
      </w:r>
    </w:p>
    <w:p>
      <w:pPr>
        <w:pStyle w:val="Heading2"/>
        <w:keepNext/>
      </w:pPr>
      <w:r>
        <w:rPr>
          <w:rFonts w:ascii="Calibri" w:hAnsi="Calibri" w:eastAsia="Microsoft YaHei"/>
          <w:b/>
          <w:i w:val="0"/>
          <w:color w:val="2E74B5"/>
          <w:sz w:val="26"/>
        </w:rPr>
        <w:t>6.2 信息完整性之外：披露时序与正确使用</w:t>
      </w:r>
    </w:p>
    <w:p>
      <w:pPr>
        <w:keepNext/>
        <w:spacing w:before="80" w:after="80"/>
        <w:jc w:val="center"/>
      </w:pPr>
      <w:r>
        <w:rPr>
          <w:rFonts w:ascii="Calibri" w:hAnsi="Calibri" w:eastAsia="Microsoft YaHei"/>
          <w:b/>
          <w:i w:val="0"/>
          <w:color w:val="1F4D78"/>
          <w:sz w:val="19"/>
        </w:rPr>
        <w:t>表 6  两种全披露时序的结果差异</w:t>
      </w:r>
    </w:p>
    <w:tbl>
      <w:tblPr>
        <w:tblStyle w:val="TableGrid"/>
        <w:tblW w:type="dxa" w:w="9360"/>
        <w:tblLayout w:type="fixed"/>
        <w:tblLook w:firstColumn="1" w:firstRow="1" w:lastColumn="0" w:lastRow="0" w:noHBand="0" w:noVBand="1" w:val="04A0"/>
        <w:tblInd w:w="120" w:type="dxa"/>
      </w:tblPr>
      <w:tblGrid>
        <w:gridCol w:w="2700"/>
        <w:gridCol w:w="3100"/>
        <w:gridCol w:w="1300"/>
        <w:gridCol w:w="2260"/>
      </w:tblGrid>
      <w:tr>
        <w:trPr>
          <w:tblHeader w:val="true"/>
          <w:cantSplit/>
        </w:trPr>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3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注入方式</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总体正确</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解释</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官方兼容第一轮全局 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第一轮每条响应注入全部四条事实</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信息可得性上限</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fixed-reveal-all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事实随所有者轮流进入讨论</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为 6/10，最终披露率仍为 100%</w:t>
            </w:r>
          </w:p>
        </w:tc>
      </w:tr>
    </w:tbl>
    <w:p>
      <w:pPr>
        <w:spacing w:after="40"/>
      </w:pPr>
    </w:p>
    <w:p>
      <w:pPr>
        <w:spacing w:before="0" w:after="160" w:line="320" w:lineRule="auto"/>
        <w:jc w:val="both"/>
      </w:pPr>
      <w:r>
        <w:rPr>
          <w:rFonts w:ascii="Calibri" w:hAnsi="Calibri" w:eastAsia="Microsoft YaHei"/>
          <w:b w:val="0"/>
          <w:i w:val="0"/>
          <w:sz w:val="22"/>
        </w:rPr>
        <w:t>第一轮直接提供全景信息时为 30/30；逐步披露虽然最终同样达到 100% 原子披露率，总体却只有 26/30。这说明“最后都说出来”不等于关键事实被及时读取、正确解释并落实到投票。全局 Reveal-All 因此只用于诊断信息时序和使用链路，而不是证明一个显然的“信息越多越好”。</w:t>
      </w:r>
    </w:p>
    <w:p>
      <w:pPr>
        <w:pStyle w:val="Heading2"/>
        <w:keepNext/>
      </w:pPr>
      <w:r>
        <w:rPr>
          <w:rFonts w:ascii="Calibri" w:hAnsi="Calibri" w:eastAsia="Microsoft YaHei"/>
          <w:b/>
          <w:i w:val="0"/>
          <w:color w:val="2E74B5"/>
          <w:sz w:val="26"/>
        </w:rPr>
        <w:t>6.3 针对性干预是否改善最终正确率</w:t>
      </w:r>
    </w:p>
    <w:p>
      <w:pPr>
        <w:keepNext/>
        <w:spacing w:before="80" w:after="80"/>
        <w:jc w:val="center"/>
      </w:pPr>
      <w:r>
        <w:rPr>
          <w:rFonts w:ascii="Calibri" w:hAnsi="Calibri" w:eastAsia="Microsoft YaHei"/>
          <w:b/>
          <w:i w:val="0"/>
          <w:color w:val="1F4D78"/>
          <w:sz w:val="19"/>
        </w:rPr>
        <w:t>表 7  本地干预条件的配对比较</w:t>
      </w:r>
    </w:p>
    <w:tbl>
      <w:tblPr>
        <w:tblStyle w:val="TableGrid"/>
        <w:tblW w:type="dxa" w:w="9360"/>
        <w:tblLayout w:type="fixed"/>
        <w:tblLook w:firstColumn="1" w:firstRow="1" w:lastColumn="0" w:lastRow="0" w:noHBand="0" w:noVBand="1" w:val="04A0"/>
        <w:tblInd w:w="120" w:type="dxa"/>
      </w:tblPr>
      <w:tblGrid>
        <w:gridCol w:w="1350"/>
        <w:gridCol w:w="1500"/>
        <w:gridCol w:w="1700"/>
        <w:gridCol w:w="1000"/>
        <w:gridCol w:w="1000"/>
        <w:gridCol w:w="1200"/>
        <w:gridCol w:w="1610"/>
      </w:tblGrid>
      <w:tr>
        <w:trPr>
          <w:tblHeader w:val="true"/>
          <w:cantSplit/>
        </w:trPr>
        <w:tc>
          <w:tcPr>
            <w:tcW w:type="dxa" w:w="13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干预对象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A</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B</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 正确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B 正确</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精确检验</w:t>
            </w:r>
          </w:p>
        </w:tc>
        <w:tc>
          <w:tcPr>
            <w:tcW w:type="dxa" w:w="16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发言机会</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17/30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21/30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信息交换结构</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structured-12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20/30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24/30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p=0.388</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披露时序</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dynamic-reveal-all</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26/30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30/30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bl>
    <w:p>
      <w:pPr>
        <w:spacing w:after="40"/>
      </w:pPr>
    </w:p>
    <w:p>
      <w:pPr>
        <w:spacing w:before="0" w:after="160" w:line="320" w:lineRule="auto"/>
        <w:jc w:val="both"/>
      </w:pPr>
      <w:r>
        <w:rPr>
          <w:rFonts w:ascii="Calibri" w:hAnsi="Calibri" w:eastAsia="Microsoft YaHei"/>
          <w:b w:val="0"/>
          <w:i w:val="0"/>
          <w:sz w:val="22"/>
        </w:rPr>
        <w:t>动态发言和结构化讨论的点估计均高于对应固定条件，但 p=0.125 和 p=0.388 均大于 0.05。当前证据只能说明这些机制值得继续检验，没有证据证明动态调度或结构化协议具有统计显著优势。</w:t>
      </w:r>
    </w:p>
    <w:p>
      <w:pPr>
        <w:pStyle w:val="Heading2"/>
        <w:keepNext/>
      </w:pPr>
      <w:r>
        <w:rPr>
          <w:rFonts w:ascii="Calibri" w:hAnsi="Calibri" w:eastAsia="Microsoft YaHei"/>
          <w:b/>
          <w:i w:val="0"/>
          <w:color w:val="2E74B5"/>
          <w:sz w:val="26"/>
        </w:rPr>
        <w:t>6.4 错误链路案例与 MAST 映射</w:t>
      </w:r>
    </w:p>
    <w:p>
      <w:pPr>
        <w:keepNext/>
        <w:spacing w:before="80" w:after="80"/>
        <w:jc w:val="center"/>
      </w:pPr>
      <w:r>
        <w:rPr>
          <w:rFonts w:ascii="Calibri" w:hAnsi="Calibri" w:eastAsia="Microsoft YaHei"/>
          <w:b/>
          <w:i w:val="0"/>
          <w:color w:val="1F4D78"/>
          <w:sz w:val="19"/>
        </w:rPr>
        <w:t>表 8  本地运行中的失败模式证据边界</w:t>
      </w:r>
    </w:p>
    <w:tbl>
      <w:tblPr>
        <w:tblStyle w:val="TableGrid"/>
        <w:tblW w:type="dxa" w:w="9360"/>
        <w:tblLayout w:type="fixed"/>
        <w:tblLook w:firstColumn="1" w:firstRow="1" w:lastColumn="0" w:lastRow="0" w:noHBand="0" w:noVBand="1" w:val="04A0"/>
        <w:tblInd w:w="120" w:type="dxa"/>
      </w:tblPr>
      <w:tblGrid>
        <w:gridCol w:w="2000"/>
        <w:gridCol w:w="2700"/>
        <w:gridCol w:w="4660"/>
      </w:tblGrid>
      <w:tr>
        <w:trPr>
          <w:tblHeader w:val="true"/>
          <w:cantSplit/>
        </w:trPr>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模式判断</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证据位置</w:t>
            </w:r>
          </w:p>
        </w:tc>
        <w:tc>
          <w:tcPr>
            <w:tcW w:type="dxa" w:w="4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 已确认</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383ab32a67ba98e7 / fixed-60 / ID1</w:t>
            </w:r>
          </w:p>
        </w:tc>
        <w:tc>
          <w:tcPr>
            <w:tcW w:type="dxa" w:w="46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至少一条所有者事实没有进入公共消息；该次仍答对，说明这是风险机制而非必然失败。</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 待人工因果编码</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e46521e6691a10ca / fixed-reveal-all / ID2</w:t>
            </w:r>
          </w:p>
        </w:tc>
        <w:tc>
          <w:tcPr>
            <w:tcW w:type="dxa" w:w="46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四条事实均公开，但 Agent 一致错误解释 East Town 隧道状态；需要人工复核因果链。</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 未确认</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无可靠运行</w:t>
            </w:r>
          </w:p>
        </w:tc>
        <w:tc>
          <w:tcPr>
            <w:tcW w:type="dxa" w:w="46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没有找到理由与最终行动直接冲突的充分证据。</w:t>
            </w:r>
          </w:p>
        </w:tc>
      </w:tr>
    </w:tbl>
    <w:p>
      <w:pPr>
        <w:spacing w:after="40"/>
      </w:pPr>
    </w:p>
    <w:p>
      <w:pPr>
        <w:spacing w:before="0" w:after="160" w:line="320" w:lineRule="auto"/>
        <w:jc w:val="both"/>
      </w:pPr>
      <w:r>
        <w:rPr>
          <w:rFonts w:ascii="Calibri" w:hAnsi="Calibri" w:eastAsia="Microsoft YaHei"/>
          <w:b w:val="0"/>
          <w:i w:val="0"/>
          <w:sz w:val="22"/>
        </w:rPr>
        <w:t>现有案例支持错误可以发生在公开和解释环节，但尚不足以统计分解各环节对错误率的独立贡献。尤其是“信息出现但被忽略”与“信息被错误解释”需要人类审阅者依据完整上下文编码，不能只靠关键词或披露百分比判断。</w:t>
      </w:r>
    </w:p>
    <w:p>
      <w:pPr>
        <w:pStyle w:val="Heading2"/>
        <w:keepNext/>
      </w:pPr>
      <w:r>
        <w:rPr>
          <w:rFonts w:ascii="Calibri" w:hAnsi="Calibri" w:eastAsia="Microsoft YaHei"/>
          <w:b/>
          <w:i w:val="0"/>
          <w:color w:val="2E74B5"/>
          <w:sz w:val="26"/>
        </w:rPr>
        <w:t>6.5 对四个研究问题的回答</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可观测错误包括未披露、披露过晚、证据未被利用、事实被误解、过早收敛、理由与投票不一致以及错误共识。</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原子披露率、首次轮次、后续引用、立场变化、理由-证据一致性、发言分布和投票一致性可以分别定位公开、利用、解释、协调和决策问题。</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全局信息可得性明显改善三题表现；动态和结构化干预有方向性改善，但当前样本没有统计显著证据。</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原论文“分布式信息会导致失败、Reveal-All 明显改善”的方向在本地仍存在，但逐题数值不同，且现有设计不能完成单因素归因。</w:t>
      </w:r>
    </w:p>
    <w:p>
      <w:pPr>
        <w:pStyle w:val="Heading2"/>
        <w:keepNext/>
      </w:pPr>
      <w:r>
        <w:rPr>
          <w:rFonts w:ascii="Calibri" w:hAnsi="Calibri" w:eastAsia="Microsoft YaHei"/>
          <w:b/>
          <w:i w:val="0"/>
          <w:color w:val="2E74B5"/>
          <w:sz w:val="26"/>
        </w:rPr>
        <w:t>6.6 闭环补充：单智能体对照、错误链路与人工复核入口</w:t>
      </w:r>
    </w:p>
    <w:p>
      <w:pPr>
        <w:spacing w:before="0" w:after="160" w:line="320" w:lineRule="auto"/>
        <w:jc w:val="both"/>
      </w:pPr>
      <w:r>
        <w:rPr>
          <w:rFonts w:ascii="Calibri" w:hAnsi="Calibri" w:eastAsia="Microsoft YaHei"/>
          <w:b w:val="0"/>
          <w:i w:val="0"/>
          <w:sz w:val="22"/>
        </w:rPr>
        <w:t>本节不重新运行模型，也不改变冻结实验。所有数值来自 artifacts/hiddenbench-confirmatory-20260804.jsonl 与对应原子披露审计；其目的只是把老师追问的基线、规则、证据位置和未完成边界明确写出。</w:t>
      </w:r>
    </w:p>
    <w:p>
      <w:pPr>
        <w:pStyle w:val="Heading3"/>
        <w:keepNext/>
      </w:pPr>
      <w:r>
        <w:rPr>
          <w:rFonts w:ascii="Calibri" w:hAnsi="Calibri" w:eastAsia="Microsoft YaHei"/>
          <w:b/>
          <w:i w:val="0"/>
          <w:color w:val="1F4D78"/>
          <w:sz w:val="24"/>
        </w:rPr>
        <w:t>6.6.1 同模型单智能体正式对照</w:t>
      </w:r>
    </w:p>
    <w:p>
      <w:pPr>
        <w:keepNext/>
        <w:spacing w:before="80" w:after="80"/>
        <w:jc w:val="center"/>
      </w:pPr>
      <w:r>
        <w:rPr>
          <w:rFonts w:ascii="Calibri" w:hAnsi="Calibri" w:eastAsia="Microsoft YaHei"/>
          <w:b/>
          <w:i w:val="0"/>
          <w:color w:val="1F4D78"/>
          <w:sz w:val="19"/>
        </w:rPr>
        <w:t>表 9  冻结确认性数据中的三种同模型基线（多数正确次数）</w:t>
      </w:r>
    </w:p>
    <w:tbl>
      <w:tblPr>
        <w:tblStyle w:val="TableGrid"/>
        <w:tblW w:type="dxa" w:w="9360"/>
        <w:tblLayout w:type="fixed"/>
        <w:tblLook w:firstColumn="1" w:firstRow="1" w:lastColumn="0" w:lastRow="0" w:noHBand="0" w:noVBand="1" w:val="04A0"/>
        <w:tblInd w:w="120" w:type="dxa"/>
      </w:tblPr>
      <w:tblGrid>
        <w:gridCol w:w="1000"/>
        <w:gridCol w:w="2700"/>
        <w:gridCol w:w="3000"/>
        <w:gridCol w:w="2660"/>
      </w:tblGrid>
      <w:tr>
        <w:trPr>
          <w:tblHeader w:val="true"/>
          <w:cantSplit/>
        </w:trPr>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任务</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局部信息单 Agent</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全信息单 Agent</w:t>
            </w:r>
          </w:p>
        </w:tc>
        <w:tc>
          <w:tcPr>
            <w:tcW w:type="dxa" w:w="2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fixed-60 多 Agent</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ID1</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ID2</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ID3</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合计</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4/30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20/30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r>
    </w:tbl>
    <w:p>
      <w:pPr>
        <w:spacing w:after="40"/>
      </w:pPr>
    </w:p>
    <w:p>
      <w:pPr>
        <w:spacing w:before="0" w:after="160" w:line="320" w:lineRule="auto"/>
        <w:jc w:val="both"/>
      </w:pPr>
      <w:r>
        <w:rPr>
          <w:rFonts w:ascii="Calibri" w:hAnsi="Calibri" w:eastAsia="Microsoft YaHei"/>
          <w:b w:val="0"/>
          <w:i w:val="0"/>
          <w:sz w:val="22"/>
        </w:rPr>
        <w:t>局部信息单智能体为 4/30，全信息无讨论单智能体为 20/30，fixed-60 多智能体为 17/30。这里的“全信息无讨论”不是额外新跑的一组 API 实验，而是每次 single-local 运行内部独立保存的 full_profile_votes：同一模型看到全部事实后直接投票，不经过公共讨论。它说明三题中讨论并没有自动超过信息充分时的单智能体上限。</w:t>
      </w:r>
    </w:p>
    <w:p>
      <w:pPr>
        <w:pStyle w:val="Heading3"/>
        <w:keepNext/>
      </w:pPr>
      <w:r>
        <w:rPr>
          <w:rFonts w:ascii="Calibri" w:hAnsi="Calibri" w:eastAsia="Microsoft YaHei"/>
          <w:b/>
          <w:i w:val="0"/>
          <w:color w:val="1F4D78"/>
          <w:sz w:val="24"/>
        </w:rPr>
        <w:t>6.6.2 普通披露规则与为何继续到 60 次发言</w:t>
      </w:r>
    </w:p>
    <w:p>
      <w:pPr>
        <w:spacing w:before="0" w:after="160" w:line="320" w:lineRule="auto"/>
        <w:jc w:val="both"/>
      </w:pPr>
      <w:r>
        <w:rPr>
          <w:rFonts w:ascii="Calibri" w:hAnsi="Calibri" w:eastAsia="Microsoft YaHei"/>
          <w:b w:val="0"/>
          <w:i w:val="0"/>
          <w:sz w:val="22"/>
        </w:rPr>
        <w:t>普通条件下不随机、不强制披露：每个 Agent 持有一条私有事实，是否在公开发言中说出、如何转述，均由模型在自然发言时生成。只有 Reveal-All 条件才由系统把私有事实机械注入公开消息。因此普通披露率描述的是模型在讨论中的信息交换行为，不是预先抽签决定的比例。</w:t>
      </w:r>
    </w:p>
    <w:p>
      <w:pPr>
        <w:spacing w:before="0" w:after="160" w:line="320" w:lineRule="auto"/>
        <w:jc w:val="both"/>
      </w:pPr>
      <w:r>
        <w:rPr>
          <w:rFonts w:ascii="Calibri" w:hAnsi="Calibri" w:eastAsia="Microsoft YaHei"/>
          <w:b w:val="0"/>
          <w:i w:val="0"/>
          <w:sz w:val="22"/>
        </w:rPr>
        <w:t>fixed-60 固定为 15 轮 × 4 个 Agent。即使前几轮看似已有一致，也继续运行，是为了观察迟到证据能否纠错、关键事实是否被后续使用、立场是否变化，以及最终投票是否稳定。它是诊断协议，不是“早有共识仍继续讨论就一定更正确”的主张，也不能据此推导早停策略。</w:t>
      </w:r>
    </w:p>
    <w:p>
      <w:pPr>
        <w:pStyle w:val="Heading3"/>
        <w:keepNext/>
      </w:pPr>
      <w:r>
        <w:rPr>
          <w:rFonts w:ascii="Calibri" w:hAnsi="Calibri" w:eastAsia="Microsoft YaHei"/>
          <w:b/>
          <w:i w:val="0"/>
          <w:color w:val="1F4D78"/>
          <w:sz w:val="24"/>
        </w:rPr>
        <w:t>6.6.3 三条可追溯错误链路卡</w:t>
      </w:r>
    </w:p>
    <w:p>
      <w:pPr>
        <w:keepNext/>
        <w:spacing w:before="80" w:after="80"/>
        <w:jc w:val="center"/>
      </w:pPr>
      <w:r>
        <w:rPr>
          <w:rFonts w:ascii="Calibri" w:hAnsi="Calibri" w:eastAsia="Microsoft YaHei"/>
          <w:b/>
          <w:i w:val="0"/>
          <w:color w:val="1F4D78"/>
          <w:sz w:val="19"/>
        </w:rPr>
        <w:t>表 10  冻结轨迹中的代表性错误链路卡</w:t>
      </w:r>
    </w:p>
    <w:tbl>
      <w:tblPr>
        <w:tblStyle w:val="TableGrid"/>
        <w:tblW w:type="dxa" w:w="9360"/>
        <w:tblLayout w:type="fixed"/>
        <w:tblLook w:firstColumn="1" w:firstRow="1" w:lastColumn="0" w:lastRow="0" w:noHBand="0" w:noVBand="1" w:val="04A0"/>
        <w:tblInd w:w="120" w:type="dxa"/>
      </w:tblPr>
      <w:tblGrid>
        <w:gridCol w:w="1100"/>
        <w:gridCol w:w="2100"/>
        <w:gridCol w:w="3900"/>
        <w:gridCol w:w="22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候选环节</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运行位置</w:t>
            </w:r>
          </w:p>
        </w:tc>
        <w:tc>
          <w:tcPr>
            <w:tcW w:type="dxa" w:w="3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事实—消息—结果</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结论边界</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未披露</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0d078a3c85f64262</w:t>
              <w:br/>
              <w:t>ID2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两条关键事实未在所有者公开消息中出现：East Town 隧道内卡住补给车；大火阻断补给车和其他交通。最终四票均为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只确认输出层面事实未公开；不把它单独写成完整因果归因。</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错误解释</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e46521e6691a10ca</w:t>
              <w:br/>
              <w:t>ID2 / fixed-reveal-all / rep-1</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消息 e0528435edaa8576 机械注入“补给车卡在隧道”；随后 b5a31c876a93aea6 说“the tunnel is clear”，最终四票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确认已公开证据与后续输出矛盾；内在推理机制仍需真人编码。</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披露后未落实</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bfba1db7a056ebea</w:t>
              <w:br/>
              <w:t>ID3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四条事实均被审计为已披露。d85fde011965a482 说“walking trails are closed”；随后 b8dd85f9f7bf206d 又指出 driveway 被泥石流阻断，最终仍四票 North Hill。</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确认最终行动没有一致使用已披露证据；需真人区分忽略与误解。</w:t>
            </w:r>
          </w:p>
        </w:tc>
      </w:tr>
    </w:tbl>
    <w:p>
      <w:pPr>
        <w:spacing w:after="40"/>
      </w:pPr>
    </w:p>
    <w:p>
      <w:pPr>
        <w:spacing w:before="0" w:after="160" w:line="320" w:lineRule="auto"/>
        <w:jc w:val="both"/>
      </w:pPr>
      <w:r>
        <w:rPr>
          <w:rFonts w:ascii="Calibri" w:hAnsi="Calibri" w:eastAsia="Microsoft YaHei"/>
          <w:b w:val="0"/>
          <w:i w:val="0"/>
          <w:sz w:val="22"/>
        </w:rPr>
        <w:t>上述三条卡分别对应“信息没有进入公共讨论”“公开证据被输出层面的相反说法覆盖”和“证据出现后没有被最终行动一致采用”。它们不是对模型内部心理状态的证明，也不能用于估计三个机制各自对错误率的独立因果贡献。</w:t>
      </w:r>
    </w:p>
    <w:p>
      <w:pPr>
        <w:pStyle w:val="Heading3"/>
        <w:keepNext/>
      </w:pPr>
      <w:r>
        <w:rPr>
          <w:rFonts w:ascii="Calibri" w:hAnsi="Calibri" w:eastAsia="Microsoft YaHei"/>
          <w:b/>
          <w:i w:val="0"/>
          <w:color w:val="1F4D78"/>
          <w:sz w:val="24"/>
        </w:rPr>
        <w:t>6.6.4 真人双盲审阅的可执行入口与当前状态</w:t>
      </w:r>
    </w:p>
    <w:p>
      <w:pPr>
        <w:spacing w:before="0" w:after="160" w:line="320" w:lineRule="auto"/>
        <w:jc w:val="both"/>
      </w:pPr>
      <w:r>
        <w:rPr>
          <w:rFonts w:ascii="Calibri" w:hAnsi="Calibri" w:eastAsia="Microsoft YaHei"/>
          <w:b w:val="0"/>
          <w:i w:val="0"/>
          <w:sz w:val="22"/>
        </w:rPr>
        <w:t>已生成审阅者 A/B 两份空白签核表：二者包含相同的 144 个盲化案例但顺序不同，表中不展示既有 AI 标签或规则标签。合并器会检查两位审阅者的真实姓名声明、日期、独立完成声明、每题明确“是/否”及“是”所附的消息证据。若有缺项、模型工具名或无效引句，程序拒绝计算指标。</w:t>
      </w:r>
    </w:p>
    <w:p>
      <w:pPr>
        <w:spacing w:before="0" w:after="160" w:line="320" w:lineRule="auto"/>
        <w:jc w:val="both"/>
      </w:pPr>
      <w:r>
        <w:rPr>
          <w:rFonts w:ascii="Calibri" w:hAnsi="Calibri" w:eastAsia="Microsoft YaHei"/>
          <w:b w:val="0"/>
          <w:i w:val="0"/>
          <w:sz w:val="22"/>
        </w:rPr>
        <w:t>真人双盲审阅尚未完成。即便两位审阅者都完成表格，若标签存在分歧，合并器只报告人工一致率和分歧清单；AI 精确率、召回率及修订披露率仍等待真人仲裁，避免用任一位审阅者的单方标签冒充最终人工金标准。</w:t>
      </w:r>
    </w:p>
    <w:p>
      <w:pPr>
        <w:pStyle w:val="Heading3"/>
        <w:keepNext/>
      </w:pPr>
      <w:r>
        <w:rPr>
          <w:rFonts w:ascii="Calibri" w:hAnsi="Calibri" w:eastAsia="Microsoft YaHei"/>
          <w:b/>
          <w:i w:val="0"/>
          <w:color w:val="1F4D78"/>
          <w:sz w:val="24"/>
        </w:rPr>
        <w:t>6.6.5 模型与框架解耦的边界</w:t>
      </w:r>
    </w:p>
    <w:p>
      <w:pPr>
        <w:spacing w:before="0" w:after="160" w:line="320" w:lineRule="auto"/>
        <w:jc w:val="both"/>
      </w:pPr>
      <w:r>
        <w:rPr>
          <w:rFonts w:ascii="Calibri" w:hAnsi="Calibri" w:eastAsia="Microsoft YaHei"/>
          <w:b w:val="0"/>
          <w:i w:val="0"/>
          <w:sz w:val="22"/>
        </w:rPr>
        <w:t>GPT-4.1（或同等可验证接口）尚不可用，因此没有新增的“MAF + GPT-4.1”或“作者模拟器 + DeepSeek”运行。当前跨实现比较同时变化了模型、框架、消息组织和部分运行设置，只能描述结论方向是否复现，不能把数值差异归因给某一个单独因素。</w:t>
      </w:r>
    </w:p>
    <w:p>
      <w:pPr>
        <w:pStyle w:val="Heading1"/>
        <w:keepNext/>
      </w:pPr>
      <w:r>
        <w:rPr>
          <w:rFonts w:ascii="Calibri" w:hAnsi="Calibri" w:eastAsia="Microsoft YaHei"/>
          <w:b/>
          <w:i w:val="0"/>
          <w:color w:val="2E74B5"/>
          <w:sz w:val="32"/>
        </w:rPr>
        <w:t>7 总结与展望</w:t>
      </w:r>
    </w:p>
    <w:p>
      <w:pPr>
        <w:spacing w:before="0" w:after="160" w:line="320" w:lineRule="auto"/>
        <w:jc w:val="both"/>
      </w:pPr>
      <w:r>
        <w:rPr>
          <w:rFonts w:ascii="Calibri" w:hAnsi="Calibri" w:eastAsia="Microsoft YaHei"/>
          <w:b w:val="0"/>
          <w:i w:val="0"/>
          <w:sz w:val="22"/>
        </w:rPr>
        <w:t>本补充版完成了三个可自动验证的闭环：从冻结数据重算单智能体、全信息单智能体和 fixed-60 基线；把三类候选错误落实到事实、消息 ID 和最终投票；并提供不泄露既有标签的双人真人盲审签核与保守合并流程。</w:t>
      </w:r>
    </w:p>
    <w:p>
      <w:pPr>
        <w:spacing w:before="0" w:after="160" w:line="320" w:lineRule="auto"/>
        <w:jc w:val="both"/>
      </w:pPr>
      <w:r>
        <w:rPr>
          <w:rFonts w:ascii="Calibri" w:hAnsi="Calibri" w:eastAsia="Microsoft YaHei"/>
          <w:b w:val="0"/>
          <w:i w:val="0"/>
          <w:sz w:val="22"/>
        </w:rPr>
        <w:t>现有证据说明，多智能体错误不仅可能来自“没说出来”，还可能发生在“说出来以后被反向解释”或“说出来但没有改变最终行动”。但这些是运行级、输出级证据，不等于已经获得全样本的机制比例或单因素因果效应。</w:t>
      </w:r>
    </w:p>
    <w:p>
      <w:pPr>
        <w:spacing w:before="0" w:after="160" w:line="320" w:lineRule="auto"/>
        <w:jc w:val="both"/>
      </w:pPr>
      <w:r>
        <w:rPr>
          <w:rFonts w:ascii="Calibri" w:hAnsi="Calibri" w:eastAsia="Microsoft YaHei"/>
          <w:b w:val="0"/>
          <w:i w:val="0"/>
          <w:sz w:val="22"/>
        </w:rPr>
        <w:t>后续应优先由两名真实审阅者完成 144 项盲审并处理分歧，再在可验证接口条件下补齐模型—框架解耦。完成这两步后，才能把人工一致率、AI 精确率、召回率和修订披露率作为正式确认性结果，并进一步评估不同治理干预的稳健性。</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当前最稳妥的结论：</w:t>
            </w:r>
            <w:r>
              <w:rPr>
                <w:rFonts w:ascii="Calibri" w:hAnsi="Calibri" w:eastAsia="Microsoft YaHei"/>
                <w:b w:val="0"/>
                <w:i w:val="0"/>
                <w:sz w:val="21"/>
              </w:rPr>
              <w:t>多智能体治理应把最终正确率放在首位，并按“披露—利用—解释—行动”逐环节留下可核验的证据；没有真人金标准和解耦实验的部分，应明确保留为待完成。</w:t>
            </w:r>
          </w:p>
        </w:tc>
      </w:tr>
    </w:tbl>
    <w:p>
      <w:pPr>
        <w:spacing w:after="40"/>
      </w:pPr>
    </w:p>
    <w:p>
      <w:pPr>
        <w:pStyle w:val="Heading1"/>
        <w:keepNext/>
      </w:pPr>
      <w:r>
        <w:rPr>
          <w:rFonts w:ascii="Calibri" w:hAnsi="Calibri" w:eastAsia="Microsoft YaHei"/>
          <w:b/>
          <w:i w:val="0"/>
          <w:color w:val="2E74B5"/>
          <w:sz w:val="32"/>
        </w:rPr>
        <w:t>参考文献</w:t>
      </w:r>
    </w:p>
    <w:p>
      <w:pPr>
        <w:keepLines/>
        <w:spacing w:after="100" w:line="276" w:lineRule="auto"/>
        <w:ind w:left="403" w:hanging="403"/>
      </w:pPr>
      <w:r>
        <w:rPr>
          <w:rFonts w:ascii="Calibri" w:hAnsi="Calibri" w:eastAsia="Microsoft YaHei"/>
          <w:b w:val="0"/>
          <w:i w:val="0"/>
          <w:sz w:val="18"/>
        </w:rPr>
        <w:t>[1] Taicheng Guo, Xiuying Chen, Yaqi Wang, Ruidi Chang, Shichao Pei, Nitesh V. Chawla, Olaf Wiest, and Xiangliang Zhang. Large Language Model based Multi-Agents: A Survey of Progress and Challenges [EB/OL]. arXiv preprint, 2024. arXiv:2402.01680. https://arxiv.org/abs/2402.01680</w:t>
      </w:r>
    </w:p>
    <w:p>
      <w:pPr>
        <w:keepLines/>
        <w:spacing w:after="100" w:line="276" w:lineRule="auto"/>
        <w:ind w:left="403" w:hanging="403"/>
      </w:pPr>
      <w:r>
        <w:rPr>
          <w:rFonts w:ascii="Calibri" w:hAnsi="Calibri" w:eastAsia="Microsoft YaHei"/>
          <w:b w:val="0"/>
          <w:i w:val="0"/>
          <w:sz w:val="18"/>
        </w:rPr>
        <w:t>[2]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keepLines/>
        <w:spacing w:after="100" w:line="276" w:lineRule="auto"/>
        <w:ind w:left="403" w:hanging="403"/>
      </w:pPr>
      <w:r>
        <w:rPr>
          <w:rFonts w:ascii="Calibri" w:hAnsi="Calibri" w:eastAsia="Microsoft YaHei"/>
          <w:b w:val="0"/>
          <w:i w:val="0"/>
          <w:sz w:val="18"/>
        </w:rPr>
        <w:t>[3] Garold Stasser and William Titus. Pooling of Unshared Information in Group Decision Making: Biased Information Sampling during Discussion [J]. Journal of Personality and Social Psychology, 48(6), 1467-1478, 1985. doi:10.1037/0022-3514.48.6.1467. https://doi.org/10.1037/0022-3514.48.6.1467</w:t>
      </w:r>
    </w:p>
    <w:p>
      <w:pPr>
        <w:keepLines/>
        <w:spacing w:after="100" w:line="276" w:lineRule="auto"/>
        <w:ind w:left="403" w:hanging="403"/>
      </w:pPr>
      <w:r>
        <w:rPr>
          <w:rFonts w:ascii="Calibri" w:hAnsi="Calibri" w:eastAsia="Microsoft YaHei"/>
          <w:b w:val="0"/>
          <w:i w:val="0"/>
          <w:sz w:val="18"/>
        </w:rPr>
        <w:t>[4] Li Lu, Y. Connie Yuan, and Poppy Lauretta McLeod. Twenty-Five Years of Hidden Profiles in Group Decision Making: A Meta-Analysis [J]. Personality and Social Psychology Review, 16(1), 54-75, 2012. doi:10.1177/1088868311417243. https://doi.org/10.1177/1088868311417243</w:t>
      </w:r>
    </w:p>
    <w:p>
      <w:pPr>
        <w:keepLines/>
        <w:spacing w:after="100" w:line="276" w:lineRule="auto"/>
        <w:ind w:left="403" w:hanging="403"/>
      </w:pPr>
      <w:r>
        <w:rPr>
          <w:rFonts w:ascii="Calibri" w:hAnsi="Calibri" w:eastAsia="Microsoft YaHei"/>
          <w:b w:val="0"/>
          <w:i w:val="0"/>
          <w:sz w:val="18"/>
        </w:rPr>
        <w:t>[5] Yuxuan Li, Aoi Naito, and Hirokazu Shirado. Systematic Failures in Collective Reasoning under Distributed Information in Multi-Agent LLMs [C]. Proceedings of the 43rd International Conference on Machine Learning (ICML), 2026. arXiv:2505.11556. https://arxiv.org/abs/2505.11556</w:t>
      </w:r>
    </w:p>
    <w:p>
      <w:pPr>
        <w:keepLines/>
        <w:spacing w:after="100" w:line="276" w:lineRule="auto"/>
        <w:ind w:left="403" w:hanging="403"/>
      </w:pPr>
      <w:r>
        <w:rPr>
          <w:rFonts w:ascii="Calibri" w:hAnsi="Calibri" w:eastAsia="Microsoft YaHei"/>
          <w:b w:val="0"/>
          <w:i w:val="0"/>
          <w:sz w:val="18"/>
        </w:rPr>
        <w:t>[6] Mert Cemri, Melissa Z. Pan, Shuyi Yang, Lakshya A. Agrawal, Bhavya Chopra, Rishabh Tiwari, Kurt Keutzer, Aditya Parameswaran, Dan Klein, Kannan Ramchandran, Matei Zaharia, Joseph E. Gonzalez, and Ion Stoica. Why Do Multi-Agent LLM Systems Fail? [C]. Advances in Neural Information Processing Systems (NeurIPS), 2025. arXiv:2503.13657. https://arxiv.org/abs/2503.13657</w:t>
      </w:r>
    </w:p>
    <w:p>
      <w:pPr>
        <w:keepLines/>
        <w:spacing w:after="100" w:line="276" w:lineRule="auto"/>
        <w:ind w:left="403" w:hanging="403"/>
      </w:pPr>
      <w:r>
        <w:rPr>
          <w:rFonts w:ascii="Calibri" w:hAnsi="Calibri" w:eastAsia="Microsoft YaHei"/>
          <w:b w:val="0"/>
          <w:i w:val="0"/>
          <w:sz w:val="18"/>
        </w:rPr>
        <w:t>[7] Jan Lorenz, Heiko Rauhut, Frank Schweitzer, and Dirk Helbing. How Social Influence Can Undermine the Wisdom of Crowd Effect [J]. Proceedings of the National Academy of Sciences, 108(22), 9020-9025, 2011. doi:10.1073/pnas.1008636108. https://doi.org/10.1073/pnas.1008636108</w:t>
      </w:r>
    </w:p>
    <w:p>
      <w:pPr>
        <w:keepLines/>
        <w:spacing w:after="100" w:line="276" w:lineRule="auto"/>
        <w:ind w:left="403" w:hanging="403"/>
      </w:pPr>
      <w:r>
        <w:rPr>
          <w:rFonts w:ascii="Calibri" w:hAnsi="Calibri" w:eastAsia="Microsoft YaHei"/>
          <w:b w:val="0"/>
          <w:i w:val="0"/>
          <w:sz w:val="18"/>
        </w:rPr>
        <w:t>[8] Yu Cui, Hang Fu, Haibin Zhang, Licheng Wang, and Cong Zuo. Free-MAD: Consensus-Free Multi-Agent Debate [EB/OL]. arXiv preprint, 2025. arXiv:2509.11035. https://arxiv.org/abs/2509.11035</w:t>
      </w:r>
    </w:p>
    <w:p>
      <w:pPr>
        <w:keepLines/>
        <w:spacing w:after="100" w:line="276" w:lineRule="auto"/>
        <w:ind w:left="403" w:hanging="403"/>
      </w:pPr>
      <w:r>
        <w:rPr>
          <w:rFonts w:ascii="Calibri" w:hAnsi="Calibri" w:eastAsia="Microsoft YaHei"/>
          <w:b w:val="0"/>
          <w:i w:val="0"/>
          <w:sz w:val="18"/>
        </w:rPr>
        <w:t>[9]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keepLines/>
        <w:spacing w:after="100" w:line="276" w:lineRule="auto"/>
        <w:ind w:left="403" w:hanging="403"/>
      </w:pPr>
      <w:r>
        <w:rPr>
          <w:rFonts w:ascii="Calibri" w:hAnsi="Calibri" w:eastAsia="Microsoft YaHei"/>
          <w:b w:val="0"/>
          <w:i w:val="0"/>
          <w:sz w:val="18"/>
        </w:rPr>
        <w:t>[10]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keepLines/>
        <w:spacing w:after="100" w:line="276" w:lineRule="auto"/>
        <w:ind w:left="403" w:hanging="403"/>
      </w:pPr>
      <w:r>
        <w:rPr>
          <w:rFonts w:ascii="Calibri" w:hAnsi="Calibri" w:eastAsia="Microsoft YaHei"/>
          <w:b w:val="0"/>
          <w:i w:val="0"/>
          <w:sz w:val="18"/>
        </w:rPr>
        <w:t>[11]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keepLines/>
        <w:spacing w:after="100" w:line="276" w:lineRule="auto"/>
        <w:ind w:left="403" w:hanging="403"/>
      </w:pPr>
      <w:r>
        <w:rPr>
          <w:rFonts w:ascii="Calibri" w:hAnsi="Calibri" w:eastAsia="Microsoft YaHei"/>
          <w:b w:val="0"/>
          <w:i w:val="0"/>
          <w:sz w:val="18"/>
        </w:rPr>
        <w:t>[12] Zijun Liu, Yanzhe Zhang, Peng Li, Yang Liu, and Diyi Yang. A Dynamic LLM-Powered Agent Network for Task-Oriented Agent Collaboration [C]. First Conference on Language Modeling (COLM), 2024. arXiv:2310.02170. https://arxiv.org/abs/2310.02170</w:t>
      </w:r>
    </w:p>
    <w:p>
      <w:pPr>
        <w:keepLines/>
        <w:spacing w:after="100" w:line="276" w:lineRule="auto"/>
        <w:ind w:left="403" w:hanging="403"/>
      </w:pPr>
      <w:r>
        <w:rPr>
          <w:rFonts w:ascii="Calibri" w:hAnsi="Calibri" w:eastAsia="Microsoft YaHei"/>
          <w:b w:val="0"/>
          <w:i w:val="0"/>
          <w:sz w:val="18"/>
        </w:rPr>
        <w:t>[13] Christoph Riedl. Emergent Coordination in Multi-Agent Language Models [C]. The Fourteenth International Conference on Learning Representations (ICLR), 2026. arXiv:2510.05174. https://arxiv.org/abs/2510.05174</w:t>
      </w:r>
    </w:p>
    <w:p>
      <w:pPr>
        <w:keepLines/>
        <w:spacing w:after="100" w:line="276" w:lineRule="auto"/>
        <w:ind w:left="403" w:hanging="403"/>
      </w:pPr>
      <w:r>
        <w:rPr>
          <w:rFonts w:ascii="Calibri" w:hAnsi="Calibri" w:eastAsia="Microsoft YaHei"/>
          <w:b w:val="0"/>
          <w:i w:val="0"/>
          <w:sz w:val="18"/>
        </w:rPr>
        <w:t>[14]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keepLines/>
        <w:spacing w:after="100" w:line="276" w:lineRule="auto"/>
        <w:ind w:left="403" w:hanging="403"/>
      </w:pPr>
      <w:r>
        <w:rPr>
          <w:rFonts w:ascii="Calibri" w:hAnsi="Calibri" w:eastAsia="Microsoft YaHei"/>
          <w:b w:val="0"/>
          <w:i w:val="0"/>
          <w:sz w:val="18"/>
        </w:rPr>
        <w:t>[15]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keepLines/>
        <w:spacing w:after="100" w:line="276" w:lineRule="auto"/>
        <w:ind w:left="403" w:hanging="403"/>
      </w:pPr>
      <w:r>
        <w:rPr>
          <w:rFonts w:ascii="Calibri" w:hAnsi="Calibri" w:eastAsia="Microsoft YaHei"/>
          <w:b w:val="0"/>
          <w:i w:val="0"/>
          <w:sz w:val="18"/>
        </w:rPr>
        <w:t>[16]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keepLines/>
        <w:spacing w:after="100" w:line="276" w:lineRule="auto"/>
        <w:ind w:left="403" w:hanging="403"/>
      </w:pPr>
      <w:r>
        <w:rPr>
          <w:rFonts w:ascii="Calibri" w:hAnsi="Calibri" w:eastAsia="Microsoft YaHei"/>
          <w:b w:val="0"/>
          <w:i w:val="0"/>
          <w:sz w:val="18"/>
        </w:rPr>
        <w:t>[17] Microsoft. Microsoft Agent Framework [EB/OL]. Official open-source software repository, 2026. software:microsoft/agent-framework. https://github.com/microsoft/agent-framework</w:t>
      </w:r>
    </w:p>
    <w:p>
      <w:r>
        <w:br w:type="page"/>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三题选择与决定性证据链</w:t>
      </w:r>
    </w:p>
    <w:p>
      <w:pPr>
        <w:spacing w:before="0" w:after="160" w:line="320" w:lineRule="auto"/>
        <w:jc w:val="both"/>
      </w:pPr>
      <w:r>
        <w:rPr>
          <w:rFonts w:ascii="Calibri" w:hAnsi="Calibri" w:eastAsia="Microsoft YaHei"/>
          <w:b w:val="0"/>
          <w:i w:val="0"/>
          <w:sz w:val="22"/>
        </w:rPr>
        <w:t>ID1-ID3 是官方结果中可直接获得逐题 GPT-4.1 基线与 Reveal-All 对照的三个短任务。三题使用同一撤离背景和候选项，但由不同私有事实链决定唯一可行路线。</w:t>
      </w:r>
    </w:p>
    <w:tbl>
      <w:tblPr>
        <w:tblStyle w:val="TableGrid"/>
        <w:tblW w:type="dxa" w:w="9360"/>
        <w:tblLayout w:type="fixed"/>
        <w:tblLook w:firstColumn="1" w:firstRow="1" w:lastColumn="0" w:lastRow="0" w:noHBand="0" w:noVBand="1" w:val="04A0"/>
        <w:tblInd w:w="120" w:type="dxa"/>
      </w:tblPr>
      <w:tblGrid>
        <w:gridCol w:w="700"/>
        <w:gridCol w:w="2000"/>
        <w:gridCol w:w="12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F4D78"/>
          <w:sz w:val="24"/>
        </w:rPr>
        <w:t>B.1  讨论 Prompt</w:t>
      </w:r>
    </w:p>
    <w:p>
      <w:pPr>
        <w:spacing w:after="0" w:line="240" w:lineRule="auto"/>
        <w:ind w:left="173"/>
        <w:shd w:fill="F6F8FA"/>
      </w:pPr>
      <w:r>
        <w:rPr>
          <w:rFonts w:ascii="Consolas" w:hAnsi="Consolas" w:eastAsia="Microsoft YaHei"/>
          <w:b w:val="0"/>
          <w:i w:val="0"/>
          <w:sz w:val="14"/>
        </w:rPr>
        <w:t>You are one of four community leaders. Use the shared task description and your private fact to discuss the safest evacuation option.</w:t>
      </w:r>
    </w:p>
    <w:p>
      <w:pPr>
        <w:spacing w:after="0" w:line="240" w:lineRule="auto"/>
        <w:ind w:left="173"/>
        <w:shd w:fill="F6F8FA"/>
      </w:pPr>
      <w:r>
        <w:rPr>
          <w:rFonts w:ascii="Consolas" w:hAnsi="Consolas" w:eastAsia="Microsoft YaHei"/>
          <w:b w:val="0"/>
          <w:i w:val="0"/>
          <w:sz w:val="14"/>
        </w:rPr>
        <w:t>State only conclusions supported by the information available to you. Read prior public messages, identify missing evidence, and revise your position when another message changes route feasibility.</w:t>
      </w:r>
    </w:p>
    <w:p>
      <w:pPr>
        <w:spacing w:after="0" w:line="240" w:lineRule="auto"/>
        <w:ind w:left="173"/>
        <w:shd w:fill="F6F8FA"/>
      </w:pPr>
      <w:r>
        <w:rPr>
          <w:rFonts w:ascii="Consolas" w:hAnsi="Consolas" w:eastAsia="Microsoft YaHei"/>
          <w:b w:val="0"/>
          <w:i w:val="0"/>
          <w:sz w:val="14"/>
        </w:rPr>
        <w:t>Do not reveal that you are an AI model. Return one public discussion message only.</w:t>
      </w:r>
    </w:p>
    <w:p>
      <w:pPr>
        <w:pStyle w:val="Heading3"/>
      </w:pPr>
      <w:r>
        <w:rPr>
          <w:rFonts w:ascii="Calibri" w:hAnsi="Calibri" w:eastAsia="Microsoft YaHei"/>
          <w:b/>
          <w:i w:val="0"/>
          <w:color w:val="1F4D78"/>
          <w:sz w:val="24"/>
        </w:rPr>
        <w:t>B.2  最终投票 Prompt</w:t>
      </w:r>
    </w:p>
    <w:p>
      <w:pPr>
        <w:spacing w:after="0" w:line="240" w:lineRule="auto"/>
        <w:ind w:left="173"/>
        <w:shd w:fill="F6F8FA"/>
      </w:pPr>
      <w:r>
        <w:rPr>
          <w:rFonts w:ascii="Consolas" w:hAnsi="Consolas" w:eastAsia="Microsoft YaHei"/>
          <w:b w:val="0"/>
          <w:i w:val="0"/>
          <w:sz w:val="14"/>
        </w:rPr>
        <w:t>Based on the complete public discussion, choose exactly one final option: West City, East Town, or North Hill.</w:t>
      </w:r>
    </w:p>
    <w:p>
      <w:pPr>
        <w:spacing w:after="0" w:line="240" w:lineRule="auto"/>
        <w:ind w:left="173"/>
        <w:shd w:fill="F6F8FA"/>
      </w:pPr>
      <w:r>
        <w:rPr>
          <w:rFonts w:ascii="Consolas" w:hAnsi="Consolas" w:eastAsia="Microsoft YaHei"/>
          <w:b w:val="0"/>
          <w:i w:val="0"/>
          <w:sz w:val="14"/>
        </w:rPr>
        <w:t>Return the option and a short evidence-based rationale. Do not introduce new private facts during voting.</w:t>
      </w:r>
    </w:p>
    <w:p>
      <w:pPr>
        <w:pStyle w:val="Heading3"/>
      </w:pPr>
      <w:r>
        <w:rPr>
          <w:rFonts w:ascii="Calibri" w:hAnsi="Calibri" w:eastAsia="Microsoft YaHei"/>
          <w:b/>
          <w:i w:val="0"/>
          <w:color w:val="1F4D78"/>
          <w:sz w:val="24"/>
        </w:rPr>
        <w:t>B.3  原子事实披露审计 Prompt</w:t>
      </w:r>
    </w:p>
    <w:p>
      <w:pPr>
        <w:spacing w:after="0" w:line="240" w:lineRule="auto"/>
        <w:ind w:left="173"/>
        <w:shd w:fill="F6F8FA"/>
      </w:pPr>
      <w:r>
        <w:rPr>
          <w:rFonts w:ascii="Consolas" w:hAnsi="Consolas" w:eastAsia="Microsoft YaHei"/>
          <w:b w:val="0"/>
          <w:i w:val="0"/>
          <w:sz w:val="14"/>
        </w:rPr>
        <w:t>Determine whether every atomic private claim was disclosed in the public discussion.</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Rules:</w:t>
      </w:r>
    </w:p>
    <w:p>
      <w:pPr>
        <w:spacing w:after="0" w:line="240" w:lineRule="auto"/>
        <w:ind w:left="173"/>
        <w:shd w:fill="F6F8FA"/>
      </w:pPr>
      <w:r>
        <w:rPr>
          <w:rFonts w:ascii="Consolas" w:hAnsi="Consolas" w:eastAsia="Microsoft YaHei"/>
          <w:b w:val="0"/>
          <w:i w:val="0"/>
          <w:sz w:val="14"/>
        </w:rPr>
        <w:t>1. Only an owner-authored message can disclose that owner's fact.</w:t>
      </w:r>
    </w:p>
    <w:p>
      <w:pPr>
        <w:spacing w:after="0" w:line="240" w:lineRule="auto"/>
        <w:ind w:left="173"/>
        <w:shd w:fill="F6F8FA"/>
      </w:pPr>
      <w:r>
        <w:rPr>
          <w:rFonts w:ascii="Consolas" w:hAnsi="Consolas"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onsolas" w:hAnsi="Consolas"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onsolas" w:hAnsi="Consolas" w:eastAsia="Microsoft YaHei"/>
          <w:b w:val="0"/>
          <w:i w:val="0"/>
          <w:sz w:val="14"/>
        </w:rPr>
        <w:t>4. For disclosed=false, return an empty message-ID list and quote.</w:t>
      </w:r>
    </w:p>
    <w:p>
      <w:pPr>
        <w:spacing w:after="0" w:line="240" w:lineRule="auto"/>
        <w:ind w:left="173"/>
        <w:shd w:fill="F6F8FA"/>
      </w:pPr>
      <w:r>
        <w:rPr>
          <w:rFonts w:ascii="Consolas" w:hAnsi="Consolas" w:eastAsia="Microsoft YaHei"/>
          <w:b w:val="0"/>
          <w:i w:val="0"/>
          <w:sz w:val="14"/>
        </w:rPr>
        <w:t>5. Return exactly one judgment for every fact ID. Do not calculate the percentage.</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ATOMIC PRIVATE FACTS:</w:t>
      </w:r>
    </w:p>
    <w:p>
      <w:pPr>
        <w:spacing w:after="0" w:line="240" w:lineRule="auto"/>
        <w:ind w:left="173"/>
        <w:shd w:fill="F6F8FA"/>
      </w:pPr>
      <w:r>
        <w:rPr>
          <w:rFonts w:ascii="Consolas" w:hAnsi="Consolas" w:eastAsia="Microsoft YaHei"/>
          <w:b w:val="0"/>
          <w:i w:val="0"/>
          <w:sz w:val="14"/>
        </w:rPr>
        <w:t>- &lt;fact_id&gt; | owner=&lt;agent_id&gt; | claim=&lt;private claim&gt;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PUBLIC MESSAGES:</w:t>
      </w:r>
    </w:p>
    <w:p>
      <w:pPr>
        <w:spacing w:after="0" w:line="240" w:lineRule="auto"/>
        <w:ind w:left="173"/>
        <w:shd w:fill="F6F8FA"/>
      </w:pPr>
      <w:r>
        <w:rPr>
          <w:rFonts w:ascii="Consolas" w:hAnsi="Consolas" w:eastAsia="Microsoft YaHei"/>
          <w:b w:val="0"/>
          <w:i w:val="0"/>
          <w:sz w:val="14"/>
        </w:rPr>
        <w:t>&lt;message_id&gt; | &lt;agent_id&gt; | &lt;message content&gt;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Return strict JSON only with one judgment per fact.</w:t>
      </w:r>
    </w:p>
    <w:p>
      <w:pPr>
        <w:pStyle w:val="Heading3"/>
      </w:pPr>
      <w:r>
        <w:rPr>
          <w:rFonts w:ascii="Calibri" w:hAnsi="Calibri" w:eastAsia="Microsoft YaHei"/>
          <w:b/>
          <w:i w:val="0"/>
          <w:color w:val="1F4D78"/>
          <w:sz w:val="24"/>
        </w:rPr>
        <w:t>B.4  官方兼容全局 Reveal-All 模板</w:t>
      </w:r>
    </w:p>
    <w:p>
      <w:pPr>
        <w:spacing w:after="0" w:line="240" w:lineRule="auto"/>
        <w:ind w:left="173"/>
        <w:shd w:fill="F6F8FA"/>
      </w:pPr>
      <w:r>
        <w:rPr>
          <w:rFonts w:ascii="Consolas" w:hAnsi="Consolas" w:eastAsia="Microsoft YaHei"/>
          <w:b w:val="0"/>
          <w:i w:val="0"/>
          <w:sz w:val="14"/>
        </w:rPr>
        <w:t>[SYSTEM MECHANICAL REVEAL-ALL]</w:t>
      </w:r>
    </w:p>
    <w:p>
      <w:pPr>
        <w:spacing w:after="0" w:line="240" w:lineRule="auto"/>
        <w:ind w:left="173"/>
        <w:shd w:fill="F6F8FA"/>
      </w:pPr>
      <w:r>
        <w:rPr>
          <w:rFonts w:ascii="Consolas" w:hAnsi="Consolas" w:eastAsia="Microsoft YaHei"/>
          <w:b w:val="0"/>
          <w:i w:val="0"/>
          <w:sz w:val="14"/>
        </w:rPr>
        <w:t>The following private facts are injected verbatim by the system:</w:t>
      </w:r>
    </w:p>
    <w:p>
      <w:pPr>
        <w:spacing w:after="0" w:line="240" w:lineRule="auto"/>
        <w:ind w:left="173"/>
        <w:shd w:fill="F6F8FA"/>
      </w:pPr>
      <w:r>
        <w:rPr>
          <w:rFonts w:ascii="Consolas" w:hAnsi="Consolas" w:eastAsia="Microsoft YaHei"/>
          <w:b w:val="0"/>
          <w:i w:val="0"/>
          <w:sz w:val="14"/>
        </w:rPr>
        <w:t>- &lt;private fact 1&gt;</w:t>
      </w:r>
    </w:p>
    <w:p>
      <w:pPr>
        <w:spacing w:after="0" w:line="240" w:lineRule="auto"/>
        <w:ind w:left="173"/>
        <w:shd w:fill="F6F8FA"/>
      </w:pPr>
      <w:r>
        <w:rPr>
          <w:rFonts w:ascii="Consolas" w:hAnsi="Consolas" w:eastAsia="Microsoft YaHei"/>
          <w:b w:val="0"/>
          <w:i w:val="0"/>
          <w:sz w:val="14"/>
        </w:rPr>
        <w:t>- &lt;private fact 2&gt;</w:t>
      </w:r>
    </w:p>
    <w:p>
      <w:pPr>
        <w:spacing w:after="0" w:line="240" w:lineRule="auto"/>
        <w:ind w:left="173"/>
        <w:shd w:fill="F6F8FA"/>
      </w:pPr>
      <w:r>
        <w:rPr>
          <w:rFonts w:ascii="Consolas" w:hAnsi="Consolas" w:eastAsia="Microsoft YaHei"/>
          <w:b w:val="0"/>
          <w:i w:val="0"/>
          <w:sz w:val="14"/>
        </w:rPr>
        <w:t>- &lt;private fact 3&gt;</w:t>
      </w:r>
    </w:p>
    <w:p>
      <w:pPr>
        <w:spacing w:after="0" w:line="240" w:lineRule="auto"/>
        <w:ind w:left="173"/>
        <w:shd w:fill="F6F8FA"/>
      </w:pPr>
      <w:r>
        <w:rPr>
          <w:rFonts w:ascii="Consolas" w:hAnsi="Consolas" w:eastAsia="Microsoft YaHei"/>
          <w:b w:val="0"/>
          <w:i w:val="0"/>
          <w:sz w:val="14"/>
        </w:rPr>
        <w:t>- &lt;private fact 4&gt;</w:t>
      </w:r>
    </w:p>
    <w:p>
      <w:pPr>
        <w:pStyle w:val="Heading2"/>
        <w:keepNext/>
      </w:pPr>
      <w:r>
        <w:rPr>
          <w:rFonts w:ascii="Calibri" w:hAnsi="Calibri" w:eastAsia="Microsoft YaHei"/>
          <w:b/>
          <w:i w:val="0"/>
          <w:color w:val="2E74B5"/>
          <w:sz w:val="26"/>
        </w:rPr>
        <w:t>附录 C  代码、数据与复现位置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论文</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Li, Naito, and Shirado, arXiv:2505.11556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bl>
    <w:p>
      <w:pPr>
        <w:spacing w:after="40"/>
      </w:pPr>
    </w:p>
    <w:p>
      <w:pPr>
        <w:spacing w:before="0" w:after="160" w:line="320" w:lineRule="auto"/>
        <w:jc w:val="both"/>
      </w:pPr>
      <w:r>
        <w:rPr>
          <w:rFonts w:ascii="Calibri" w:hAnsi="Calibri" w:eastAsia="Microsoft YaHei"/>
          <w:b w:val="0"/>
          <w:i w:val="0"/>
          <w:sz w:val="22"/>
        </w:rPr>
        <w:t>冻结证据文件的 SHA-256 已保存在 reports/data/hiddenbench-paper-evidence-20260805.json；正文所有数量和比例均从该快照读取。</w:t>
      </w:r>
    </w:p>
    <w:p>
      <w:pPr>
        <w:pStyle w:val="Heading2"/>
        <w:keepNext/>
        <w:pageBreakBefore/>
      </w:pPr>
      <w:r>
        <w:rPr>
          <w:rFonts w:ascii="Calibri" w:hAnsi="Calibri" w:eastAsia="Microsoft YaHei"/>
          <w:b/>
          <w:i w:val="0"/>
          <w:color w:val="2E74B5"/>
          <w:sz w:val="26"/>
        </w:rPr>
        <w:t>附录 D  术语与结论边界</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Framework；本文只使用 Agent/模型执行能力。</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通过证据核验的已披露原子事实数 m 除以事实总数 n。</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全局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第一轮每条响应都获得全部私有事实，用作信息可得性上限。</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事实随所有者发言逐条进入讨论，最终完整但时序不同。</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模型辅助复核</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Codex 独立标签复核，不是人工金标准。</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当前样本不足以拒绝成功概率相同的零假设，不代表两条件完全相同。</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Guo et al., “Large Language Model based Multi-Agents: A Survey of Progress and Challenges,” 2024, arXiv:2402.01680.</w:t>
      </w:r>
    </w:p>
  </w:footnote>
  <w:footnote w:id="2">
    <w:p>
      <w:pPr>
        <w:pStyle w:val="FootnoteText"/>
      </w:pPr>
      <w:r>
        <w:rPr>
          <w:rStyle w:val="FootnoteReference"/>
        </w:rPr>
        <w:footnoteRef/>
      </w:r>
      <w:r>
        <w:t xml:space="preserve"> Du et al., “Improving Factuality and Reasoning in Language Models through Multiagent Debate,” 2024, arXiv:2305.14325.</w:t>
      </w:r>
    </w:p>
  </w:footnote>
  <w:footnote w:id="3">
    <w:p>
      <w:pPr>
        <w:pStyle w:val="FootnoteText"/>
      </w:pPr>
      <w:r>
        <w:rPr>
          <w:rStyle w:val="FootnoteReference"/>
        </w:rPr>
        <w:footnoteRef/>
      </w:r>
      <w:r>
        <w:t xml:space="preserve"> Stasser et al., “Pooling of Unshared Information in Group Decision Making: Biased Information Sampling during Discussion,” 1985, doi:10.1037/0022-3514.48.6.1467.</w:t>
      </w:r>
    </w:p>
  </w:footnote>
  <w:footnote w:id="4">
    <w:p>
      <w:pPr>
        <w:pStyle w:val="FootnoteText"/>
      </w:pPr>
      <w:r>
        <w:rPr>
          <w:rStyle w:val="FootnoteReference"/>
        </w:rPr>
        <w:footnoteRef/>
      </w:r>
      <w:r>
        <w:t xml:space="preserve"> Lu et al., “Twenty-Five Years of Hidden Profiles in Group Decision Making: A Meta-Analysis,” 2012, doi:10.1177/1088868311417243.</w:t>
      </w:r>
    </w:p>
  </w:footnote>
  <w:footnote w:id="5">
    <w:p>
      <w:pPr>
        <w:pStyle w:val="FootnoteText"/>
      </w:pPr>
      <w:r>
        <w:rPr>
          <w:rStyle w:val="FootnoteReference"/>
        </w:rPr>
        <w:footnoteRef/>
      </w:r>
      <w:r>
        <w:t xml:space="preserve"> Li et al., “Systematic Failures in Collective Reasoning under Distributed Information in Multi-Agent LLMs,” 2026, arXiv:2505.11556.</w:t>
      </w:r>
    </w:p>
  </w:footnote>
  <w:footnote w:id="6">
    <w:p>
      <w:pPr>
        <w:pStyle w:val="FootnoteText"/>
      </w:pPr>
      <w:r>
        <w:rPr>
          <w:rStyle w:val="FootnoteReference"/>
        </w:rPr>
        <w:footnoteRef/>
      </w:r>
      <w:r>
        <w:t xml:space="preserve"> Cemri et al., “Why Do Multi-Agent LLM Systems Fail?,” 2025, arXiv:2503.13657.</w:t>
      </w:r>
    </w:p>
  </w:footnote>
  <w:footnote w:id="7">
    <w:p>
      <w:pPr>
        <w:pStyle w:val="FootnoteText"/>
      </w:pPr>
      <w:r>
        <w:rPr>
          <w:rStyle w:val="FootnoteReference"/>
        </w:rPr>
        <w:footnoteRef/>
      </w:r>
      <w:r>
        <w:t xml:space="preserve"> Lorenz et al., “How Social Influence Can Undermine the Wisdom of Crowd Effect,” 2011, doi:10.1073/pnas.1008636108.</w:t>
      </w:r>
    </w:p>
  </w:footnote>
  <w:footnote w:id="8">
    <w:p>
      <w:pPr>
        <w:pStyle w:val="FootnoteText"/>
      </w:pPr>
      <w:r>
        <w:rPr>
          <w:rStyle w:val="FootnoteReference"/>
        </w:rPr>
        <w:footnoteRef/>
      </w:r>
      <w:r>
        <w:t xml:space="preserve"> Cui et al., “Free-MAD: Consensus-Free Multi-Agent Debate,” 2025, arXiv:2509.11035.</w:t>
      </w:r>
    </w:p>
  </w:footnote>
  <w:footnote w:id="9">
    <w:p>
      <w:pPr>
        <w:pStyle w:val="FootnoteText"/>
      </w:pPr>
      <w:r>
        <w:rPr>
          <w:rStyle w:val="FootnoteReference"/>
        </w:rPr>
        <w:footnoteRef/>
      </w:r>
      <w:r>
        <w:t xml:space="preserve"> Liang et al., “Encouraging Divergent Thinking in Large Language Models through Multi-Agent Debate,” 2024, arXiv:2305.19118.</w:t>
      </w:r>
    </w:p>
  </w:footnote>
  <w:footnote w:id="10">
    <w:p>
      <w:pPr>
        <w:pStyle w:val="FootnoteText"/>
      </w:pPr>
      <w:r>
        <w:rPr>
          <w:rStyle w:val="FootnoteReference"/>
        </w:rPr>
        <w:footnoteRef/>
      </w:r>
      <w:r>
        <w:t xml:space="preserve"> Zhang et al., “Which Agent Causes Task Failures and When? On Automated Failure Attribution of LLM Multi-Agent Systems,” 2025, arXiv:2505.00212.</w:t>
      </w:r>
    </w:p>
  </w:footnote>
  <w:footnote w:id="11">
    <w:p>
      <w:pPr>
        <w:pStyle w:val="FootnoteText"/>
      </w:pPr>
      <w:r>
        <w:rPr>
          <w:rStyle w:val="FootnoteReference"/>
        </w:rPr>
        <w:footnoteRef/>
      </w:r>
      <w:r>
        <w:t xml:space="preserve"> Wu et al., “AutoGen: Enabling Next-Gen LLM Applications via Multi-Agent Conversation,” 2024, arXiv:2308.08155.</w:t>
      </w:r>
    </w:p>
  </w:footnote>
  <w:footnote w:id="12">
    <w:p>
      <w:pPr>
        <w:pStyle w:val="FootnoteText"/>
      </w:pPr>
      <w:r>
        <w:rPr>
          <w:rStyle w:val="FootnoteReference"/>
        </w:rPr>
        <w:footnoteRef/>
      </w:r>
      <w:r>
        <w:t xml:space="preserve"> Liu et al., “A Dynamic LLM-Powered Agent Network for Task-Oriented Agent Collaboration,” 2024, arXiv:2310.02170.</w:t>
      </w:r>
    </w:p>
  </w:footnote>
  <w:footnote w:id="13">
    <w:p>
      <w:pPr>
        <w:pStyle w:val="FootnoteText"/>
      </w:pPr>
      <w:r>
        <w:rPr>
          <w:rStyle w:val="FootnoteReference"/>
        </w:rPr>
        <w:footnoteRef/>
      </w:r>
      <w:r>
        <w:t xml:space="preserve"> Riedl et al., “Emergent Coordination in Multi-Agent Language Models,” 2026, arXiv:2510.05174.</w:t>
      </w:r>
    </w:p>
  </w:footnote>
  <w:footnote w:id="14">
    <w:p>
      <w:pPr>
        <w:pStyle w:val="FootnoteText"/>
      </w:pPr>
      <w:r>
        <w:rPr>
          <w:rStyle w:val="FootnoteReference"/>
        </w:rPr>
        <w:footnoteRef/>
      </w:r>
      <w:r>
        <w:t xml:space="preserve"> Hong et al., “MetaGPT: Meta Programming for A Multi-Agent Collaborative Framework,” 2024, arXiv:2308.00352.</w:t>
      </w:r>
    </w:p>
  </w:footnote>
  <w:footnote w:id="15">
    <w:p>
      <w:pPr>
        <w:pStyle w:val="FootnoteText"/>
      </w:pPr>
      <w:r>
        <w:rPr>
          <w:rStyle w:val="FootnoteReference"/>
        </w:rPr>
        <w:footnoteRef/>
      </w:r>
      <w:r>
        <w:t xml:space="preserve"> Qian et al., “ChatDev: Communicative Agents for Software Development,” 2024, arXiv:2307.07924.</w:t>
      </w:r>
    </w:p>
  </w:footnote>
  <w:footnote w:id="16">
    <w:p>
      <w:pPr>
        <w:pStyle w:val="FootnoteText"/>
      </w:pPr>
      <w:r>
        <w:rPr>
          <w:rStyle w:val="FootnoteReference"/>
        </w:rPr>
        <w:footnoteRef/>
      </w:r>
      <w:r>
        <w:t xml:space="preserve"> Chen et al., “AgentVerse: Facilitating Multi-Agent Collaboration and Exploring Emergent Behaviors,” 2023, arXiv:2308.10848.</w:t>
      </w:r>
    </w:p>
  </w:footnote>
  <w:footnote w:id="17">
    <w:p>
      <w:pPr>
        <w:pStyle w:val="FootnoteText"/>
      </w:pPr>
      <w:r>
        <w:rPr>
          <w:rStyle w:val="FootnoteReference"/>
        </w:rPr>
        <w:footnoteRef/>
      </w:r>
      <w:r>
        <w:t xml:space="preserve"> Microsoft, “Microsoft Agent Framework,” 2026, software:microsoft/agent-framework.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B6573"/>
        <w:sz w:val="17"/>
      </w:rPr>
      <w:t>HiddenBench × MAF | 多智能体正确性治理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customStyle="0">
    <w:name w:val="footnote reference"/>
    <w:basedOn w:val="DefaultParagraphFont"/>
    <w:uiPriority w:val="99"/>
    <w:semiHidden/>
    <w:unhideWhenUsed/>
    <w:rPr>
      <w:vertAlign w:val="superscript"/>
    </w:rPr>
  </w:style>
  <w:style w:type="paragraph" w:styleId="FootnoteText" w:customStyle="0">
    <w:name w:val="footnote text"/>
    <w:basedOn w:val="Normal"/>
    <w:uiPriority w:val="99"/>
    <w:semiHidden/>
    <w:unhideWhenUsed/>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