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360"/>
      </w:pPr>
    </w:p>
    <w:p>
      <w:pPr>
        <w:jc w:val="center"/>
      </w:pPr>
      <w:r>
        <w:rPr>
          <w:rFonts w:ascii="Calibri" w:hAnsi="Calibri" w:eastAsia="Microsoft YaHei"/>
          <w:b/>
          <w:color w:val="2E74B5"/>
          <w:sz w:val="24"/>
        </w:rPr>
        <w:t>MAS知识治理实验·第3轮</w:t>
      </w:r>
    </w:p>
    <w:p>
      <w:pPr>
        <w:jc w:val="center"/>
      </w:pPr>
      <w:r>
        <w:rPr>
          <w:rFonts w:ascii="Calibri" w:hAnsi="Calibri" w:eastAsia="Microsoft YaHei"/>
          <w:b/>
          <w:color w:val="17365D"/>
          <w:sz w:val="44"/>
        </w:rPr>
        <w:t>整合治理：论文 Structured 协议复现</w:t>
      </w:r>
    </w:p>
    <w:p>
      <w:pPr>
        <w:spacing w:before="160"/>
        <w:jc w:val="center"/>
      </w:pPr>
      <w:r>
        <w:rPr>
          <w:rFonts w:ascii="Calibri" w:hAnsi="Calibri" w:eastAsia="Microsoft YaHei"/>
          <w:color w:val="333333"/>
          <w:sz w:val="24"/>
        </w:rPr>
        <w:t>Exchange-then-Decide 协议在 DeepSeek 上对照披露治理，检验 ID5/ID7 的失败是否可被“整合环节”修复</w:t>
      </w:r>
    </w:p>
    <w:p>
      <w:pPr>
        <w:spacing w:after="4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21"/>
              </w:rPr>
              <w:t>项目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日期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2026-08-02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模型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DeepSeek V4 Flash（temperature=0）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协议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论文 Structured：Exchange 2 轮 + Decide 1 轮，共 12 条消息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题目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HiddenBench ID 1、5、7、25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重复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4 题 × 10 次 = 40 次运行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调用量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正式 1000 次 API 请求（含 40 条披露审计）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一、结论先行</w:t>
      </w:r>
    </w:p>
    <w:p>
      <w:r>
        <w:t>Structured 协议（论文 2505.11556 的 Exchange-then-Decide）在DeepSeek 上复现的结果是：ID1 9/10、ID25 9/10，与披露治理接近；但 ID5 0/10、ID7 2/10，仍然失败。也就是说，两个针对“整合”设计的机制（强制披露、结构化交换-决策）都没能让 DeepSeek 在 ID5/ID7 上达到单智能体全信息水平（Y_full=87.5%–90%）。</w:t>
      </w: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核心发现  </w:t>
      </w:r>
      <w:r>
        <w:rPr>
          <w:rFonts w:ascii="Calibri" w:hAnsi="Calibri" w:eastAsia="Microsoft YaHei"/>
          <w:color w:val="333333"/>
          <w:sz w:val="22"/>
        </w:rPr>
        <w:t>ID5/ID7 的失败对 DeepSeek 是“信息给了也不会用”：Y_full 高（90%/87.5%），但无论 60 条自由讨论、强制披露还是 12 条结构化协议，讨论后正确率都停留在 0–20%。而论文用 GPT-4.1/Gemini 时，同样的结构化协议平均达到80%/73%。这指向模型级的推理与信息整合能力差异，而不是治理协议本身设计错误。</w:t>
      </w:r>
    </w:p>
    <w:p>
      <w:r>
        <w:br w:type="page"/>
      </w:r>
    </w:p>
    <w:p>
      <w:pPr>
        <w:pStyle w:val="Heading1"/>
      </w:pPr>
      <w:r>
        <w:t>二、协议与提示词</w:t>
      </w:r>
    </w:p>
    <w:p>
      <w:r>
        <w:t>按论文原文实现：Exchange 阶段 2 轮，每轮 4 名智能体依次发言，每人分享 1–2 条决策相关信息，并给出当前领先选项可能错误的一个理由；Decide 阶段 1 轮，每人总结最强证据与剩余不确定性，然后投票。总消息 12 条，远小于基线的 60 条，是论文强调的“轻量协议”。</w:t>
      </w:r>
    </w:p>
    <w:p>
      <w:r>
        <w:t>Exchange 阶段提示词（第 2 轮起）：</w:t>
      </w:r>
    </w:p>
    <w:p>
      <w:r>
        <w:rPr>
          <w:rFonts w:ascii="Calibri" w:hAnsi="Calibri" w:eastAsia="Microsoft YaHei"/>
          <w:color w:val="333333"/>
          <w:sz w:val="19"/>
        </w:rPr>
        <w:t>Previous messages from other people:</w:t>
        <w:br/>
        <w:t>{messages}</w:t>
        <w:br/>
        <w:t>Share 1-2 decision-relevant facts you have, and give one reason the current front-runner may be incorrect.</w:t>
      </w:r>
    </w:p>
    <w:p>
      <w:r>
        <w:t>Decide 阶段提示词：</w:t>
      </w:r>
    </w:p>
    <w:p>
      <w:r>
        <w:rPr>
          <w:rFonts w:ascii="Calibri" w:hAnsi="Calibri" w:eastAsia="Microsoft YaHei"/>
          <w:color w:val="333333"/>
          <w:sz w:val="19"/>
        </w:rPr>
        <w:t>Previous messages from other people:</w:t>
        <w:br/>
        <w:t>{messages}</w:t>
        <w:br/>
        <w:t>Summarize the strongest evidence and your remaining uncertainty before voting.</w:t>
      </w:r>
    </w:p>
    <w:p>
      <w:pPr>
        <w:spacing w:before="80" w:after="80"/>
      </w:pPr>
      <w:r>
        <w:rPr>
          <w:rFonts w:ascii="Calibri" w:hAnsi="Calibri" w:eastAsia="Microsoft YaHei"/>
          <w:color w:val="6B7280"/>
          <w:sz w:val="17"/>
        </w:rPr>
        <w:t>系统提示词与基线一致（Hidden Profile：每人只看到自己的私有信息包），协议不向智能体揭示信息不对称的存在，与论文设定一致。</w:t>
      </w:r>
    </w:p>
    <w:p>
      <w:r>
        <w:br w:type="page"/>
      </w:r>
    </w:p>
    <w:p>
      <w:pPr>
        <w:pStyle w:val="Heading1"/>
      </w:pPr>
      <w:r>
        <w:t>三、五种机制 × 四题结果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50"/>
        <w:gridCol w:w="1650"/>
        <w:gridCol w:w="950"/>
        <w:gridCol w:w="950"/>
        <w:gridCol w:w="950"/>
        <w:gridCol w:w="1300"/>
        <w:gridCol w:w="2310"/>
      </w:tblGrid>
      <w:tr>
        <w:trPr>
          <w:tblHeader w:val="true"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任务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机制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披露率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多数正确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错误共识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Y_post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Y_full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 撤离路线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固定轮转（基线）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90.0%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0/10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100.0%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75.0%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 撤离路线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MAF动态（基线）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85.0%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6/10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4/10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60.0%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72.5%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 撤离路线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固定+强制披露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100.0%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0/10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100.0%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80.0%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 撤离路线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MAF动态+强制披露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97.5%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0/10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100.0%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80.0%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 撤离路线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Structured协议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100.0%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9/10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1/10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90.0%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80.0%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5 校长候选人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固定轮转（基线）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2.5%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10/10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0.0%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95.0%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5 校长候选人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MAF动态（基线）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0.0%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10/10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0.0%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95.0%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5 校长候选人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固定+强制披露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30.0%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8/10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20.0%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85.0%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5 校长候选人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MAF动态+强制披露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40.0%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10/10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0.0%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87.5%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5 校长候选人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Structured协议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22.5%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10/10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0.0%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90.0%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7 供应商选择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固定轮转（基线）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0.0%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8/10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20.0%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87.5%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7 供应商选择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MAF动态（基线）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0.0%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9/10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0.0%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90.0%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7 供应商选择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固定+强制披露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100.0%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8/10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20.0%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87.5%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7 供应商选择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MAF动态+强制披露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100.0%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9/10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10.0%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87.5%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7 供应商选择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Structured协议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40.0%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8/10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20.0%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87.5%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25 应急避难所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固定轮转（基线）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67.5%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2/10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80.0%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100.0%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25 应急避难所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MAF动态（基线）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67.5%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1/10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85.0%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100.0%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25 应急避难所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固定+强制披露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80.0%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0/10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100.0%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100.0%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25 应急避难所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MAF动态+强制披露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85.0%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0/10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100.0%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100.0%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25 应急避难所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Structured协议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67.5%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9/10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1/10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90.0%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100.0%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color w:val="6B7280"/>
          <w:sz w:val="17"/>
        </w:rPr>
        <w:t>Y_post=讨论后 4 票平均正确率；Y_full=每人拿到全部信息后单独投票正确率（单智能体上限）。Structured 协议的披露率低于强制披露轮，因为 Exchange只要求分享 1–2 条事实而非全部私有信息——这是论文协议的原始设定。</w:t>
      </w:r>
    </w:p>
    <w:p>
      <w:r>
        <w:t>三种治理机制都没有在 ID5/ID7 上带来实质提升；ID1/ID25 在披露治理下达到 10/10，Structured 下为 9/10。基线固定轮转在 ID1 已是 10/10，因此 ID1 没有提升空间。</w:t>
      </w:r>
    </w:p>
    <w:p>
      <w:r>
        <w:br w:type="page"/>
      </w:r>
    </w:p>
    <w:p>
      <w:pPr>
        <w:pStyle w:val="Heading1"/>
      </w:pPr>
      <w:r>
        <w:t>四、与论文 Structured 结果的对标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00"/>
        <w:gridCol w:w="1800"/>
        <w:gridCol w:w="1450"/>
        <w:gridCol w:w="1150"/>
        <w:gridCol w:w="3860"/>
      </w:tblGrid>
      <w:tr>
        <w:trPr>
          <w:tblHeader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来源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模型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协议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平均正确率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论文 Table 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GPT-4.1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Structured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80.0%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18 题平均（3 人工 + 15 随机）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论文 Table 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Gemini-2.5-Flash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Structured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72.7%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18 题平均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论文 Table 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Gemini-2.5-Flash-Lite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Structured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74.3%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18 题平均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本实验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DeepSeek V4 Flash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Structured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50.0%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ID1/5/7/25 平均（20/40）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本实验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DeepSeek V4 Flash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Structured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36.7%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仅论文 3 道人工题 ID1/5/7（11/30）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color w:val="6B7280"/>
          <w:sz w:val="17"/>
        </w:rPr>
        <w:t>论文数值来自 HiddenBench（arXiv:2505.11556）Table 7；我们的 3 道人工题即论文 18 题中的 ID 1/5/7，但论文只公布 18 题平均，未公布逐题数值，因此两边不能直接相减，只能做同题不同模型的参考性对照。</w:t>
      </w:r>
    </w:p>
    <w:p>
      <w:r>
        <w:t>需要注意：论文的 80% 是 18 题平均，其中包含 15 道随机抽样的较简单题；我们只跑 4 题且其中 3 题是人工设计的“隐藏档案”难题，平均分被 ID5/ID7拖低是预期内的。真正值得对照的是方向：论文结构化协议相对其基线提升巨大（0.037→0.800），而我们的结构化协议相对 DeepSeek 基线（0.4 平均）几乎无提升（0.367 平均）。同一协议、不同模型，效果完全不同。</w:t>
      </w:r>
    </w:p>
    <w:p>
      <w:r>
        <w:br w:type="page"/>
      </w:r>
    </w:p>
    <w:p>
      <w:pPr>
        <w:pStyle w:val="Heading1"/>
      </w:pPr>
      <w:r>
        <w:t>五、结论与下一步</w:t>
      </w:r>
    </w:p>
    <w:p>
      <w:r>
        <w:t>• 披露治理（第 2 轮）已证明：披露率可以修，且 ID1/ID25 上披露→正确。</w:t>
      </w:r>
    </w:p>
    <w:p>
      <w:r>
        <w:t>• Structured 协议（第 3 轮）证明：在 ID5/ID7 上，即使按论文的整合协议走，DeepSeek 仍失败。</w:t>
      </w:r>
    </w:p>
    <w:p>
      <w:r>
        <w:t>• 两个任务的 Y_full=87.5%–90%，说明失败不是题目无解，而是讨论过程无法把已公开的信息转化为正确投票。</w:t>
      </w:r>
    </w:p>
    <w:p>
      <w:r>
        <w:t>• 与论文的模型差异（GPT-4.1/Gemini 结构化后 72.7%–80%）说明：同一治理协议的效果强烈依赖底层模型。</w:t>
      </w:r>
    </w:p>
    <w:p>
      <w:pPr>
        <w:pStyle w:val="Heading2"/>
      </w:pPr>
      <w:r>
        <w:t>下一步</w:t>
      </w:r>
    </w:p>
    <w:p>
      <w:r>
        <w:t>换模型复验：用更强模型（GPT-4.1 或 DeepSeek 更高档位）跑 ID5/ID7 的三种治理机制，直接回答“协议 vs 模型”哪个是主因。</w:t>
      </w:r>
    </w:p>
    <w:p>
      <w:r>
        <w:t>失败归因：对 ID5/ID7 的逐轮发言做错误共识编码（信息未披露 / 披露被忽略 / 证据被错误解释），定位整合失效的具体环节。</w:t>
      </w:r>
    </w:p>
    <w:p>
      <w:r>
        <w:t>投票前强制自我质询：在 Decide 阶段要求智能体列出“反对自己当前选择的证据”，直接对抗过早共识。</w:t>
      </w:r>
    </w:p>
    <w:p>
      <w:r>
        <w:t>人工盲审 84 项 AI—规则分歧，先给披露率一个金标准。</w:t>
      </w: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给老师的一句话  </w:t>
      </w:r>
      <w:r>
        <w:rPr>
          <w:rFonts w:ascii="Calibri" w:hAnsi="Calibri" w:eastAsia="Microsoft YaHei"/>
          <w:color w:val="333333"/>
          <w:sz w:val="22"/>
        </w:rPr>
        <w:t>对标和披露率 0 的问题都已解决并有数据；现在卡在模型层：DeepSeek 把信息摆到面前也不会用。下一步最有信息量的是同协议换模型，把“协议问题”和“模型问题”分开。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B7280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B72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6" w:space="1" w:color="D9DEE7"/>
      </w:pBdr>
    </w:pPr>
    <w:r>
      <w:rPr>
        <w:rFonts w:ascii="Calibri" w:hAnsi="Calibri" w:eastAsia="Microsoft YaHei"/>
        <w:b/>
        <w:color w:val="6B7280"/>
        <w:sz w:val="17"/>
      </w:rPr>
      <w:t>MAS知识治理｜AI信息包披露率与重复稳定性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60" w:after="200" w:line="269" w:lineRule="auto"/>
      <w:ind w:left="173" w:right="173"/>
    </w:pPr>
    <w:rPr>
      <w:rFonts w:ascii="Calibri" w:hAnsi="Calibri" w:eastAsia="Microsoft YaHe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