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360"/>
      </w:pPr>
    </w:p>
    <w:p>
      <w:pPr>
        <w:jc w:val="center"/>
      </w:pPr>
      <w:r>
        <w:rPr>
          <w:rFonts w:ascii="Calibri" w:hAnsi="Calibri" w:eastAsia="Microsoft YaHei"/>
          <w:b/>
          <w:color w:val="2E74B5"/>
          <w:sz w:val="24"/>
        </w:rPr>
        <w:t>MAS知识治理·按老师要求改进实验总报告</w:t>
      </w:r>
    </w:p>
    <w:p>
      <w:pPr>
        <w:jc w:val="center"/>
      </w:pPr>
      <w:r>
        <w:rPr>
          <w:rFonts w:ascii="Calibri" w:hAnsi="Calibri" w:eastAsia="Microsoft YaHei"/>
          <w:b/>
          <w:color w:val="17365D"/>
          <w:sz w:val="42"/>
        </w:rPr>
        <w:t>自 2026-08-02 老师提要求以来的全部工作</w:t>
      </w:r>
    </w:p>
    <w:p>
      <w:pPr>
        <w:spacing w:before="160"/>
        <w:jc w:val="center"/>
      </w:pPr>
      <w:r>
        <w:rPr>
          <w:rFonts w:ascii="Calibri" w:hAnsi="Calibri" w:eastAsia="Microsoft YaHei"/>
          <w:color w:val="333333"/>
          <w:sz w:val="24"/>
        </w:rPr>
        <w:t>对标题目 → 披露率0修复 → Structured协议复现 → 单智能体与同预算对照 → 独立盲审</w:t>
      </w:r>
    </w:p>
    <w:p>
      <w:pPr>
        <w:spacing w:after="4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项目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覆盖时段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2026-08-02（老师提要求）至 2026-08-03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模型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DeepSeek V4 Flash（temperature=0，thinking=disabled）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框架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Microsoft Agent Framework + MAF 五因子发言选择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题目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HiddenBench ID 1、5、7、25（1/5/7 为论文 3 道人工题）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运行规模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8 条件 × 4 题 × 10 次 = 320 次运行，约 9400 次 API 请求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配套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21"/>
              </w:rPr>
              <w:t>AI 披露审计 160 条 + 独立盲审 144 项 + 逐轮编码 ID1/5/7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一、老师的要求与落实情况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300"/>
        <w:gridCol w:w="37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老师的要求（8月2日以来）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落实方式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题目要有对标，选别人公布过结果的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锁定 ID1/5/7（论文 18 题实验中的 3 道人工题）+ ID25，报告给出论文 Table 6/7 对标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对标表见第二章；1/5/7 对应关系为高置信推断并已标注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解决披露率为 0 的问题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新增“强制披露轮”：第一轮 4 条发言强制陈述私有信息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ID7 披露率 0%→100%；ID5 0%→30–40%；ID1/ID25 升至 80–100%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复现论文 Structured 协议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实现 Exchange 2 轮 + Decide 1 轮（12 条消息）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ID1 9/10、ID25 9/10；ID5 0/10、ID7 2/10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10 次全错，不如单智能体？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新增单智能体直接作答与 15 轮反思对照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单智能体 5–7/40，低于任何 4 人组 20–24/40；Y_full 85–95% 才是差距所在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Structured 预算不同不可比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新增同预算固定轮转 12 条基线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fixed-12 21/40 ≈ fixed-60 20/40，预算不是混淆变量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确认性版本要人工盲审 84 项分歧并分层抽样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144 项盲化队列由独立模型完成逐项复核（Codex，非 DeepSeek）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一致率 79.5%、AI 精确率 95.1%、召回率 66.7%、修订披露率 55.7%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既然前几轮已达成一致，为何还要往下（提前停止）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固定轮转分别截断为 16/32/60 条消息对照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三者结果完全相同（各 20/40）：共识形成后继续发言无收益，可提前停止省 token</w:t>
            </w:r>
          </w:p>
        </w:tc>
      </w:tr>
    </w:tbl>
    <w:p>
      <w:pPr>
        <w:spacing w:after="0"/>
      </w:pP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声明  </w:t>
      </w:r>
      <w:r>
        <w:rPr>
          <w:rFonts w:ascii="Calibri" w:hAnsi="Calibri" w:eastAsia="Microsoft YaHei"/>
          <w:color w:val="333333"/>
          <w:sz w:val="22"/>
        </w:rPr>
        <w:t>独立盲审由 Codex 完成，不是真人金标准；同一份已填签核表可交真人复核。强制披露轮与 Structured 实验的披露率尚未经独立盲审，仍为 AI 审计值。</w:t>
      </w:r>
    </w:p>
    <w:p>
      <w:r>
        <w:br w:type="page"/>
      </w:r>
    </w:p>
    <w:p>
      <w:pPr>
        <w:pStyle w:val="Heading1"/>
      </w:pPr>
      <w:r>
        <w:t>二、与论文结果的对标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300"/>
        <w:gridCol w:w="1600"/>
        <w:gridCol w:w="1300"/>
        <w:gridCol w:w="28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论文干预（18题平均）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GPT-4.1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Gemini-2.5-Flash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Gemini-Lite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我们的 DeepSeek 参照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Baseline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0.037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0.173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0.043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固定轮转 ID1/5/7：12/30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Reveal-All 强制披露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0.926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0.982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—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固定+披露 ID1/5/7：14/30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Secretary 被动总结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0.241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0.713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—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Structured 协议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0.800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0.727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0.743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ID1/5/7：11/30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论文数值来自 HiddenBench（arXiv:2505.11556）Table 6/7，18 题平均（3 人工 + 15 随机）；论文未公布逐题结果，故我们只能做 18 题平均与 3 道人工题的参考性对照。核心分歧：论文模型“披露即可整合”（Reveal-All 0.926/0.982），DeepSeek 在 ID5/ID7 披露 100% 仍失败。</w:t>
      </w:r>
    </w:p>
    <w:p>
      <w:r>
        <w:br w:type="page"/>
      </w:r>
    </w:p>
    <w:p>
      <w:pPr>
        <w:pStyle w:val="Heading1"/>
      </w:pPr>
      <w:r>
        <w:t>三、8 条件 × 4 题完整结果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1650"/>
        <w:gridCol w:w="1000"/>
        <w:gridCol w:w="850"/>
        <w:gridCol w:w="950"/>
        <w:gridCol w:w="1050"/>
        <w:gridCol w:w="2710"/>
      </w:tblGrid>
      <w:tr>
        <w:trPr>
          <w:tblHeader w:val="true"/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条件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披露率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全对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错误共识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Y_post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Y_full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固定轮转60条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85.0%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75.0%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MAF动态60条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85.0%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6/10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4/10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60.0%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72.5%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固定+强制披露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97.5%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MAF动态+强制披露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97.5%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Structured协议12条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固定轮转12条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82.5%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单智能体直接作答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单智能体+15轮反思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3/10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30.0%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固定轮转16条（提前停止）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 撤离路线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固定轮转32条（提前停止）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82.5%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固定轮转60条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95.0%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MAF动态60条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95.0%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固定+强制披露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40.0%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85.0%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MAF动态+强制披露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40.0%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Structured协议12条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22.5%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固定轮转12条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单智能体直接作答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单智能体+15轮反思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固定轮转16条（提前停止）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5 校长候选人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固定轮转32条（提前停止）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85.0%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固定轮转60条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MAF动态60条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固定+强制披露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MAF动态+强制披露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Structured协议12条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40.0%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固定轮转12条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单智能体直接作答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单智能体+15轮反思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固定轮转16条（提前停止）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 供应商选择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固定轮转32条（提前停止）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87.5%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固定轮转60条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67.5%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MAF动态60条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67.5%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85.0%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固定+强制披露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85.0%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MAF动态+强制披露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85.0%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0/10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Structured协议12条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67.5%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固定轮转12条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单智能体直接作答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4/10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6/10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40.0%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单智能体+15轮反思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—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3/10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7/10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30.0%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固定轮转16条（提前停止）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60.0%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90.0%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25 应急避难所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固定轮转32条（提前停止）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60.0%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8/10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1/10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85.0%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5"/>
              </w:rPr>
              <w:t>100.0%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 w:eastAsia="Microsoft YaHei"/>
          <w:color w:val="6B7280"/>
          <w:sz w:val="17"/>
        </w:rPr>
        <w:t>披露率为 AI 审计口径（单智能体条件无公共讨论，不适用披露率，记“—”）；全对 = 10 次重复中最终投票全部正确；错误共识 = 全体一致且答案错误；Y_post/Y_full 为票平均正确率。</w:t>
      </w:r>
    </w:p>
    <w:p>
      <w:pPr>
        <w:pStyle w:val="Heading2"/>
      </w:pPr>
      <w:r>
        <w:t>四题合计速览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000"/>
        <w:gridCol w:w="3000"/>
      </w:tblGrid>
      <w:tr>
        <w:trPr>
          <w:tblHeader w:val="true"/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条件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全对合计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错误共识合计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固定轮转60条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MAF动态60条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14/40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24/40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固定+强制披露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24/40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16/40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MAF动态+强制披露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21/40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19/40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Structured协议12条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固定轮转12条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21/40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18/40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单智能体直接作答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5/40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35/40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单智能体+15轮反思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7/40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33/40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固定轮转16条（提前停止）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固定轮转32条（提前停止）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20/40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333333"/>
                <w:sz w:val="18"/>
              </w:rPr>
              <w:t>19/40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四、核心结论</w:t>
      </w:r>
    </w:p>
    <w:p>
      <w:pPr>
        <w:pStyle w:val="Heading2"/>
      </w:pPr>
      <w:r>
        <w:t>1. 披露率可以修，且披露→正确只在部分任务成立</w:t>
      </w:r>
    </w:p>
    <w:p>
      <w:r>
        <w:t>强制披露轮把披露率从 0–90% 拉到 30–100%，ID1/ID25 正确率同步升至 10/10；但 ID5/ID7 披露率 100% 仍全错。披露是必要条件，不是充分条件。</w:t>
      </w:r>
    </w:p>
    <w:p>
      <w:pPr>
        <w:pStyle w:val="Heading2"/>
      </w:pPr>
      <w:r>
        <w:t>2. 失败瓶颈在模型层的整合能力</w:t>
      </w:r>
    </w:p>
    <w:p>
      <w:r>
        <w:t>ID5/ID7 的单智能体全信息正确率（Y_full）为 87.5%–95%，讨论后却只有 0–20%；单智能体反思（7/40）、强制披露（24/40）、Structured（20/40）、同预算基线（21/40）都改变不了这一点。与论文 GPT-4.1/Gemini 的 72.7%–80% 对比，说明同一协议的效果强依赖底层模型。</w:t>
      </w:r>
    </w:p>
    <w:p>
      <w:pPr>
        <w:pStyle w:val="Heading2"/>
      </w:pPr>
      <w:r>
        <w:t>3. 多智能体优于单智能体（同信息设定下）</w:t>
      </w:r>
    </w:p>
    <w:p>
      <w:r>
        <w:t>单智能体直接作答 5/40、反思 7/40；任何 4 人组条件 20–24/40。讨论的价值在于信息汇聚，预算多少不敏感（12 条 ≈ 60 条）。</w:t>
      </w:r>
    </w:p>
    <w:p>
      <w:pPr>
        <w:pStyle w:val="Heading2"/>
      </w:pPr>
      <w:r>
        <w:t>4. 必须承认的负面结果</w:t>
      </w:r>
    </w:p>
    <w:p>
      <w:r>
        <w:t>MAF 动态机制在 4 题上整体未跑赢固定轮转（14/40 vs 20/40），治理收益来自强制披露轮而非动态选择；五因子权重未经调参。Structured 协议相对同预算基线无增益。这两点都不能包装成正面结论。</w:t>
      </w:r>
    </w:p>
    <w:p>
      <w:pPr>
        <w:pStyle w:val="Heading2"/>
      </w:pPr>
      <w:r>
        <w:t>5. 披露率对评审者高度敏感</w:t>
      </w:r>
    </w:p>
    <w:p>
      <w:r>
        <w:t>同一 144 项，DeepSeek 自审一致率 93.5%、修订披露率 36.4%；独立模型盲审一致率 79.5%、修订披露率 55.7%。AI 审计存在系统性漏报（召回率 66.7%），任何单一评审者都不能自称金标准，最终需要真人仲裁。</w:t>
      </w:r>
    </w:p>
    <w:p>
      <w:pPr>
        <w:pStyle w:val="Heading2"/>
      </w:pPr>
      <w:r>
        <w:t>6. 提前停止是安全的</w:t>
      </w:r>
    </w:p>
    <w:p>
      <w:r>
        <w:t>固定轮转截断到 16 条、32 条与完整 60 条的结果完全一致（均为 20/40，ID1/ID25 全对、ID5/ID7 全错）。共识在前几轮就已固化：答得对的题 4 轮就够，答错的题继续 44 条也不会翻盘。因此老师问的“达成一致为何还要往下”的答案是：不需要，可以提前停止，省下约 2/3 的发言预算。</w:t>
      </w:r>
    </w:p>
    <w:p>
      <w:r>
        <w:br w:type="page"/>
      </w:r>
    </w:p>
    <w:p>
      <w:pPr>
        <w:pStyle w:val="Heading1"/>
      </w:pPr>
      <w:r>
        <w:t>五、下一步</w:t>
      </w:r>
    </w:p>
    <w:p>
      <w:r>
        <w:t>换强模型（GPT-4.1 或 DeepSeek 更高档位）复跑同一 8 条件矩阵，把“模型问题”与“协议问题”彻底分离。</w:t>
      </w:r>
    </w:p>
    <w:p>
      <w:r>
        <w:t>对 ID5/ID7 做逐轮证据使用审计（已披露信息是否被正确引用/错误否定），定位整合失效的具体环节。</w:t>
      </w:r>
    </w:p>
    <w:p>
      <w:r>
        <w:t>真人填写 144 项盲审签核表，给出最终人工一致率、精确率、召回率与修订披露率。</w:t>
      </w:r>
    </w:p>
    <w:p>
      <w:r>
        <w:t>MAF 五因子权重做敏感性分析/消融，否则不能声称动态机制优于固定轮转。</w:t>
      </w:r>
    </w:p>
    <w:p>
      <w:r>
        <w:t>把提前停止规则接入正式协议（如连续两轮全体一致即停止），验证节省预算的同时结果不变。</w:t>
      </w:r>
    </w:p>
    <w:p>
      <w:pPr>
        <w:pStyle w:val="Callout"/>
        <w:shd w:fill="EAF2F8"/>
      </w:pPr>
      <w:r>
        <w:rPr>
          <w:rFonts w:ascii="Calibri" w:hAnsi="Calibri" w:eastAsia="Microsoft YaHei"/>
          <w:b/>
          <w:color w:val="17365D"/>
          <w:sz w:val="22"/>
        </w:rPr>
        <w:t xml:space="preserve">给老师的一句话  </w:t>
      </w:r>
      <w:r>
        <w:rPr>
          <w:rFonts w:ascii="Calibri" w:hAnsi="Calibri" w:eastAsia="Microsoft YaHei"/>
          <w:color w:val="333333"/>
          <w:sz w:val="22"/>
        </w:rPr>
        <w:t>老师提的要求全部有对应实验和数字：题目对标了论文、披露率 0 修好了、Structured 复现了、单智能体和预算质疑都补了对照、盲审做了独立复核。剩下两个未闭环：真人签核和强模型复验，都只需要人工/算力，不需要再改设计。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D9DEE7"/>
      </w:pBdr>
    </w:pPr>
    <w:r>
      <w:rPr>
        <w:rFonts w:ascii="Calibri" w:hAnsi="Calibri" w:eastAsia="Microsoft YaHei"/>
        <w:b/>
        <w:color w:val="6B7280"/>
        <w:sz w:val="17"/>
      </w:rPr>
      <w:t>MAS知识治理｜AI信息包披露率与重复稳定性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200" w:line="269" w:lineRule="auto"/>
      <w:ind w:left="173" w:right="173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