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0FDC4" w14:textId="77777777" w:rsidR="00500719" w:rsidRPr="00496317" w:rsidRDefault="00587383" w:rsidP="000A0736">
      <w:pPr>
        <w:widowControl w:val="0"/>
        <w:autoSpaceDE w:val="0"/>
        <w:autoSpaceDN w:val="0"/>
        <w:adjustRightInd w:val="0"/>
        <w:spacing w:after="0" w:line="240" w:lineRule="auto"/>
        <w:ind w:left="100"/>
        <w:rPr>
          <w:rFonts w:ascii="Arial" w:hAnsi="Arial" w:cs="Arial"/>
          <w:sz w:val="20"/>
          <w:szCs w:val="20"/>
        </w:rPr>
      </w:pPr>
      <w:bookmarkStart w:id="0" w:name="_GoBack"/>
      <w:bookmarkEnd w:id="0"/>
      <w:r w:rsidRPr="00496317">
        <w:rPr>
          <w:rFonts w:ascii="Arial" w:hAnsi="Arial" w:cs="Arial"/>
          <w:noProof/>
          <w:sz w:val="20"/>
          <w:szCs w:val="20"/>
        </w:rPr>
        <w:drawing>
          <wp:inline distT="0" distB="0" distL="0" distR="0" wp14:anchorId="04B21337" wp14:editId="3E97D935">
            <wp:extent cx="5915025" cy="14287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15025" cy="1428750"/>
                    </a:xfrm>
                    <a:prstGeom prst="rect">
                      <a:avLst/>
                    </a:prstGeom>
                    <a:noFill/>
                    <a:ln w="9525">
                      <a:noFill/>
                      <a:miter lim="800000"/>
                      <a:headEnd/>
                      <a:tailEnd/>
                    </a:ln>
                  </pic:spPr>
                </pic:pic>
              </a:graphicData>
            </a:graphic>
          </wp:inline>
        </w:drawing>
      </w:r>
    </w:p>
    <w:p w14:paraId="12311D6D" w14:textId="5A028F6D" w:rsidR="009979BE" w:rsidRPr="00496317" w:rsidRDefault="009979BE" w:rsidP="009979BE">
      <w:pPr>
        <w:spacing w:after="0"/>
        <w:jc w:val="center"/>
        <w:rPr>
          <w:rFonts w:ascii="Arial" w:hAnsi="Arial" w:cs="Arial"/>
          <w:b/>
          <w:sz w:val="20"/>
          <w:szCs w:val="20"/>
        </w:rPr>
      </w:pPr>
      <w:r w:rsidRPr="00496317">
        <w:rPr>
          <w:rFonts w:ascii="Arial" w:hAnsi="Arial" w:cs="Arial"/>
          <w:b/>
          <w:sz w:val="20"/>
          <w:szCs w:val="20"/>
        </w:rPr>
        <w:t>INTAKE REPORT</w:t>
      </w:r>
    </w:p>
    <w:p w14:paraId="2F452057" w14:textId="77777777" w:rsidR="009979BE" w:rsidRPr="00496317" w:rsidRDefault="009979BE" w:rsidP="009979BE">
      <w:pPr>
        <w:spacing w:after="0"/>
        <w:jc w:val="center"/>
        <w:rPr>
          <w:rFonts w:ascii="Arial" w:hAnsi="Arial" w:cs="Arial"/>
          <w:b/>
          <w:sz w:val="20"/>
          <w:szCs w:val="20"/>
        </w:rPr>
      </w:pPr>
    </w:p>
    <w:p w14:paraId="2B1CC008" w14:textId="5743C3D7" w:rsidR="00AC3100" w:rsidRPr="00496317" w:rsidRDefault="008D4F09" w:rsidP="00AC3100">
      <w:pPr>
        <w:spacing w:after="0"/>
        <w:rPr>
          <w:rFonts w:ascii="Arial" w:hAnsi="Arial" w:cs="Arial"/>
          <w:sz w:val="20"/>
          <w:szCs w:val="20"/>
        </w:rPr>
      </w:pPr>
      <w:r w:rsidRPr="008D4F09">
        <w:rPr>
          <w:rFonts w:ascii="Arial" w:hAnsi="Arial" w:cs="Arial"/>
          <w:b/>
          <w:bCs/>
          <w:sz w:val="20"/>
          <w:szCs w:val="20"/>
        </w:rPr>
        <w:t>Pseudonym</w:t>
      </w:r>
      <w:r w:rsidR="00AC3100" w:rsidRPr="00496317">
        <w:rPr>
          <w:rFonts w:ascii="Arial" w:hAnsi="Arial" w:cs="Arial"/>
          <w:sz w:val="20"/>
          <w:szCs w:val="20"/>
        </w:rPr>
        <w:t>:</w:t>
      </w:r>
      <w:r w:rsidR="006B0712" w:rsidRPr="00496317">
        <w:rPr>
          <w:rFonts w:ascii="Arial" w:hAnsi="Arial" w:cs="Arial"/>
          <w:sz w:val="20"/>
          <w:szCs w:val="20"/>
        </w:rPr>
        <w:t xml:space="preserve"> </w:t>
      </w:r>
      <w:r>
        <w:rPr>
          <w:rFonts w:ascii="Arial" w:hAnsi="Arial" w:cs="Arial"/>
          <w:sz w:val="20"/>
          <w:szCs w:val="20"/>
        </w:rPr>
        <w:t>Aimee Liang</w:t>
      </w:r>
      <w:r w:rsidR="00AC3100" w:rsidRPr="00496317">
        <w:rPr>
          <w:rFonts w:ascii="Arial" w:hAnsi="Arial" w:cs="Arial"/>
          <w:sz w:val="20"/>
          <w:szCs w:val="20"/>
        </w:rPr>
        <w:tab/>
      </w:r>
      <w:r w:rsidR="00AC3100" w:rsidRPr="00496317">
        <w:rPr>
          <w:rFonts w:ascii="Arial" w:hAnsi="Arial" w:cs="Arial"/>
          <w:sz w:val="20"/>
          <w:szCs w:val="20"/>
        </w:rPr>
        <w:tab/>
      </w:r>
      <w:r w:rsidR="00AC3100" w:rsidRPr="00496317">
        <w:rPr>
          <w:rFonts w:ascii="Arial" w:hAnsi="Arial" w:cs="Arial"/>
          <w:sz w:val="20"/>
          <w:szCs w:val="20"/>
        </w:rPr>
        <w:tab/>
      </w:r>
      <w:r w:rsidRPr="008D4F09">
        <w:rPr>
          <w:rFonts w:ascii="Arial" w:hAnsi="Arial" w:cs="Arial"/>
          <w:b/>
          <w:sz w:val="20"/>
          <w:szCs w:val="20"/>
        </w:rPr>
        <w:t>Interviewer:</w:t>
      </w:r>
      <w:r w:rsidRPr="008D4F09">
        <w:rPr>
          <w:rFonts w:ascii="Arial" w:hAnsi="Arial" w:cs="Arial"/>
          <w:sz w:val="20"/>
          <w:szCs w:val="20"/>
        </w:rPr>
        <w:t xml:space="preserve"> Stephanie B. Ward, MS</w:t>
      </w:r>
    </w:p>
    <w:p w14:paraId="46A499D7" w14:textId="31898ECB" w:rsidR="009979BE" w:rsidRPr="00496317" w:rsidRDefault="008D4F09" w:rsidP="00AC3100">
      <w:pPr>
        <w:spacing w:after="0"/>
        <w:rPr>
          <w:rFonts w:ascii="Arial" w:hAnsi="Arial" w:cs="Arial"/>
          <w:sz w:val="20"/>
          <w:szCs w:val="20"/>
        </w:rPr>
      </w:pPr>
      <w:r w:rsidRPr="00496317">
        <w:rPr>
          <w:rFonts w:ascii="Arial" w:hAnsi="Arial" w:cs="Arial"/>
          <w:b/>
          <w:bCs/>
          <w:sz w:val="20"/>
          <w:szCs w:val="20"/>
        </w:rPr>
        <w:t>Sex</w:t>
      </w:r>
      <w:r w:rsidRPr="00496317">
        <w:rPr>
          <w:rFonts w:ascii="Arial" w:hAnsi="Arial" w:cs="Arial"/>
          <w:sz w:val="20"/>
          <w:szCs w:val="20"/>
        </w:rPr>
        <w:t>: Female</w:t>
      </w:r>
      <w:r w:rsidRPr="00496317">
        <w:rPr>
          <w:rFonts w:ascii="Arial" w:hAnsi="Arial" w:cs="Arial"/>
          <w:b/>
          <w:bCs/>
          <w:sz w:val="20"/>
          <w:szCs w:val="20"/>
        </w:rPr>
        <w:t xml:space="preserve"> </w:t>
      </w:r>
      <w:r w:rsidR="009979BE" w:rsidRPr="00496317">
        <w:rPr>
          <w:rFonts w:ascii="Arial" w:hAnsi="Arial" w:cs="Arial"/>
          <w:b/>
          <w:bCs/>
          <w:sz w:val="20"/>
          <w:szCs w:val="20"/>
        </w:rPr>
        <w:t>Age</w:t>
      </w:r>
      <w:r w:rsidR="009979BE" w:rsidRPr="00496317">
        <w:rPr>
          <w:rFonts w:ascii="Arial" w:hAnsi="Arial" w:cs="Arial"/>
          <w:sz w:val="20"/>
          <w:szCs w:val="20"/>
        </w:rPr>
        <w:t>: 18</w:t>
      </w:r>
      <w:r w:rsidR="009979BE" w:rsidRPr="00496317">
        <w:rPr>
          <w:rFonts w:ascii="Arial" w:hAnsi="Arial" w:cs="Arial"/>
          <w:b/>
          <w:bCs/>
          <w:sz w:val="20"/>
          <w:szCs w:val="20"/>
        </w:rPr>
        <w:tab/>
      </w:r>
      <w:r w:rsidR="009979BE" w:rsidRPr="00496317">
        <w:rPr>
          <w:rFonts w:ascii="Arial" w:hAnsi="Arial" w:cs="Arial"/>
          <w:b/>
          <w:bCs/>
          <w:sz w:val="20"/>
          <w:szCs w:val="20"/>
        </w:rPr>
        <w:tab/>
      </w:r>
      <w:r w:rsidR="009979BE" w:rsidRPr="00496317">
        <w:rPr>
          <w:rFonts w:ascii="Arial" w:hAnsi="Arial" w:cs="Arial"/>
          <w:b/>
          <w:bCs/>
          <w:sz w:val="20"/>
          <w:szCs w:val="20"/>
        </w:rPr>
        <w:tab/>
      </w:r>
      <w:r>
        <w:rPr>
          <w:rFonts w:ascii="Arial" w:hAnsi="Arial" w:cs="Arial"/>
          <w:b/>
          <w:bCs/>
          <w:sz w:val="20"/>
          <w:szCs w:val="20"/>
        </w:rPr>
        <w:tab/>
      </w:r>
      <w:r w:rsidRPr="008D4F09">
        <w:rPr>
          <w:rFonts w:ascii="Arial" w:hAnsi="Arial" w:cs="Arial"/>
          <w:b/>
          <w:bCs/>
          <w:sz w:val="20"/>
          <w:szCs w:val="20"/>
        </w:rPr>
        <w:t xml:space="preserve">Supervisor: </w:t>
      </w:r>
      <w:r w:rsidRPr="008D4F09">
        <w:rPr>
          <w:rFonts w:ascii="Arial" w:hAnsi="Arial" w:cs="Arial"/>
          <w:bCs/>
          <w:sz w:val="20"/>
          <w:szCs w:val="20"/>
        </w:rPr>
        <w:t>Katherine Schaumburg, PhD</w:t>
      </w:r>
    </w:p>
    <w:p w14:paraId="48CD6B8E" w14:textId="77777777" w:rsidR="006B0712" w:rsidRPr="00496317" w:rsidRDefault="006B0712" w:rsidP="009979BE">
      <w:pPr>
        <w:spacing w:after="0"/>
        <w:rPr>
          <w:rFonts w:ascii="Arial" w:hAnsi="Arial" w:cs="Arial"/>
          <w:b/>
          <w:sz w:val="20"/>
          <w:szCs w:val="20"/>
        </w:rPr>
      </w:pPr>
    </w:p>
    <w:p w14:paraId="7FA5B738" w14:textId="0B558D0A" w:rsidR="00AC3100" w:rsidRPr="00496317" w:rsidRDefault="009979BE" w:rsidP="00AC3100">
      <w:pPr>
        <w:spacing w:after="0"/>
        <w:jc w:val="both"/>
        <w:rPr>
          <w:rFonts w:ascii="Arial" w:hAnsi="Arial" w:cs="Arial"/>
          <w:b/>
          <w:sz w:val="20"/>
          <w:szCs w:val="20"/>
        </w:rPr>
      </w:pPr>
      <w:r w:rsidRPr="00496317">
        <w:rPr>
          <w:rFonts w:ascii="Arial" w:hAnsi="Arial" w:cs="Arial"/>
          <w:b/>
          <w:sz w:val="20"/>
          <w:szCs w:val="20"/>
        </w:rPr>
        <w:t>IDENTIFYING</w:t>
      </w:r>
      <w:r w:rsidR="00AC3100" w:rsidRPr="00496317">
        <w:rPr>
          <w:rFonts w:ascii="Arial" w:hAnsi="Arial" w:cs="Arial"/>
          <w:b/>
          <w:sz w:val="20"/>
          <w:szCs w:val="20"/>
        </w:rPr>
        <w:t xml:space="preserve"> </w:t>
      </w:r>
      <w:r w:rsidR="00CA09F7" w:rsidRPr="00496317">
        <w:rPr>
          <w:rFonts w:ascii="Arial" w:hAnsi="Arial" w:cs="Arial"/>
          <w:b/>
          <w:sz w:val="20"/>
          <w:szCs w:val="20"/>
        </w:rPr>
        <w:t xml:space="preserve">INFORMATION AND </w:t>
      </w:r>
      <w:r w:rsidRPr="00496317">
        <w:rPr>
          <w:rFonts w:ascii="Arial" w:hAnsi="Arial" w:cs="Arial"/>
          <w:b/>
          <w:sz w:val="20"/>
          <w:szCs w:val="20"/>
        </w:rPr>
        <w:t>REASON FOR REFERRAL</w:t>
      </w:r>
    </w:p>
    <w:p w14:paraId="743248A5" w14:textId="4E677854" w:rsidR="006B0712" w:rsidRPr="00496317" w:rsidRDefault="00912820" w:rsidP="00CA09F7">
      <w:pPr>
        <w:spacing w:after="0"/>
        <w:rPr>
          <w:rFonts w:ascii="Arial" w:hAnsi="Arial" w:cs="Arial"/>
          <w:bCs/>
          <w:sz w:val="20"/>
          <w:szCs w:val="20"/>
        </w:rPr>
      </w:pPr>
      <w:r>
        <w:rPr>
          <w:rFonts w:ascii="Arial" w:hAnsi="Arial" w:cs="Arial"/>
          <w:sz w:val="20"/>
          <w:szCs w:val="20"/>
        </w:rPr>
        <w:t>Aimee</w:t>
      </w:r>
      <w:r w:rsidR="00CB65BC" w:rsidRPr="00496317">
        <w:rPr>
          <w:rFonts w:ascii="Arial" w:hAnsi="Arial" w:cs="Arial"/>
          <w:sz w:val="20"/>
          <w:szCs w:val="20"/>
        </w:rPr>
        <w:t xml:space="preserve"> self-identified as a cisgender, heterosexual, Asian woman and </w:t>
      </w:r>
      <w:r w:rsidR="006B0712" w:rsidRPr="00496317">
        <w:rPr>
          <w:rFonts w:ascii="Arial" w:hAnsi="Arial" w:cs="Arial"/>
          <w:sz w:val="20"/>
          <w:szCs w:val="20"/>
        </w:rPr>
        <w:t xml:space="preserve">18-year-old undergraduate student at </w:t>
      </w:r>
      <w:r>
        <w:rPr>
          <w:rFonts w:ascii="Arial" w:hAnsi="Arial" w:cs="Arial"/>
          <w:sz w:val="20"/>
          <w:szCs w:val="20"/>
        </w:rPr>
        <w:t>a large public university</w:t>
      </w:r>
      <w:r w:rsidR="00CB65BC" w:rsidRPr="00496317">
        <w:rPr>
          <w:rFonts w:ascii="Arial" w:hAnsi="Arial" w:cs="Arial"/>
          <w:sz w:val="20"/>
          <w:szCs w:val="20"/>
        </w:rPr>
        <w:t xml:space="preserve">. </w:t>
      </w:r>
      <w:r w:rsidR="009979BE" w:rsidRPr="00496317">
        <w:rPr>
          <w:rFonts w:ascii="Arial" w:hAnsi="Arial" w:cs="Arial"/>
          <w:sz w:val="20"/>
          <w:szCs w:val="20"/>
        </w:rPr>
        <w:t>Her</w:t>
      </w:r>
      <w:r w:rsidR="00E54A24">
        <w:rPr>
          <w:rFonts w:ascii="Arial" w:hAnsi="Arial" w:cs="Arial"/>
          <w:sz w:val="20"/>
          <w:szCs w:val="20"/>
        </w:rPr>
        <w:t xml:space="preserve"> local primary care</w:t>
      </w:r>
      <w:r w:rsidR="00A2729F" w:rsidRPr="00496317">
        <w:rPr>
          <w:rFonts w:ascii="Arial" w:hAnsi="Arial" w:cs="Arial"/>
          <w:sz w:val="20"/>
          <w:szCs w:val="20"/>
        </w:rPr>
        <w:t xml:space="preserve"> </w:t>
      </w:r>
      <w:r w:rsidR="009979BE" w:rsidRPr="00496317">
        <w:rPr>
          <w:rFonts w:ascii="Arial" w:hAnsi="Arial" w:cs="Arial"/>
          <w:sz w:val="20"/>
          <w:szCs w:val="20"/>
        </w:rPr>
        <w:t>p</w:t>
      </w:r>
      <w:r w:rsidR="00A2729F" w:rsidRPr="00496317">
        <w:rPr>
          <w:rFonts w:ascii="Arial" w:hAnsi="Arial" w:cs="Arial"/>
          <w:sz w:val="20"/>
          <w:szCs w:val="20"/>
        </w:rPr>
        <w:t>hysician</w:t>
      </w:r>
      <w:r w:rsidR="009979BE" w:rsidRPr="00496317">
        <w:rPr>
          <w:rFonts w:ascii="Arial" w:hAnsi="Arial" w:cs="Arial"/>
          <w:sz w:val="20"/>
          <w:szCs w:val="20"/>
        </w:rPr>
        <w:t xml:space="preserve"> </w:t>
      </w:r>
      <w:r w:rsidR="00A2729F" w:rsidRPr="00496317">
        <w:rPr>
          <w:rFonts w:ascii="Arial" w:hAnsi="Arial" w:cs="Arial"/>
          <w:sz w:val="20"/>
          <w:szCs w:val="20"/>
        </w:rPr>
        <w:t xml:space="preserve">referred </w:t>
      </w:r>
      <w:r>
        <w:rPr>
          <w:rFonts w:ascii="Arial" w:hAnsi="Arial" w:cs="Arial"/>
          <w:sz w:val="20"/>
          <w:szCs w:val="20"/>
        </w:rPr>
        <w:t>Aimee</w:t>
      </w:r>
      <w:r w:rsidR="00A2729F" w:rsidRPr="00496317">
        <w:rPr>
          <w:rFonts w:ascii="Arial" w:hAnsi="Arial" w:cs="Arial"/>
          <w:sz w:val="20"/>
          <w:szCs w:val="20"/>
        </w:rPr>
        <w:t xml:space="preserve"> to care management, who then referred </w:t>
      </w:r>
      <w:r w:rsidR="00CA09F7" w:rsidRPr="00496317">
        <w:rPr>
          <w:rFonts w:ascii="Arial" w:hAnsi="Arial" w:cs="Arial"/>
          <w:sz w:val="20"/>
          <w:szCs w:val="20"/>
        </w:rPr>
        <w:t>her</w:t>
      </w:r>
      <w:r w:rsidR="00A2729F" w:rsidRPr="00496317">
        <w:rPr>
          <w:rFonts w:ascii="Arial" w:hAnsi="Arial" w:cs="Arial"/>
          <w:sz w:val="20"/>
          <w:szCs w:val="20"/>
        </w:rPr>
        <w:t xml:space="preserve"> to the </w:t>
      </w:r>
      <w:r w:rsidR="00877CDD">
        <w:rPr>
          <w:rFonts w:ascii="Arial" w:hAnsi="Arial" w:cs="Arial"/>
          <w:sz w:val="20"/>
          <w:szCs w:val="20"/>
        </w:rPr>
        <w:t>t</w:t>
      </w:r>
      <w:r w:rsidR="00CA09F7" w:rsidRPr="00496317">
        <w:rPr>
          <w:rFonts w:ascii="Arial" w:hAnsi="Arial" w:cs="Arial"/>
          <w:sz w:val="20"/>
          <w:szCs w:val="20"/>
        </w:rPr>
        <w:t xml:space="preserve">raining </w:t>
      </w:r>
      <w:r w:rsidR="00877CDD">
        <w:rPr>
          <w:rFonts w:ascii="Arial" w:hAnsi="Arial" w:cs="Arial"/>
          <w:sz w:val="20"/>
          <w:szCs w:val="20"/>
        </w:rPr>
        <w:t>c</w:t>
      </w:r>
      <w:r w:rsidR="00CA09F7" w:rsidRPr="00496317">
        <w:rPr>
          <w:rFonts w:ascii="Arial" w:hAnsi="Arial" w:cs="Arial"/>
          <w:sz w:val="20"/>
          <w:szCs w:val="20"/>
        </w:rPr>
        <w:t xml:space="preserve">linic </w:t>
      </w:r>
      <w:r w:rsidR="00A2729F" w:rsidRPr="00496317">
        <w:rPr>
          <w:rFonts w:ascii="Arial" w:hAnsi="Arial" w:cs="Arial"/>
          <w:sz w:val="20"/>
          <w:szCs w:val="20"/>
        </w:rPr>
        <w:t xml:space="preserve">for diagnostic </w:t>
      </w:r>
      <w:r w:rsidR="009979BE" w:rsidRPr="00496317">
        <w:rPr>
          <w:rFonts w:ascii="Arial" w:hAnsi="Arial" w:cs="Arial"/>
          <w:sz w:val="20"/>
          <w:szCs w:val="20"/>
        </w:rPr>
        <w:t>evaluation</w:t>
      </w:r>
      <w:r w:rsidR="00A2729F" w:rsidRPr="00496317">
        <w:rPr>
          <w:rFonts w:ascii="Arial" w:hAnsi="Arial" w:cs="Arial"/>
          <w:sz w:val="20"/>
          <w:szCs w:val="20"/>
        </w:rPr>
        <w:t xml:space="preserve"> </w:t>
      </w:r>
      <w:r w:rsidR="009979BE" w:rsidRPr="00496317">
        <w:rPr>
          <w:rFonts w:ascii="Arial" w:hAnsi="Arial" w:cs="Arial"/>
          <w:sz w:val="20"/>
          <w:szCs w:val="20"/>
        </w:rPr>
        <w:t xml:space="preserve">and subsequent treatment for </w:t>
      </w:r>
      <w:r w:rsidR="00A616F2">
        <w:rPr>
          <w:rFonts w:ascii="Arial" w:hAnsi="Arial" w:cs="Arial"/>
          <w:sz w:val="20"/>
          <w:szCs w:val="20"/>
        </w:rPr>
        <w:t>b</w:t>
      </w:r>
      <w:r w:rsidR="009979BE" w:rsidRPr="00496317">
        <w:rPr>
          <w:rFonts w:ascii="Arial" w:hAnsi="Arial" w:cs="Arial"/>
          <w:sz w:val="20"/>
          <w:szCs w:val="20"/>
        </w:rPr>
        <w:t xml:space="preserve">ulimia </w:t>
      </w:r>
      <w:r w:rsidR="00A616F2">
        <w:rPr>
          <w:rFonts w:ascii="Arial" w:hAnsi="Arial" w:cs="Arial"/>
          <w:sz w:val="20"/>
          <w:szCs w:val="20"/>
        </w:rPr>
        <w:t>n</w:t>
      </w:r>
      <w:r w:rsidR="009979BE" w:rsidRPr="00496317">
        <w:rPr>
          <w:rFonts w:ascii="Arial" w:hAnsi="Arial" w:cs="Arial"/>
          <w:sz w:val="20"/>
          <w:szCs w:val="20"/>
        </w:rPr>
        <w:t xml:space="preserve">ervosa. </w:t>
      </w:r>
    </w:p>
    <w:p w14:paraId="188CEF9C" w14:textId="77777777" w:rsidR="00466A28" w:rsidRPr="00496317" w:rsidRDefault="00466A28" w:rsidP="000A0736">
      <w:pPr>
        <w:spacing w:after="0"/>
        <w:rPr>
          <w:rFonts w:ascii="Arial" w:hAnsi="Arial" w:cs="Arial"/>
          <w:sz w:val="20"/>
          <w:szCs w:val="20"/>
        </w:rPr>
      </w:pPr>
    </w:p>
    <w:p w14:paraId="03ADB12E" w14:textId="77777777" w:rsidR="007073BD" w:rsidRPr="00496317" w:rsidRDefault="007073BD" w:rsidP="007073BD">
      <w:pPr>
        <w:spacing w:after="0"/>
        <w:rPr>
          <w:rFonts w:ascii="Arial" w:hAnsi="Arial" w:cs="Arial"/>
          <w:b/>
          <w:sz w:val="20"/>
          <w:szCs w:val="20"/>
        </w:rPr>
      </w:pPr>
      <w:r w:rsidRPr="00496317">
        <w:rPr>
          <w:rFonts w:ascii="Arial" w:hAnsi="Arial" w:cs="Arial"/>
          <w:b/>
          <w:sz w:val="20"/>
          <w:szCs w:val="20"/>
        </w:rPr>
        <w:t>PROCEDURES</w:t>
      </w:r>
    </w:p>
    <w:p w14:paraId="3972D407" w14:textId="706AEC2C" w:rsidR="007073BD" w:rsidRPr="00496317" w:rsidRDefault="00CB65BC" w:rsidP="007073BD">
      <w:pPr>
        <w:spacing w:after="0"/>
        <w:rPr>
          <w:rFonts w:ascii="Arial" w:hAnsi="Arial" w:cs="Arial"/>
          <w:sz w:val="20"/>
          <w:szCs w:val="20"/>
        </w:rPr>
      </w:pPr>
      <w:r w:rsidRPr="00496317">
        <w:rPr>
          <w:rFonts w:ascii="Arial" w:hAnsi="Arial" w:cs="Arial"/>
          <w:sz w:val="20"/>
          <w:szCs w:val="20"/>
        </w:rPr>
        <w:t xml:space="preserve">Semi-Structured </w:t>
      </w:r>
      <w:r w:rsidR="007073BD" w:rsidRPr="00496317">
        <w:rPr>
          <w:rFonts w:ascii="Arial" w:hAnsi="Arial" w:cs="Arial"/>
          <w:sz w:val="20"/>
          <w:szCs w:val="20"/>
        </w:rPr>
        <w:t>Clinical Interview</w:t>
      </w:r>
    </w:p>
    <w:p w14:paraId="50F34400" w14:textId="1DE1DFF3" w:rsidR="00CB65BC" w:rsidRPr="00496317" w:rsidRDefault="00CB65BC" w:rsidP="007073BD">
      <w:pPr>
        <w:spacing w:after="0"/>
        <w:rPr>
          <w:rFonts w:ascii="Arial" w:hAnsi="Arial" w:cs="Arial"/>
          <w:sz w:val="20"/>
          <w:szCs w:val="20"/>
        </w:rPr>
      </w:pPr>
      <w:r w:rsidRPr="00496317">
        <w:rPr>
          <w:rFonts w:ascii="Arial" w:hAnsi="Arial" w:cs="Arial"/>
          <w:sz w:val="20"/>
          <w:szCs w:val="20"/>
        </w:rPr>
        <w:t>Structured Interview for Specific Eating Disorder Symptoms</w:t>
      </w:r>
    </w:p>
    <w:p w14:paraId="7D5931E9" w14:textId="7F0285A8" w:rsidR="00563304" w:rsidRPr="00496317" w:rsidRDefault="00563304" w:rsidP="007073BD">
      <w:pPr>
        <w:spacing w:after="0"/>
        <w:rPr>
          <w:rFonts w:ascii="Arial" w:hAnsi="Arial" w:cs="Arial"/>
          <w:sz w:val="20"/>
          <w:szCs w:val="20"/>
        </w:rPr>
      </w:pPr>
      <w:r w:rsidRPr="00496317">
        <w:rPr>
          <w:rFonts w:ascii="Arial" w:hAnsi="Arial" w:cs="Arial"/>
          <w:sz w:val="20"/>
          <w:szCs w:val="20"/>
        </w:rPr>
        <w:t>The Eating Pathology Symptoms Inventory (EPSI)</w:t>
      </w:r>
    </w:p>
    <w:p w14:paraId="07F648C4" w14:textId="2C1DB263" w:rsidR="00CB2288" w:rsidRPr="00496317" w:rsidRDefault="002B383F" w:rsidP="002B383F">
      <w:pPr>
        <w:spacing w:after="0"/>
        <w:rPr>
          <w:rFonts w:ascii="Arial" w:hAnsi="Arial" w:cs="Arial"/>
          <w:sz w:val="20"/>
          <w:szCs w:val="20"/>
        </w:rPr>
      </w:pPr>
      <w:r w:rsidRPr="00496317">
        <w:rPr>
          <w:rFonts w:ascii="Arial" w:hAnsi="Arial" w:cs="Arial"/>
          <w:sz w:val="20"/>
          <w:szCs w:val="20"/>
        </w:rPr>
        <w:t>Alcohol Use Disorders Identification Test (AUDIT)</w:t>
      </w:r>
    </w:p>
    <w:p w14:paraId="379EA713" w14:textId="77777777" w:rsidR="002B383F" w:rsidRPr="00496317" w:rsidRDefault="002B383F" w:rsidP="002B383F">
      <w:pPr>
        <w:spacing w:after="0"/>
        <w:rPr>
          <w:rFonts w:ascii="Arial" w:hAnsi="Arial" w:cs="Arial"/>
          <w:sz w:val="20"/>
          <w:szCs w:val="20"/>
        </w:rPr>
      </w:pPr>
      <w:r w:rsidRPr="00496317">
        <w:rPr>
          <w:rFonts w:ascii="Arial" w:hAnsi="Arial" w:cs="Arial"/>
          <w:sz w:val="20"/>
          <w:szCs w:val="20"/>
        </w:rPr>
        <w:t>Patient Health Questionnaire-9 (PHQ-9)</w:t>
      </w:r>
    </w:p>
    <w:p w14:paraId="5D33AC8B" w14:textId="38DA4BDE" w:rsidR="002B383F" w:rsidRPr="00496317" w:rsidRDefault="002B383F" w:rsidP="007073BD">
      <w:pPr>
        <w:spacing w:after="0"/>
        <w:rPr>
          <w:rFonts w:ascii="Arial" w:hAnsi="Arial" w:cs="Arial"/>
          <w:sz w:val="20"/>
          <w:szCs w:val="20"/>
        </w:rPr>
      </w:pPr>
      <w:r w:rsidRPr="00496317">
        <w:rPr>
          <w:rFonts w:ascii="Arial" w:hAnsi="Arial" w:cs="Arial"/>
          <w:sz w:val="20"/>
          <w:szCs w:val="20"/>
        </w:rPr>
        <w:t>Personality Assessment Inventory (PAI)</w:t>
      </w:r>
    </w:p>
    <w:p w14:paraId="299D4EF4" w14:textId="71A275EE" w:rsidR="00CA09F7" w:rsidRPr="00496317" w:rsidRDefault="00CA09F7" w:rsidP="007073BD">
      <w:pPr>
        <w:spacing w:after="0"/>
        <w:rPr>
          <w:rFonts w:ascii="Arial" w:hAnsi="Arial" w:cs="Arial"/>
          <w:sz w:val="20"/>
          <w:szCs w:val="20"/>
        </w:rPr>
      </w:pPr>
      <w:proofErr w:type="spellStart"/>
      <w:r w:rsidRPr="00496317">
        <w:rPr>
          <w:rFonts w:ascii="Arial" w:hAnsi="Arial" w:cs="Arial"/>
          <w:sz w:val="20"/>
          <w:szCs w:val="20"/>
        </w:rPr>
        <w:t>HiTOP</w:t>
      </w:r>
      <w:proofErr w:type="spellEnd"/>
      <w:r w:rsidRPr="00496317">
        <w:rPr>
          <w:rFonts w:ascii="Arial" w:hAnsi="Arial" w:cs="Arial"/>
          <w:sz w:val="20"/>
          <w:szCs w:val="20"/>
        </w:rPr>
        <w:t>-Digital Assessment and Tracker (</w:t>
      </w:r>
      <w:proofErr w:type="spellStart"/>
      <w:r w:rsidRPr="00496317">
        <w:rPr>
          <w:rFonts w:ascii="Arial" w:hAnsi="Arial" w:cs="Arial"/>
          <w:sz w:val="20"/>
          <w:szCs w:val="20"/>
        </w:rPr>
        <w:t>HiTOP</w:t>
      </w:r>
      <w:proofErr w:type="spellEnd"/>
      <w:r w:rsidRPr="00496317">
        <w:rPr>
          <w:rFonts w:ascii="Arial" w:hAnsi="Arial" w:cs="Arial"/>
          <w:sz w:val="20"/>
          <w:szCs w:val="20"/>
        </w:rPr>
        <w:t>-DAT)</w:t>
      </w:r>
    </w:p>
    <w:p w14:paraId="11771363" w14:textId="53AE34FD" w:rsidR="007073BD" w:rsidRPr="00496317" w:rsidRDefault="007073BD" w:rsidP="007073BD">
      <w:pPr>
        <w:spacing w:after="0"/>
        <w:rPr>
          <w:rFonts w:ascii="Arial" w:hAnsi="Arial" w:cs="Arial"/>
          <w:sz w:val="20"/>
          <w:szCs w:val="20"/>
        </w:rPr>
      </w:pPr>
      <w:r w:rsidRPr="00496317">
        <w:rPr>
          <w:rFonts w:ascii="Arial" w:hAnsi="Arial" w:cs="Arial"/>
          <w:sz w:val="20"/>
          <w:szCs w:val="20"/>
        </w:rPr>
        <w:t>Wechsler Abbreviated Scale of Intelligence—Second Edition (WASI-II)</w:t>
      </w:r>
    </w:p>
    <w:p w14:paraId="639BB4B0" w14:textId="77777777" w:rsidR="004B2D47" w:rsidRPr="00496317" w:rsidRDefault="004B2D47" w:rsidP="004B2D47">
      <w:pPr>
        <w:spacing w:after="0"/>
        <w:rPr>
          <w:rFonts w:ascii="Arial" w:hAnsi="Arial" w:cs="Arial"/>
          <w:b/>
          <w:sz w:val="20"/>
          <w:szCs w:val="20"/>
        </w:rPr>
      </w:pPr>
    </w:p>
    <w:p w14:paraId="382371D4" w14:textId="0E09A501" w:rsidR="00516C9F" w:rsidRPr="00496317" w:rsidRDefault="00516C9F" w:rsidP="00944A2F">
      <w:pPr>
        <w:spacing w:after="0"/>
        <w:rPr>
          <w:rFonts w:ascii="Arial" w:hAnsi="Arial" w:cs="Arial"/>
          <w:b/>
          <w:sz w:val="20"/>
          <w:szCs w:val="20"/>
        </w:rPr>
      </w:pPr>
      <w:r w:rsidRPr="00496317">
        <w:rPr>
          <w:rFonts w:ascii="Arial" w:hAnsi="Arial" w:cs="Arial"/>
          <w:b/>
          <w:sz w:val="20"/>
          <w:szCs w:val="20"/>
        </w:rPr>
        <w:t xml:space="preserve">PERSONAL </w:t>
      </w:r>
      <w:r w:rsidR="00B8092A" w:rsidRPr="00496317">
        <w:rPr>
          <w:rFonts w:ascii="Arial" w:hAnsi="Arial" w:cs="Arial"/>
          <w:b/>
          <w:sz w:val="20"/>
          <w:szCs w:val="20"/>
        </w:rPr>
        <w:t>AND</w:t>
      </w:r>
      <w:r w:rsidRPr="00496317">
        <w:rPr>
          <w:rFonts w:ascii="Arial" w:hAnsi="Arial" w:cs="Arial"/>
          <w:b/>
          <w:sz w:val="20"/>
          <w:szCs w:val="20"/>
        </w:rPr>
        <w:t xml:space="preserve"> PSYCHIATRIC HISTORY</w:t>
      </w:r>
    </w:p>
    <w:p w14:paraId="7E3DC7AE" w14:textId="60B46D8B" w:rsidR="00DF1CC0" w:rsidRPr="00496317" w:rsidRDefault="00720202" w:rsidP="00142C0A">
      <w:pPr>
        <w:spacing w:after="0"/>
        <w:jc w:val="both"/>
        <w:rPr>
          <w:rFonts w:ascii="Arial" w:hAnsi="Arial" w:cs="Arial"/>
          <w:sz w:val="20"/>
          <w:szCs w:val="20"/>
        </w:rPr>
      </w:pPr>
      <w:r>
        <w:rPr>
          <w:rFonts w:ascii="Arial" w:hAnsi="Arial" w:cs="Arial"/>
          <w:sz w:val="20"/>
          <w:szCs w:val="20"/>
        </w:rPr>
        <w:t>Patient</w:t>
      </w:r>
      <w:r w:rsidR="00C42CE7" w:rsidRPr="00496317">
        <w:rPr>
          <w:rFonts w:ascii="Arial" w:hAnsi="Arial" w:cs="Arial"/>
          <w:sz w:val="20"/>
          <w:szCs w:val="20"/>
        </w:rPr>
        <w:t xml:space="preserve"> reported having “bad body image” since childhood </w:t>
      </w:r>
      <w:r w:rsidR="001C7691">
        <w:rPr>
          <w:rFonts w:ascii="Arial" w:hAnsi="Arial" w:cs="Arial"/>
          <w:sz w:val="20"/>
          <w:szCs w:val="20"/>
        </w:rPr>
        <w:t xml:space="preserve">and </w:t>
      </w:r>
      <w:r w:rsidR="001C7691" w:rsidRPr="001C7691">
        <w:rPr>
          <w:rFonts w:ascii="Arial" w:hAnsi="Arial" w:cs="Arial"/>
          <w:sz w:val="20"/>
          <w:szCs w:val="20"/>
        </w:rPr>
        <w:t>early pubertal maturation</w:t>
      </w:r>
      <w:r w:rsidR="001C7691">
        <w:rPr>
          <w:rFonts w:ascii="Arial" w:hAnsi="Arial" w:cs="Arial"/>
          <w:sz w:val="20"/>
          <w:szCs w:val="20"/>
        </w:rPr>
        <w:t>, both of which</w:t>
      </w:r>
      <w:r w:rsidR="001C7691" w:rsidRPr="001C7691">
        <w:rPr>
          <w:rFonts w:ascii="Arial" w:hAnsi="Arial" w:cs="Arial"/>
          <w:sz w:val="20"/>
          <w:szCs w:val="20"/>
        </w:rPr>
        <w:t xml:space="preserve"> </w:t>
      </w:r>
      <w:proofErr w:type="spellStart"/>
      <w:r w:rsidR="001C7691" w:rsidRPr="001C7691">
        <w:rPr>
          <w:rFonts w:ascii="Arial" w:hAnsi="Arial" w:cs="Arial"/>
          <w:sz w:val="20"/>
          <w:szCs w:val="20"/>
        </w:rPr>
        <w:t>increase</w:t>
      </w:r>
      <w:proofErr w:type="spellEnd"/>
      <w:r w:rsidR="001C7691" w:rsidRPr="001C7691">
        <w:rPr>
          <w:rFonts w:ascii="Arial" w:hAnsi="Arial" w:cs="Arial"/>
          <w:sz w:val="20"/>
          <w:szCs w:val="20"/>
        </w:rPr>
        <w:t xml:space="preserve"> risk for bulimia nervosa</w:t>
      </w:r>
      <w:r w:rsidR="001C7691">
        <w:rPr>
          <w:rFonts w:ascii="Arial" w:hAnsi="Arial" w:cs="Arial"/>
          <w:sz w:val="20"/>
          <w:szCs w:val="20"/>
        </w:rPr>
        <w:t xml:space="preserve"> (DSM-5-TR; American Psychiatric Association, 2013). </w:t>
      </w:r>
      <w:r w:rsidR="00912820">
        <w:rPr>
          <w:rFonts w:ascii="Arial" w:hAnsi="Arial" w:cs="Arial"/>
          <w:sz w:val="20"/>
          <w:szCs w:val="20"/>
        </w:rPr>
        <w:t>Aimee</w:t>
      </w:r>
      <w:r w:rsidR="001C7691">
        <w:rPr>
          <w:rFonts w:ascii="Arial" w:hAnsi="Arial" w:cs="Arial"/>
          <w:sz w:val="20"/>
          <w:szCs w:val="20"/>
        </w:rPr>
        <w:t xml:space="preserve"> described her </w:t>
      </w:r>
      <w:r w:rsidR="00C42CE7" w:rsidRPr="00496317">
        <w:rPr>
          <w:rFonts w:ascii="Arial" w:hAnsi="Arial" w:cs="Arial"/>
          <w:sz w:val="20"/>
          <w:szCs w:val="20"/>
        </w:rPr>
        <w:t xml:space="preserve">body changing ahead of her </w:t>
      </w:r>
      <w:r w:rsidR="001C7691">
        <w:rPr>
          <w:rFonts w:ascii="Arial" w:hAnsi="Arial" w:cs="Arial"/>
          <w:sz w:val="20"/>
          <w:szCs w:val="20"/>
        </w:rPr>
        <w:t xml:space="preserve">same-aged </w:t>
      </w:r>
      <w:r w:rsidR="00C42CE7" w:rsidRPr="00496317">
        <w:rPr>
          <w:rFonts w:ascii="Arial" w:hAnsi="Arial" w:cs="Arial"/>
          <w:sz w:val="20"/>
          <w:szCs w:val="20"/>
        </w:rPr>
        <w:t>peers</w:t>
      </w:r>
      <w:r w:rsidR="001C7691">
        <w:rPr>
          <w:rFonts w:ascii="Arial" w:hAnsi="Arial" w:cs="Arial"/>
          <w:sz w:val="20"/>
          <w:szCs w:val="20"/>
        </w:rPr>
        <w:t xml:space="preserve"> and </w:t>
      </w:r>
      <w:r w:rsidR="00875596" w:rsidRPr="00496317">
        <w:rPr>
          <w:rFonts w:ascii="Arial" w:hAnsi="Arial" w:cs="Arial"/>
          <w:sz w:val="20"/>
          <w:szCs w:val="20"/>
        </w:rPr>
        <w:t>recalled learning</w:t>
      </w:r>
      <w:r w:rsidR="001C7691">
        <w:rPr>
          <w:rFonts w:ascii="Arial" w:hAnsi="Arial" w:cs="Arial"/>
          <w:sz w:val="20"/>
          <w:szCs w:val="20"/>
        </w:rPr>
        <w:t xml:space="preserve"> early on,</w:t>
      </w:r>
      <w:r w:rsidR="00C42CE7" w:rsidRPr="00496317">
        <w:rPr>
          <w:rFonts w:ascii="Arial" w:hAnsi="Arial" w:cs="Arial"/>
          <w:sz w:val="20"/>
          <w:szCs w:val="20"/>
        </w:rPr>
        <w:t xml:space="preserve"> “I don’t look like everybody else</w:t>
      </w:r>
      <w:r w:rsidR="001C7691">
        <w:rPr>
          <w:rFonts w:ascii="Arial" w:hAnsi="Arial" w:cs="Arial"/>
          <w:sz w:val="20"/>
          <w:szCs w:val="20"/>
        </w:rPr>
        <w:t>.</w:t>
      </w:r>
      <w:r w:rsidR="00C42CE7" w:rsidRPr="00496317">
        <w:rPr>
          <w:rFonts w:ascii="Arial" w:hAnsi="Arial" w:cs="Arial"/>
          <w:sz w:val="20"/>
          <w:szCs w:val="20"/>
        </w:rPr>
        <w:t xml:space="preserve">” </w:t>
      </w:r>
      <w:r w:rsidR="001C7691">
        <w:rPr>
          <w:rFonts w:ascii="Arial" w:hAnsi="Arial" w:cs="Arial"/>
          <w:sz w:val="20"/>
          <w:szCs w:val="20"/>
        </w:rPr>
        <w:t xml:space="preserve">For example, </w:t>
      </w:r>
      <w:r w:rsidR="00C42CE7" w:rsidRPr="00496317">
        <w:rPr>
          <w:rFonts w:ascii="Arial" w:hAnsi="Arial" w:cs="Arial"/>
          <w:sz w:val="20"/>
          <w:szCs w:val="20"/>
        </w:rPr>
        <w:t>she was taking dance classes</w:t>
      </w:r>
      <w:r w:rsidR="00875596" w:rsidRPr="00496317">
        <w:rPr>
          <w:rFonts w:ascii="Arial" w:hAnsi="Arial" w:cs="Arial"/>
          <w:sz w:val="20"/>
          <w:szCs w:val="20"/>
        </w:rPr>
        <w:t xml:space="preserve"> in </w:t>
      </w:r>
      <w:r w:rsidR="00912820">
        <w:rPr>
          <w:rFonts w:ascii="Arial" w:hAnsi="Arial" w:cs="Arial"/>
          <w:sz w:val="20"/>
          <w:szCs w:val="20"/>
        </w:rPr>
        <w:t>elementary school</w:t>
      </w:r>
      <w:r w:rsidR="00C42CE7" w:rsidRPr="00496317">
        <w:rPr>
          <w:rFonts w:ascii="Arial" w:hAnsi="Arial" w:cs="Arial"/>
          <w:sz w:val="20"/>
          <w:szCs w:val="20"/>
        </w:rPr>
        <w:t xml:space="preserve"> and al</w:t>
      </w:r>
      <w:r w:rsidR="00912820">
        <w:rPr>
          <w:rFonts w:ascii="Arial" w:hAnsi="Arial" w:cs="Arial"/>
          <w:sz w:val="20"/>
          <w:szCs w:val="20"/>
        </w:rPr>
        <w:t>l the other girls were wearing “</w:t>
      </w:r>
      <w:r w:rsidR="00C42CE7" w:rsidRPr="00496317">
        <w:rPr>
          <w:rFonts w:ascii="Arial" w:hAnsi="Arial" w:cs="Arial"/>
          <w:sz w:val="20"/>
          <w:szCs w:val="20"/>
        </w:rPr>
        <w:t xml:space="preserve">tiny </w:t>
      </w:r>
      <w:r w:rsidR="00912820">
        <w:rPr>
          <w:rFonts w:ascii="Arial" w:hAnsi="Arial" w:cs="Arial"/>
          <w:sz w:val="20"/>
          <w:szCs w:val="20"/>
        </w:rPr>
        <w:t>[ballet]</w:t>
      </w:r>
      <w:r w:rsidR="00C42CE7" w:rsidRPr="00496317">
        <w:rPr>
          <w:rFonts w:ascii="Arial" w:hAnsi="Arial" w:cs="Arial"/>
          <w:sz w:val="20"/>
          <w:szCs w:val="20"/>
        </w:rPr>
        <w:t xml:space="preserve"> tops</w:t>
      </w:r>
      <w:r w:rsidR="00875596" w:rsidRPr="00496317">
        <w:rPr>
          <w:rFonts w:ascii="Arial" w:hAnsi="Arial" w:cs="Arial"/>
          <w:sz w:val="20"/>
          <w:szCs w:val="20"/>
        </w:rPr>
        <w:t>,</w:t>
      </w:r>
      <w:r w:rsidR="00912820">
        <w:rPr>
          <w:rFonts w:ascii="Arial" w:hAnsi="Arial" w:cs="Arial"/>
          <w:sz w:val="20"/>
          <w:szCs w:val="20"/>
        </w:rPr>
        <w:t>”</w:t>
      </w:r>
      <w:r w:rsidR="00C42CE7" w:rsidRPr="00496317">
        <w:rPr>
          <w:rFonts w:ascii="Arial" w:hAnsi="Arial" w:cs="Arial"/>
          <w:sz w:val="20"/>
          <w:szCs w:val="20"/>
        </w:rPr>
        <w:t xml:space="preserve"> </w:t>
      </w:r>
      <w:r w:rsidR="00875596" w:rsidRPr="00496317">
        <w:rPr>
          <w:rFonts w:ascii="Arial" w:hAnsi="Arial" w:cs="Arial"/>
          <w:sz w:val="20"/>
          <w:szCs w:val="20"/>
        </w:rPr>
        <w:t>but when she tried on</w:t>
      </w:r>
      <w:r w:rsidR="00C42CE7" w:rsidRPr="00496317">
        <w:rPr>
          <w:rFonts w:ascii="Arial" w:hAnsi="Arial" w:cs="Arial"/>
          <w:sz w:val="20"/>
          <w:szCs w:val="20"/>
        </w:rPr>
        <w:t xml:space="preserve"> </w:t>
      </w:r>
      <w:r w:rsidR="00875596" w:rsidRPr="00496317">
        <w:rPr>
          <w:rFonts w:ascii="Arial" w:hAnsi="Arial" w:cs="Arial"/>
          <w:sz w:val="20"/>
          <w:szCs w:val="20"/>
        </w:rPr>
        <w:t>those</w:t>
      </w:r>
      <w:r w:rsidR="00C42CE7" w:rsidRPr="00496317">
        <w:rPr>
          <w:rFonts w:ascii="Arial" w:hAnsi="Arial" w:cs="Arial"/>
          <w:sz w:val="20"/>
          <w:szCs w:val="20"/>
        </w:rPr>
        <w:t xml:space="preserve"> </w:t>
      </w:r>
      <w:r w:rsidR="001C7691">
        <w:rPr>
          <w:rFonts w:ascii="Arial" w:hAnsi="Arial" w:cs="Arial"/>
          <w:sz w:val="20"/>
          <w:szCs w:val="20"/>
        </w:rPr>
        <w:t xml:space="preserve">same </w:t>
      </w:r>
      <w:r w:rsidR="00C42CE7" w:rsidRPr="00496317">
        <w:rPr>
          <w:rFonts w:ascii="Arial" w:hAnsi="Arial" w:cs="Arial"/>
          <w:sz w:val="20"/>
          <w:szCs w:val="20"/>
        </w:rPr>
        <w:t xml:space="preserve">tops her mother poked her exposed stomach and </w:t>
      </w:r>
      <w:r w:rsidR="00875596" w:rsidRPr="00496317">
        <w:rPr>
          <w:rFonts w:ascii="Arial" w:hAnsi="Arial" w:cs="Arial"/>
          <w:sz w:val="20"/>
          <w:szCs w:val="20"/>
        </w:rPr>
        <w:t>stated</w:t>
      </w:r>
      <w:r w:rsidR="00C42CE7" w:rsidRPr="00496317">
        <w:rPr>
          <w:rFonts w:ascii="Arial" w:hAnsi="Arial" w:cs="Arial"/>
          <w:sz w:val="20"/>
          <w:szCs w:val="20"/>
        </w:rPr>
        <w:t xml:space="preserve"> that she was “pudgy</w:t>
      </w:r>
      <w:r w:rsidR="00875596" w:rsidRPr="00496317">
        <w:rPr>
          <w:rFonts w:ascii="Arial" w:hAnsi="Arial" w:cs="Arial"/>
          <w:sz w:val="20"/>
          <w:szCs w:val="20"/>
        </w:rPr>
        <w:t>.</w:t>
      </w:r>
      <w:r w:rsidR="00C42CE7" w:rsidRPr="00496317">
        <w:rPr>
          <w:rFonts w:ascii="Arial" w:hAnsi="Arial" w:cs="Arial"/>
          <w:sz w:val="20"/>
          <w:szCs w:val="20"/>
        </w:rPr>
        <w:t>”</w:t>
      </w:r>
      <w:r w:rsidR="00875596" w:rsidRPr="00496317">
        <w:rPr>
          <w:rFonts w:ascii="Arial" w:hAnsi="Arial" w:cs="Arial"/>
          <w:sz w:val="20"/>
          <w:szCs w:val="20"/>
        </w:rPr>
        <w:t xml:space="preserve"> Beyond comments from family, </w:t>
      </w:r>
      <w:r w:rsidR="00912820">
        <w:rPr>
          <w:rFonts w:ascii="Arial" w:hAnsi="Arial" w:cs="Arial"/>
          <w:sz w:val="20"/>
          <w:szCs w:val="20"/>
        </w:rPr>
        <w:t>Aimee</w:t>
      </w:r>
      <w:r w:rsidR="00875596" w:rsidRPr="00496317">
        <w:rPr>
          <w:rFonts w:ascii="Arial" w:hAnsi="Arial" w:cs="Arial"/>
          <w:sz w:val="20"/>
          <w:szCs w:val="20"/>
        </w:rPr>
        <w:t xml:space="preserve"> described no childhood eating concerns or bullying for her weight</w:t>
      </w:r>
      <w:r w:rsidR="00F9561D">
        <w:rPr>
          <w:rFonts w:ascii="Arial" w:hAnsi="Arial" w:cs="Arial"/>
          <w:sz w:val="20"/>
          <w:szCs w:val="20"/>
        </w:rPr>
        <w:t>.</w:t>
      </w:r>
    </w:p>
    <w:p w14:paraId="773C8975" w14:textId="77777777" w:rsidR="00DF1CC0" w:rsidRPr="00496317" w:rsidRDefault="00DF1CC0" w:rsidP="00142C0A">
      <w:pPr>
        <w:spacing w:after="0"/>
        <w:jc w:val="both"/>
        <w:rPr>
          <w:rFonts w:ascii="Arial" w:hAnsi="Arial" w:cs="Arial"/>
          <w:sz w:val="20"/>
          <w:szCs w:val="20"/>
        </w:rPr>
      </w:pPr>
    </w:p>
    <w:p w14:paraId="12583BC3" w14:textId="7D6AE771" w:rsidR="00875596" w:rsidRDefault="00F9561D" w:rsidP="00142C0A">
      <w:pPr>
        <w:spacing w:after="0"/>
        <w:jc w:val="both"/>
        <w:rPr>
          <w:rFonts w:ascii="Arial" w:hAnsi="Arial" w:cs="Arial"/>
          <w:sz w:val="20"/>
          <w:szCs w:val="20"/>
        </w:rPr>
      </w:pPr>
      <w:r>
        <w:rPr>
          <w:rFonts w:ascii="Arial" w:hAnsi="Arial" w:cs="Arial"/>
          <w:sz w:val="20"/>
          <w:szCs w:val="20"/>
        </w:rPr>
        <w:t xml:space="preserve">Starting </w:t>
      </w:r>
      <w:r w:rsidR="00912820">
        <w:rPr>
          <w:rFonts w:ascii="Arial" w:hAnsi="Arial" w:cs="Arial"/>
          <w:sz w:val="20"/>
          <w:szCs w:val="20"/>
        </w:rPr>
        <w:t>early in middle school and</w:t>
      </w:r>
      <w:r>
        <w:rPr>
          <w:rFonts w:ascii="Arial" w:hAnsi="Arial" w:cs="Arial"/>
          <w:sz w:val="20"/>
          <w:szCs w:val="20"/>
        </w:rPr>
        <w:t xml:space="preserve"> continuing into high school,</w:t>
      </w:r>
      <w:r w:rsidR="00875596" w:rsidRPr="00496317">
        <w:rPr>
          <w:rFonts w:ascii="Arial" w:hAnsi="Arial" w:cs="Arial"/>
          <w:sz w:val="20"/>
          <w:szCs w:val="20"/>
        </w:rPr>
        <w:t xml:space="preserve"> </w:t>
      </w:r>
      <w:r w:rsidR="00912820">
        <w:rPr>
          <w:rFonts w:ascii="Arial" w:hAnsi="Arial" w:cs="Arial"/>
          <w:sz w:val="20"/>
          <w:szCs w:val="20"/>
        </w:rPr>
        <w:t>Aimee</w:t>
      </w:r>
      <w:r w:rsidR="00875596" w:rsidRPr="00496317">
        <w:rPr>
          <w:rFonts w:ascii="Arial" w:hAnsi="Arial" w:cs="Arial"/>
          <w:sz w:val="20"/>
          <w:szCs w:val="20"/>
        </w:rPr>
        <w:t xml:space="preserve"> </w:t>
      </w:r>
      <w:r>
        <w:rPr>
          <w:rFonts w:ascii="Arial" w:hAnsi="Arial" w:cs="Arial"/>
          <w:sz w:val="20"/>
          <w:szCs w:val="20"/>
        </w:rPr>
        <w:t>started restricting through</w:t>
      </w:r>
      <w:r w:rsidR="00875596" w:rsidRPr="00496317">
        <w:rPr>
          <w:rFonts w:ascii="Arial" w:hAnsi="Arial" w:cs="Arial"/>
          <w:sz w:val="20"/>
          <w:szCs w:val="20"/>
        </w:rPr>
        <w:t xml:space="preserve"> a rotation of fad diets</w:t>
      </w:r>
      <w:r>
        <w:rPr>
          <w:rFonts w:ascii="Arial" w:hAnsi="Arial" w:cs="Arial"/>
          <w:sz w:val="20"/>
          <w:szCs w:val="20"/>
        </w:rPr>
        <w:t>,</w:t>
      </w:r>
      <w:r w:rsidR="00875596" w:rsidRPr="00496317">
        <w:rPr>
          <w:rFonts w:ascii="Arial" w:hAnsi="Arial" w:cs="Arial"/>
          <w:sz w:val="20"/>
          <w:szCs w:val="20"/>
        </w:rPr>
        <w:t xml:space="preserve"> </w:t>
      </w:r>
      <w:r w:rsidR="00DF1CC0" w:rsidRPr="00496317">
        <w:rPr>
          <w:rFonts w:ascii="Arial" w:hAnsi="Arial" w:cs="Arial"/>
          <w:sz w:val="20"/>
          <w:szCs w:val="20"/>
        </w:rPr>
        <w:t>including the keto diet</w:t>
      </w:r>
      <w:r>
        <w:rPr>
          <w:rFonts w:ascii="Arial" w:hAnsi="Arial" w:cs="Arial"/>
          <w:sz w:val="20"/>
          <w:szCs w:val="20"/>
        </w:rPr>
        <w:t xml:space="preserve"> and </w:t>
      </w:r>
      <w:r w:rsidR="00DF1CC0" w:rsidRPr="00496317">
        <w:rPr>
          <w:rFonts w:ascii="Arial" w:hAnsi="Arial" w:cs="Arial"/>
          <w:sz w:val="20"/>
          <w:szCs w:val="20"/>
        </w:rPr>
        <w:t>the “egg</w:t>
      </w:r>
      <w:r>
        <w:rPr>
          <w:rFonts w:ascii="Arial" w:hAnsi="Arial" w:cs="Arial"/>
          <w:sz w:val="20"/>
          <w:szCs w:val="20"/>
        </w:rPr>
        <w:t>”</w:t>
      </w:r>
      <w:r w:rsidR="00DF1CC0" w:rsidRPr="00496317">
        <w:rPr>
          <w:rFonts w:ascii="Arial" w:hAnsi="Arial" w:cs="Arial"/>
          <w:sz w:val="20"/>
          <w:szCs w:val="20"/>
        </w:rPr>
        <w:t xml:space="preserve"> </w:t>
      </w:r>
      <w:r>
        <w:rPr>
          <w:rFonts w:ascii="Arial" w:hAnsi="Arial" w:cs="Arial"/>
          <w:sz w:val="20"/>
          <w:szCs w:val="20"/>
        </w:rPr>
        <w:t xml:space="preserve">diet. </w:t>
      </w:r>
      <w:r w:rsidR="00E0091E">
        <w:rPr>
          <w:rFonts w:ascii="Arial" w:hAnsi="Arial" w:cs="Arial"/>
          <w:sz w:val="20"/>
          <w:szCs w:val="20"/>
        </w:rPr>
        <w:t>C</w:t>
      </w:r>
      <w:r w:rsidR="00DF1CC0" w:rsidRPr="00496317">
        <w:rPr>
          <w:rFonts w:ascii="Arial" w:hAnsi="Arial" w:cs="Arial"/>
          <w:sz w:val="20"/>
          <w:szCs w:val="20"/>
        </w:rPr>
        <w:t>oncerns about her body weight and shape persisted</w:t>
      </w:r>
      <w:r w:rsidR="00E0091E">
        <w:rPr>
          <w:rFonts w:ascii="Arial" w:hAnsi="Arial" w:cs="Arial"/>
          <w:sz w:val="20"/>
          <w:szCs w:val="20"/>
        </w:rPr>
        <w:t xml:space="preserve"> through 9</w:t>
      </w:r>
      <w:r w:rsidR="00E0091E" w:rsidRPr="00E0091E">
        <w:rPr>
          <w:rFonts w:ascii="Arial" w:hAnsi="Arial" w:cs="Arial"/>
          <w:sz w:val="20"/>
          <w:szCs w:val="20"/>
          <w:vertAlign w:val="superscript"/>
        </w:rPr>
        <w:t>th</w:t>
      </w:r>
      <w:r w:rsidR="00E0091E">
        <w:rPr>
          <w:rFonts w:ascii="Arial" w:hAnsi="Arial" w:cs="Arial"/>
          <w:sz w:val="20"/>
          <w:szCs w:val="20"/>
        </w:rPr>
        <w:t xml:space="preserve"> grade, wh</w:t>
      </w:r>
      <w:r w:rsidR="006D3C59">
        <w:rPr>
          <w:rFonts w:ascii="Arial" w:hAnsi="Arial" w:cs="Arial"/>
          <w:sz w:val="20"/>
          <w:szCs w:val="20"/>
        </w:rPr>
        <w:t>en</w:t>
      </w:r>
      <w:r w:rsidR="00E0091E">
        <w:rPr>
          <w:rFonts w:ascii="Arial" w:hAnsi="Arial" w:cs="Arial"/>
          <w:sz w:val="20"/>
          <w:szCs w:val="20"/>
        </w:rPr>
        <w:t xml:space="preserve"> she started experimenting with laxatives (e.g., “Chinese slim tea”). Also, </w:t>
      </w:r>
      <w:r w:rsidR="00912820">
        <w:rPr>
          <w:rFonts w:ascii="Arial" w:hAnsi="Arial" w:cs="Arial"/>
          <w:sz w:val="20"/>
          <w:szCs w:val="20"/>
        </w:rPr>
        <w:t>Aimee</w:t>
      </w:r>
      <w:r w:rsidR="00E0091E">
        <w:rPr>
          <w:rFonts w:ascii="Arial" w:hAnsi="Arial" w:cs="Arial"/>
          <w:sz w:val="20"/>
          <w:szCs w:val="20"/>
        </w:rPr>
        <w:t xml:space="preserve"> recalled deciding she was “too fat” to ever wear a bathing suit and her preexisting aversion to eating in front of other people intensified.</w:t>
      </w:r>
      <w:r w:rsidR="00DF1CC0" w:rsidRPr="00496317">
        <w:rPr>
          <w:rFonts w:ascii="Arial" w:hAnsi="Arial" w:cs="Arial"/>
          <w:sz w:val="20"/>
          <w:szCs w:val="20"/>
        </w:rPr>
        <w:t xml:space="preserve"> In </w:t>
      </w:r>
      <w:r w:rsidR="00912820">
        <w:rPr>
          <w:rFonts w:ascii="Arial" w:hAnsi="Arial" w:cs="Arial"/>
          <w:sz w:val="20"/>
          <w:szCs w:val="20"/>
        </w:rPr>
        <w:t>high school,</w:t>
      </w:r>
      <w:r w:rsidR="00DF1CC0" w:rsidRPr="00496317">
        <w:rPr>
          <w:rFonts w:ascii="Arial" w:hAnsi="Arial" w:cs="Arial"/>
          <w:sz w:val="20"/>
          <w:szCs w:val="20"/>
        </w:rPr>
        <w:t xml:space="preserve"> </w:t>
      </w:r>
      <w:r w:rsidR="00912820">
        <w:rPr>
          <w:rFonts w:ascii="Arial" w:hAnsi="Arial" w:cs="Arial"/>
          <w:sz w:val="20"/>
          <w:szCs w:val="20"/>
        </w:rPr>
        <w:t>Aimee</w:t>
      </w:r>
      <w:r w:rsidR="00DF1CC0" w:rsidRPr="00496317">
        <w:rPr>
          <w:rFonts w:ascii="Arial" w:hAnsi="Arial" w:cs="Arial"/>
          <w:sz w:val="20"/>
          <w:szCs w:val="20"/>
        </w:rPr>
        <w:t xml:space="preserve"> reported gaining weig</w:t>
      </w:r>
      <w:r w:rsidR="00912820">
        <w:rPr>
          <w:rFonts w:ascii="Arial" w:hAnsi="Arial" w:cs="Arial"/>
          <w:sz w:val="20"/>
          <w:szCs w:val="20"/>
        </w:rPr>
        <w:t>ht during the COVID-19 lockdown because</w:t>
      </w:r>
      <w:r w:rsidR="00DF1CC0" w:rsidRPr="00496317">
        <w:rPr>
          <w:rFonts w:ascii="Arial" w:hAnsi="Arial" w:cs="Arial"/>
          <w:sz w:val="20"/>
          <w:szCs w:val="20"/>
        </w:rPr>
        <w:t xml:space="preserve"> </w:t>
      </w:r>
      <w:r w:rsidR="0003089B">
        <w:rPr>
          <w:rFonts w:ascii="Arial" w:hAnsi="Arial" w:cs="Arial"/>
          <w:sz w:val="20"/>
          <w:szCs w:val="20"/>
        </w:rPr>
        <w:t>her competitive cheer</w:t>
      </w:r>
      <w:r w:rsidR="00912820">
        <w:rPr>
          <w:rFonts w:ascii="Arial" w:hAnsi="Arial" w:cs="Arial"/>
          <w:sz w:val="20"/>
          <w:szCs w:val="20"/>
        </w:rPr>
        <w:t>leading</w:t>
      </w:r>
      <w:r w:rsidR="0003089B">
        <w:rPr>
          <w:rFonts w:ascii="Arial" w:hAnsi="Arial" w:cs="Arial"/>
          <w:sz w:val="20"/>
          <w:szCs w:val="20"/>
        </w:rPr>
        <w:t xml:space="preserve"> squad was shut down and </w:t>
      </w:r>
      <w:r w:rsidR="00DF1CC0" w:rsidRPr="00496317">
        <w:rPr>
          <w:rFonts w:ascii="Arial" w:hAnsi="Arial" w:cs="Arial"/>
          <w:sz w:val="20"/>
          <w:szCs w:val="20"/>
        </w:rPr>
        <w:t>she was</w:t>
      </w:r>
      <w:r w:rsidR="0003089B">
        <w:rPr>
          <w:rFonts w:ascii="Arial" w:hAnsi="Arial" w:cs="Arial"/>
          <w:sz w:val="20"/>
          <w:szCs w:val="20"/>
        </w:rPr>
        <w:t xml:space="preserve"> stuck</w:t>
      </w:r>
      <w:r w:rsidR="00DF1CC0" w:rsidRPr="00496317">
        <w:rPr>
          <w:rFonts w:ascii="Arial" w:hAnsi="Arial" w:cs="Arial"/>
          <w:sz w:val="20"/>
          <w:szCs w:val="20"/>
        </w:rPr>
        <w:t xml:space="preserve"> in the house</w:t>
      </w:r>
      <w:r w:rsidR="0003089B">
        <w:rPr>
          <w:rFonts w:ascii="Arial" w:hAnsi="Arial" w:cs="Arial"/>
          <w:sz w:val="20"/>
          <w:szCs w:val="20"/>
        </w:rPr>
        <w:t xml:space="preserve"> surrounded by </w:t>
      </w:r>
      <w:r w:rsidR="00046F11">
        <w:rPr>
          <w:rFonts w:ascii="Arial" w:hAnsi="Arial" w:cs="Arial"/>
          <w:sz w:val="20"/>
          <w:szCs w:val="20"/>
        </w:rPr>
        <w:t>food</w:t>
      </w:r>
      <w:r w:rsidR="0003089B">
        <w:rPr>
          <w:rFonts w:ascii="Arial" w:hAnsi="Arial" w:cs="Arial"/>
          <w:sz w:val="20"/>
          <w:szCs w:val="20"/>
        </w:rPr>
        <w:t xml:space="preserve"> with little</w:t>
      </w:r>
      <w:r w:rsidR="00046F11">
        <w:rPr>
          <w:rFonts w:ascii="Arial" w:hAnsi="Arial" w:cs="Arial"/>
          <w:sz w:val="20"/>
          <w:szCs w:val="20"/>
        </w:rPr>
        <w:t xml:space="preserve"> else</w:t>
      </w:r>
      <w:r w:rsidR="0003089B">
        <w:rPr>
          <w:rFonts w:ascii="Arial" w:hAnsi="Arial" w:cs="Arial"/>
          <w:sz w:val="20"/>
          <w:szCs w:val="20"/>
        </w:rPr>
        <w:t xml:space="preserve"> to do</w:t>
      </w:r>
      <w:r w:rsidR="00046F11">
        <w:rPr>
          <w:rFonts w:ascii="Arial" w:hAnsi="Arial" w:cs="Arial"/>
          <w:sz w:val="20"/>
          <w:szCs w:val="20"/>
        </w:rPr>
        <w:t xml:space="preserve"> besides snack</w:t>
      </w:r>
      <w:r w:rsidR="00DF1CC0" w:rsidRPr="00496317">
        <w:rPr>
          <w:rFonts w:ascii="Arial" w:hAnsi="Arial" w:cs="Arial"/>
          <w:sz w:val="20"/>
          <w:szCs w:val="20"/>
        </w:rPr>
        <w:t xml:space="preserve">. To address this weight gain, </w:t>
      </w:r>
      <w:r w:rsidR="00912820">
        <w:rPr>
          <w:rFonts w:ascii="Arial" w:hAnsi="Arial" w:cs="Arial"/>
          <w:sz w:val="20"/>
          <w:szCs w:val="20"/>
        </w:rPr>
        <w:t>Aimee</w:t>
      </w:r>
      <w:r w:rsidR="00DF1CC0" w:rsidRPr="00496317">
        <w:rPr>
          <w:rFonts w:ascii="Arial" w:hAnsi="Arial" w:cs="Arial"/>
          <w:sz w:val="20"/>
          <w:szCs w:val="20"/>
        </w:rPr>
        <w:t xml:space="preserve"> </w:t>
      </w:r>
      <w:r w:rsidR="00046F11">
        <w:rPr>
          <w:rFonts w:ascii="Arial" w:hAnsi="Arial" w:cs="Arial"/>
          <w:sz w:val="20"/>
          <w:szCs w:val="20"/>
        </w:rPr>
        <w:t xml:space="preserve">spent </w:t>
      </w:r>
      <w:r w:rsidR="00912820">
        <w:rPr>
          <w:rFonts w:ascii="Arial" w:hAnsi="Arial" w:cs="Arial"/>
          <w:sz w:val="20"/>
          <w:szCs w:val="20"/>
        </w:rPr>
        <w:t>several</w:t>
      </w:r>
      <w:r w:rsidR="00046F11">
        <w:rPr>
          <w:rFonts w:ascii="Arial" w:hAnsi="Arial" w:cs="Arial"/>
          <w:sz w:val="20"/>
          <w:szCs w:val="20"/>
        </w:rPr>
        <w:t xml:space="preserve"> months</w:t>
      </w:r>
      <w:r w:rsidR="00DF1CC0" w:rsidRPr="00496317">
        <w:rPr>
          <w:rFonts w:ascii="Arial" w:hAnsi="Arial" w:cs="Arial"/>
          <w:sz w:val="20"/>
          <w:szCs w:val="20"/>
        </w:rPr>
        <w:t xml:space="preserve"> working </w:t>
      </w:r>
      <w:r w:rsidR="0003089B">
        <w:rPr>
          <w:rFonts w:ascii="Arial" w:hAnsi="Arial" w:cs="Arial"/>
          <w:sz w:val="20"/>
          <w:szCs w:val="20"/>
        </w:rPr>
        <w:t xml:space="preserve">out </w:t>
      </w:r>
      <w:r w:rsidR="00DF1CC0" w:rsidRPr="00496317">
        <w:rPr>
          <w:rFonts w:ascii="Arial" w:hAnsi="Arial" w:cs="Arial"/>
          <w:sz w:val="20"/>
          <w:szCs w:val="20"/>
        </w:rPr>
        <w:t xml:space="preserve">with a personal trainer </w:t>
      </w:r>
      <w:r w:rsidR="0003089B">
        <w:rPr>
          <w:rFonts w:ascii="Arial" w:hAnsi="Arial" w:cs="Arial"/>
          <w:sz w:val="20"/>
          <w:szCs w:val="20"/>
        </w:rPr>
        <w:t>in addition to practicing with her high-school cheer</w:t>
      </w:r>
      <w:r w:rsidR="00912820">
        <w:rPr>
          <w:rFonts w:ascii="Arial" w:hAnsi="Arial" w:cs="Arial"/>
          <w:sz w:val="20"/>
          <w:szCs w:val="20"/>
        </w:rPr>
        <w:t>leading</w:t>
      </w:r>
      <w:r w:rsidR="0003089B">
        <w:rPr>
          <w:rFonts w:ascii="Arial" w:hAnsi="Arial" w:cs="Arial"/>
          <w:sz w:val="20"/>
          <w:szCs w:val="20"/>
        </w:rPr>
        <w:t xml:space="preserve"> squad. Said trainer limited her</w:t>
      </w:r>
      <w:r w:rsidR="00912820">
        <w:rPr>
          <w:rFonts w:ascii="Arial" w:hAnsi="Arial" w:cs="Arial"/>
          <w:sz w:val="20"/>
          <w:szCs w:val="20"/>
        </w:rPr>
        <w:t xml:space="preserve"> energy intake to 1200 calories per </w:t>
      </w:r>
      <w:r w:rsidR="0003089B">
        <w:rPr>
          <w:rFonts w:ascii="Arial" w:hAnsi="Arial" w:cs="Arial"/>
          <w:sz w:val="20"/>
          <w:szCs w:val="20"/>
        </w:rPr>
        <w:t xml:space="preserve">day and tracked her </w:t>
      </w:r>
      <w:r w:rsidR="00DF1CC0" w:rsidRPr="00496317">
        <w:rPr>
          <w:rFonts w:ascii="Arial" w:hAnsi="Arial" w:cs="Arial"/>
          <w:sz w:val="20"/>
          <w:szCs w:val="20"/>
        </w:rPr>
        <w:t>calorie</w:t>
      </w:r>
      <w:r w:rsidR="0003089B">
        <w:rPr>
          <w:rFonts w:ascii="Arial" w:hAnsi="Arial" w:cs="Arial"/>
          <w:sz w:val="20"/>
          <w:szCs w:val="20"/>
        </w:rPr>
        <w:t xml:space="preserve">s </w:t>
      </w:r>
      <w:r w:rsidR="00912820">
        <w:rPr>
          <w:rFonts w:ascii="Arial" w:hAnsi="Arial" w:cs="Arial"/>
          <w:sz w:val="20"/>
          <w:szCs w:val="20"/>
        </w:rPr>
        <w:t>using a smartphone application</w:t>
      </w:r>
      <w:r w:rsidR="00046F11">
        <w:rPr>
          <w:rFonts w:ascii="Arial" w:hAnsi="Arial" w:cs="Arial"/>
          <w:sz w:val="20"/>
          <w:szCs w:val="20"/>
        </w:rPr>
        <w:t>, which</w:t>
      </w:r>
      <w:r w:rsidR="00DF1CC0" w:rsidRPr="00496317">
        <w:rPr>
          <w:rFonts w:ascii="Arial" w:hAnsi="Arial" w:cs="Arial"/>
          <w:sz w:val="20"/>
          <w:szCs w:val="20"/>
        </w:rPr>
        <w:t xml:space="preserve"> ultimately led to what </w:t>
      </w:r>
      <w:r w:rsidR="00912820">
        <w:rPr>
          <w:rFonts w:ascii="Arial" w:hAnsi="Arial" w:cs="Arial"/>
          <w:sz w:val="20"/>
          <w:szCs w:val="20"/>
        </w:rPr>
        <w:t>Aimee</w:t>
      </w:r>
      <w:r w:rsidR="00DF1CC0" w:rsidRPr="00496317">
        <w:rPr>
          <w:rFonts w:ascii="Arial" w:hAnsi="Arial" w:cs="Arial"/>
          <w:sz w:val="20"/>
          <w:szCs w:val="20"/>
        </w:rPr>
        <w:t xml:space="preserve"> considers her earliest binges, as she would eat at night when her eating habits were</w:t>
      </w:r>
      <w:r w:rsidR="001C7691">
        <w:rPr>
          <w:rFonts w:ascii="Arial" w:hAnsi="Arial" w:cs="Arial"/>
          <w:sz w:val="20"/>
          <w:szCs w:val="20"/>
        </w:rPr>
        <w:t xml:space="preserve"> no</w:t>
      </w:r>
      <w:r w:rsidR="00DF1CC0" w:rsidRPr="00496317">
        <w:rPr>
          <w:rFonts w:ascii="Arial" w:hAnsi="Arial" w:cs="Arial"/>
          <w:sz w:val="20"/>
          <w:szCs w:val="20"/>
        </w:rPr>
        <w:t xml:space="preserve">t being monitored. </w:t>
      </w:r>
    </w:p>
    <w:p w14:paraId="79B03661" w14:textId="77777777" w:rsidR="00912820" w:rsidRPr="00496317" w:rsidRDefault="00912820" w:rsidP="00142C0A">
      <w:pPr>
        <w:spacing w:after="0"/>
        <w:jc w:val="both"/>
        <w:rPr>
          <w:rFonts w:ascii="Arial" w:hAnsi="Arial" w:cs="Arial"/>
          <w:sz w:val="20"/>
          <w:szCs w:val="20"/>
        </w:rPr>
      </w:pPr>
    </w:p>
    <w:p w14:paraId="0F99939B" w14:textId="6FA7CDBC" w:rsidR="0005567C" w:rsidRDefault="00912820" w:rsidP="00142C0A">
      <w:pPr>
        <w:spacing w:after="0"/>
        <w:jc w:val="both"/>
        <w:rPr>
          <w:rFonts w:ascii="Arial" w:hAnsi="Arial" w:cs="Arial"/>
          <w:sz w:val="20"/>
          <w:szCs w:val="20"/>
        </w:rPr>
      </w:pPr>
      <w:r>
        <w:rPr>
          <w:rFonts w:ascii="Arial" w:hAnsi="Arial" w:cs="Arial"/>
          <w:bCs/>
          <w:sz w:val="20"/>
          <w:szCs w:val="20"/>
        </w:rPr>
        <w:t>Later in high school</w:t>
      </w:r>
      <w:r w:rsidR="001C7691">
        <w:rPr>
          <w:rFonts w:ascii="Arial" w:hAnsi="Arial" w:cs="Arial"/>
          <w:bCs/>
          <w:sz w:val="20"/>
          <w:szCs w:val="20"/>
        </w:rPr>
        <w:t xml:space="preserve">, </w:t>
      </w:r>
      <w:r>
        <w:rPr>
          <w:rFonts w:ascii="Arial" w:hAnsi="Arial" w:cs="Arial"/>
          <w:bCs/>
          <w:sz w:val="20"/>
          <w:szCs w:val="20"/>
        </w:rPr>
        <w:t>Aimee</w:t>
      </w:r>
      <w:r w:rsidR="001C7691">
        <w:rPr>
          <w:rFonts w:ascii="Arial" w:hAnsi="Arial" w:cs="Arial"/>
          <w:bCs/>
          <w:sz w:val="20"/>
          <w:szCs w:val="20"/>
        </w:rPr>
        <w:t xml:space="preserve"> recalled </w:t>
      </w:r>
      <w:r w:rsidR="00E0091E">
        <w:rPr>
          <w:rFonts w:ascii="Arial" w:hAnsi="Arial" w:cs="Arial"/>
          <w:bCs/>
          <w:sz w:val="20"/>
          <w:szCs w:val="20"/>
        </w:rPr>
        <w:t xml:space="preserve">primarily </w:t>
      </w:r>
      <w:r w:rsidR="00D5531B">
        <w:rPr>
          <w:rFonts w:ascii="Arial" w:hAnsi="Arial" w:cs="Arial"/>
          <w:bCs/>
          <w:sz w:val="20"/>
          <w:szCs w:val="20"/>
        </w:rPr>
        <w:t>mis</w:t>
      </w:r>
      <w:r w:rsidR="001C7691">
        <w:rPr>
          <w:rFonts w:ascii="Arial" w:hAnsi="Arial" w:cs="Arial"/>
          <w:bCs/>
          <w:sz w:val="20"/>
          <w:szCs w:val="20"/>
        </w:rPr>
        <w:t>using laxatives as a compensatory measure</w:t>
      </w:r>
      <w:r w:rsidR="00D5531B">
        <w:rPr>
          <w:rFonts w:ascii="Arial" w:hAnsi="Arial" w:cs="Arial"/>
          <w:bCs/>
          <w:sz w:val="20"/>
          <w:szCs w:val="20"/>
        </w:rPr>
        <w:t xml:space="preserve"> in order to facilitate weight loss. </w:t>
      </w:r>
      <w:r w:rsidR="00720202">
        <w:rPr>
          <w:rFonts w:ascii="Arial" w:hAnsi="Arial" w:cs="Arial"/>
          <w:bCs/>
          <w:sz w:val="20"/>
          <w:szCs w:val="20"/>
        </w:rPr>
        <w:t>Patient</w:t>
      </w:r>
      <w:r w:rsidR="00D5531B">
        <w:rPr>
          <w:rFonts w:ascii="Arial" w:hAnsi="Arial" w:cs="Arial"/>
          <w:bCs/>
          <w:sz w:val="20"/>
          <w:szCs w:val="20"/>
        </w:rPr>
        <w:t xml:space="preserve"> noted that she </w:t>
      </w:r>
      <w:r w:rsidR="00A7507B">
        <w:rPr>
          <w:rFonts w:ascii="Arial" w:hAnsi="Arial" w:cs="Arial"/>
          <w:bCs/>
          <w:sz w:val="20"/>
          <w:szCs w:val="20"/>
        </w:rPr>
        <w:t xml:space="preserve">gradually </w:t>
      </w:r>
      <w:r w:rsidR="00D5531B">
        <w:rPr>
          <w:rFonts w:ascii="Arial" w:hAnsi="Arial" w:cs="Arial"/>
          <w:bCs/>
          <w:sz w:val="20"/>
          <w:szCs w:val="20"/>
        </w:rPr>
        <w:t xml:space="preserve">increased the number of laxatives as her tolerance to their effects </w:t>
      </w:r>
      <w:r w:rsidR="00D5531B">
        <w:rPr>
          <w:rFonts w:ascii="Arial" w:hAnsi="Arial" w:cs="Arial"/>
          <w:bCs/>
          <w:sz w:val="20"/>
          <w:szCs w:val="20"/>
        </w:rPr>
        <w:lastRenderedPageBreak/>
        <w:t xml:space="preserve">increased, until she was using 20 laxatives per day but no longer losing weight. </w:t>
      </w:r>
      <w:r>
        <w:rPr>
          <w:rFonts w:ascii="Arial" w:hAnsi="Arial" w:cs="Arial"/>
          <w:bCs/>
          <w:sz w:val="20"/>
          <w:szCs w:val="20"/>
        </w:rPr>
        <w:t>Aimee</w:t>
      </w:r>
      <w:r w:rsidR="00A7507B">
        <w:rPr>
          <w:rFonts w:ascii="Arial" w:hAnsi="Arial" w:cs="Arial"/>
          <w:bCs/>
          <w:sz w:val="20"/>
          <w:szCs w:val="20"/>
        </w:rPr>
        <w:t xml:space="preserve"> stated it was around th</w:t>
      </w:r>
      <w:r w:rsidR="0005567C">
        <w:rPr>
          <w:rFonts w:ascii="Arial" w:hAnsi="Arial" w:cs="Arial"/>
          <w:bCs/>
          <w:sz w:val="20"/>
          <w:szCs w:val="20"/>
        </w:rPr>
        <w:t>is</w:t>
      </w:r>
      <w:r w:rsidR="00A7507B">
        <w:rPr>
          <w:rFonts w:ascii="Arial" w:hAnsi="Arial" w:cs="Arial"/>
          <w:bCs/>
          <w:sz w:val="20"/>
          <w:szCs w:val="20"/>
        </w:rPr>
        <w:t xml:space="preserve"> time (at approximately age 15) when she first engaged in </w:t>
      </w:r>
      <w:r w:rsidR="00A7507B">
        <w:rPr>
          <w:rFonts w:ascii="Arial" w:hAnsi="Arial" w:cs="Arial"/>
          <w:sz w:val="20"/>
          <w:szCs w:val="20"/>
        </w:rPr>
        <w:t xml:space="preserve">self-induced vomiting, a different type of </w:t>
      </w:r>
      <w:r w:rsidR="00A7507B" w:rsidRPr="00A7507B">
        <w:rPr>
          <w:rFonts w:ascii="Arial" w:hAnsi="Arial" w:cs="Arial"/>
          <w:sz w:val="20"/>
          <w:szCs w:val="20"/>
        </w:rPr>
        <w:t xml:space="preserve">compensatory </w:t>
      </w:r>
      <w:r w:rsidR="00A7507B">
        <w:rPr>
          <w:rFonts w:ascii="Arial" w:hAnsi="Arial" w:cs="Arial"/>
          <w:sz w:val="20"/>
          <w:szCs w:val="20"/>
        </w:rPr>
        <w:t>behavior</w:t>
      </w:r>
      <w:r w:rsidR="0005567C">
        <w:rPr>
          <w:rFonts w:ascii="Arial" w:hAnsi="Arial" w:cs="Arial"/>
          <w:sz w:val="20"/>
          <w:szCs w:val="20"/>
        </w:rPr>
        <w:t xml:space="preserve"> and generally the only behavior her purge episodes consisted of from that point forward.</w:t>
      </w:r>
      <w:r w:rsidR="00A7507B">
        <w:rPr>
          <w:rFonts w:ascii="Arial" w:hAnsi="Arial" w:cs="Arial"/>
          <w:sz w:val="20"/>
          <w:szCs w:val="20"/>
        </w:rPr>
        <w:t xml:space="preserve"> </w:t>
      </w:r>
    </w:p>
    <w:p w14:paraId="1BC65D15" w14:textId="77777777" w:rsidR="0005567C" w:rsidRDefault="0005567C" w:rsidP="00142C0A">
      <w:pPr>
        <w:spacing w:after="0"/>
        <w:jc w:val="both"/>
        <w:rPr>
          <w:rFonts w:ascii="Arial" w:hAnsi="Arial" w:cs="Arial"/>
          <w:sz w:val="20"/>
          <w:szCs w:val="20"/>
        </w:rPr>
      </w:pPr>
    </w:p>
    <w:p w14:paraId="41312F9C" w14:textId="2C17E7ED" w:rsidR="00875596" w:rsidRPr="00496317" w:rsidRDefault="005B7359" w:rsidP="00142C0A">
      <w:pPr>
        <w:spacing w:after="0"/>
        <w:jc w:val="both"/>
        <w:rPr>
          <w:rFonts w:ascii="Arial" w:hAnsi="Arial" w:cs="Arial"/>
          <w:bCs/>
          <w:sz w:val="20"/>
          <w:szCs w:val="20"/>
        </w:rPr>
      </w:pPr>
      <w:r>
        <w:rPr>
          <w:rFonts w:ascii="Arial" w:hAnsi="Arial" w:cs="Arial"/>
          <w:bCs/>
          <w:sz w:val="20"/>
          <w:szCs w:val="20"/>
        </w:rPr>
        <w:t>In her junior year of high school</w:t>
      </w:r>
      <w:r w:rsidR="002D3025" w:rsidRPr="00496317">
        <w:rPr>
          <w:rFonts w:ascii="Arial" w:hAnsi="Arial" w:cs="Arial"/>
          <w:bCs/>
          <w:sz w:val="20"/>
          <w:szCs w:val="20"/>
        </w:rPr>
        <w:t xml:space="preserve">, </w:t>
      </w:r>
      <w:r w:rsidR="00912820">
        <w:rPr>
          <w:rFonts w:ascii="Arial" w:hAnsi="Arial" w:cs="Arial"/>
          <w:bCs/>
          <w:sz w:val="20"/>
          <w:szCs w:val="20"/>
        </w:rPr>
        <w:t>Aimee</w:t>
      </w:r>
      <w:r w:rsidR="002D3025" w:rsidRPr="00496317">
        <w:rPr>
          <w:rFonts w:ascii="Arial" w:hAnsi="Arial" w:cs="Arial"/>
          <w:bCs/>
          <w:sz w:val="20"/>
          <w:szCs w:val="20"/>
        </w:rPr>
        <w:t xml:space="preserve"> reported engaging in 1 binge and 1 purge </w:t>
      </w:r>
      <w:r w:rsidR="002656B5">
        <w:rPr>
          <w:rFonts w:ascii="Arial" w:hAnsi="Arial" w:cs="Arial"/>
          <w:bCs/>
          <w:sz w:val="20"/>
          <w:szCs w:val="20"/>
        </w:rPr>
        <w:t xml:space="preserve">episode </w:t>
      </w:r>
      <w:r w:rsidR="002D3025" w:rsidRPr="00496317">
        <w:rPr>
          <w:rFonts w:ascii="Arial" w:hAnsi="Arial" w:cs="Arial"/>
          <w:bCs/>
          <w:sz w:val="20"/>
          <w:szCs w:val="20"/>
        </w:rPr>
        <w:t xml:space="preserve">per </w:t>
      </w:r>
      <w:r>
        <w:rPr>
          <w:rFonts w:ascii="Arial" w:hAnsi="Arial" w:cs="Arial"/>
          <w:bCs/>
          <w:sz w:val="20"/>
          <w:szCs w:val="20"/>
        </w:rPr>
        <w:t>evening</w:t>
      </w:r>
      <w:r w:rsidR="002D3025" w:rsidRPr="00496317">
        <w:rPr>
          <w:rFonts w:ascii="Arial" w:hAnsi="Arial" w:cs="Arial"/>
          <w:bCs/>
          <w:sz w:val="20"/>
          <w:szCs w:val="20"/>
        </w:rPr>
        <w:t xml:space="preserve">. She then described the frequency of her binging and purging escalating, </w:t>
      </w:r>
      <w:r>
        <w:rPr>
          <w:rFonts w:ascii="Arial" w:hAnsi="Arial" w:cs="Arial"/>
          <w:bCs/>
          <w:sz w:val="20"/>
          <w:szCs w:val="20"/>
        </w:rPr>
        <w:t>such that she was binging and purging twice each night, but</w:t>
      </w:r>
      <w:r w:rsidR="002D3025" w:rsidRPr="00496317">
        <w:rPr>
          <w:rFonts w:ascii="Arial" w:hAnsi="Arial" w:cs="Arial"/>
          <w:bCs/>
          <w:sz w:val="20"/>
          <w:szCs w:val="20"/>
        </w:rPr>
        <w:t xml:space="preserve"> only at night. </w:t>
      </w:r>
      <w:r>
        <w:rPr>
          <w:rFonts w:ascii="Arial" w:hAnsi="Arial" w:cs="Arial"/>
          <w:bCs/>
          <w:sz w:val="20"/>
          <w:szCs w:val="20"/>
        </w:rPr>
        <w:t>During her senior year,</w:t>
      </w:r>
      <w:r w:rsidR="002D3025" w:rsidRPr="00496317">
        <w:rPr>
          <w:rFonts w:ascii="Arial" w:hAnsi="Arial" w:cs="Arial"/>
          <w:bCs/>
          <w:sz w:val="20"/>
          <w:szCs w:val="20"/>
        </w:rPr>
        <w:t xml:space="preserve"> </w:t>
      </w:r>
      <w:r w:rsidR="00912820">
        <w:rPr>
          <w:rFonts w:ascii="Arial" w:hAnsi="Arial" w:cs="Arial"/>
          <w:bCs/>
          <w:sz w:val="20"/>
          <w:szCs w:val="20"/>
        </w:rPr>
        <w:t>Aimee</w:t>
      </w:r>
      <w:r w:rsidR="002D3025" w:rsidRPr="00496317">
        <w:rPr>
          <w:rFonts w:ascii="Arial" w:hAnsi="Arial" w:cs="Arial"/>
          <w:bCs/>
          <w:sz w:val="20"/>
          <w:szCs w:val="20"/>
        </w:rPr>
        <w:t xml:space="preserve"> recalled “pushing school aside” </w:t>
      </w:r>
      <w:r>
        <w:rPr>
          <w:rFonts w:ascii="Arial" w:hAnsi="Arial" w:cs="Arial"/>
          <w:bCs/>
          <w:sz w:val="20"/>
          <w:szCs w:val="20"/>
        </w:rPr>
        <w:t>as</w:t>
      </w:r>
      <w:r w:rsidR="002D3025" w:rsidRPr="00496317">
        <w:rPr>
          <w:rFonts w:ascii="Arial" w:hAnsi="Arial" w:cs="Arial"/>
          <w:bCs/>
          <w:sz w:val="20"/>
          <w:szCs w:val="20"/>
        </w:rPr>
        <w:t xml:space="preserve"> the bing</w:t>
      </w:r>
      <w:r w:rsidR="0005567C">
        <w:rPr>
          <w:rFonts w:ascii="Arial" w:hAnsi="Arial" w:cs="Arial"/>
          <w:bCs/>
          <w:sz w:val="20"/>
          <w:szCs w:val="20"/>
        </w:rPr>
        <w:t xml:space="preserve">e-purge episodes </w:t>
      </w:r>
      <w:r w:rsidR="002D3025" w:rsidRPr="00496317">
        <w:rPr>
          <w:rFonts w:ascii="Arial" w:hAnsi="Arial" w:cs="Arial"/>
          <w:bCs/>
          <w:sz w:val="20"/>
          <w:szCs w:val="20"/>
        </w:rPr>
        <w:t xml:space="preserve">crept into the daytime. </w:t>
      </w:r>
      <w:r w:rsidR="002656B5">
        <w:rPr>
          <w:rFonts w:ascii="Arial" w:hAnsi="Arial" w:cs="Arial"/>
          <w:bCs/>
          <w:sz w:val="20"/>
          <w:szCs w:val="20"/>
        </w:rPr>
        <w:t>When she could not purge at school, Aimee</w:t>
      </w:r>
      <w:r w:rsidR="002D3025" w:rsidRPr="00496317">
        <w:rPr>
          <w:rFonts w:ascii="Arial" w:hAnsi="Arial" w:cs="Arial"/>
          <w:bCs/>
          <w:sz w:val="20"/>
          <w:szCs w:val="20"/>
        </w:rPr>
        <w:t xml:space="preserve"> stated </w:t>
      </w:r>
      <w:r w:rsidR="002656B5">
        <w:rPr>
          <w:rFonts w:ascii="Arial" w:hAnsi="Arial" w:cs="Arial"/>
          <w:bCs/>
          <w:sz w:val="20"/>
          <w:szCs w:val="20"/>
        </w:rPr>
        <w:t xml:space="preserve">that </w:t>
      </w:r>
      <w:r w:rsidR="00DA6337" w:rsidRPr="00496317">
        <w:rPr>
          <w:rFonts w:ascii="Arial" w:hAnsi="Arial" w:cs="Arial"/>
          <w:bCs/>
          <w:sz w:val="20"/>
          <w:szCs w:val="20"/>
        </w:rPr>
        <w:t xml:space="preserve">a typical day </w:t>
      </w:r>
      <w:r w:rsidR="002656B5">
        <w:rPr>
          <w:rFonts w:ascii="Arial" w:hAnsi="Arial" w:cs="Arial"/>
          <w:bCs/>
          <w:sz w:val="20"/>
          <w:szCs w:val="20"/>
        </w:rPr>
        <w:t xml:space="preserve">would </w:t>
      </w:r>
      <w:r w:rsidR="00DA6337" w:rsidRPr="00496317">
        <w:rPr>
          <w:rFonts w:ascii="Arial" w:hAnsi="Arial" w:cs="Arial"/>
          <w:bCs/>
          <w:sz w:val="20"/>
          <w:szCs w:val="20"/>
        </w:rPr>
        <w:t>involve</w:t>
      </w:r>
      <w:r w:rsidR="002D3025" w:rsidRPr="00496317">
        <w:rPr>
          <w:rFonts w:ascii="Arial" w:hAnsi="Arial" w:cs="Arial"/>
          <w:bCs/>
          <w:sz w:val="20"/>
          <w:szCs w:val="20"/>
        </w:rPr>
        <w:t xml:space="preserve"> </w:t>
      </w:r>
      <w:r w:rsidR="002656B5">
        <w:rPr>
          <w:rFonts w:ascii="Arial" w:hAnsi="Arial" w:cs="Arial"/>
          <w:bCs/>
          <w:sz w:val="20"/>
          <w:szCs w:val="20"/>
        </w:rPr>
        <w:t xml:space="preserve">her </w:t>
      </w:r>
      <w:r>
        <w:rPr>
          <w:rFonts w:ascii="Arial" w:hAnsi="Arial" w:cs="Arial"/>
          <w:bCs/>
          <w:sz w:val="20"/>
          <w:szCs w:val="20"/>
        </w:rPr>
        <w:t xml:space="preserve">eating </w:t>
      </w:r>
      <w:r w:rsidR="002D3025" w:rsidRPr="00496317">
        <w:rPr>
          <w:rFonts w:ascii="Arial" w:hAnsi="Arial" w:cs="Arial"/>
          <w:bCs/>
          <w:sz w:val="20"/>
          <w:szCs w:val="20"/>
        </w:rPr>
        <w:t xml:space="preserve">granola for lunch, </w:t>
      </w:r>
      <w:r w:rsidR="002656B5">
        <w:rPr>
          <w:rFonts w:ascii="Arial" w:hAnsi="Arial" w:cs="Arial"/>
          <w:bCs/>
          <w:sz w:val="20"/>
          <w:szCs w:val="20"/>
        </w:rPr>
        <w:t xml:space="preserve">leading her </w:t>
      </w:r>
      <w:r w:rsidR="00DA6337" w:rsidRPr="00496317">
        <w:rPr>
          <w:rFonts w:ascii="Arial" w:hAnsi="Arial" w:cs="Arial"/>
          <w:bCs/>
          <w:sz w:val="20"/>
          <w:szCs w:val="20"/>
        </w:rPr>
        <w:t>high school cheer</w:t>
      </w:r>
      <w:r w:rsidR="002656B5">
        <w:rPr>
          <w:rFonts w:ascii="Arial" w:hAnsi="Arial" w:cs="Arial"/>
          <w:bCs/>
          <w:sz w:val="20"/>
          <w:szCs w:val="20"/>
        </w:rPr>
        <w:t>leading team through workouts after</w:t>
      </w:r>
      <w:r w:rsidR="00DA6337" w:rsidRPr="00496317">
        <w:rPr>
          <w:rFonts w:ascii="Arial" w:hAnsi="Arial" w:cs="Arial"/>
          <w:bCs/>
          <w:sz w:val="20"/>
          <w:szCs w:val="20"/>
        </w:rPr>
        <w:t xml:space="preserve"> school, </w:t>
      </w:r>
      <w:r>
        <w:rPr>
          <w:rFonts w:ascii="Arial" w:hAnsi="Arial" w:cs="Arial"/>
          <w:bCs/>
          <w:sz w:val="20"/>
          <w:szCs w:val="20"/>
        </w:rPr>
        <w:t xml:space="preserve">eating </w:t>
      </w:r>
      <w:r w:rsidR="00DA6337" w:rsidRPr="00496317">
        <w:rPr>
          <w:rFonts w:ascii="Arial" w:hAnsi="Arial" w:cs="Arial"/>
          <w:bCs/>
          <w:sz w:val="20"/>
          <w:szCs w:val="20"/>
        </w:rPr>
        <w:t xml:space="preserve">a bag of pickles as a snack, </w:t>
      </w:r>
      <w:r w:rsidR="002656B5">
        <w:rPr>
          <w:rFonts w:ascii="Arial" w:hAnsi="Arial" w:cs="Arial"/>
          <w:bCs/>
          <w:sz w:val="20"/>
          <w:szCs w:val="20"/>
        </w:rPr>
        <w:t xml:space="preserve">attending her </w:t>
      </w:r>
      <w:r w:rsidR="00DA6337" w:rsidRPr="00496317">
        <w:rPr>
          <w:rFonts w:ascii="Arial" w:hAnsi="Arial" w:cs="Arial"/>
          <w:bCs/>
          <w:sz w:val="20"/>
          <w:szCs w:val="20"/>
        </w:rPr>
        <w:t>competitive cheer</w:t>
      </w:r>
      <w:r w:rsidR="002656B5">
        <w:rPr>
          <w:rFonts w:ascii="Arial" w:hAnsi="Arial" w:cs="Arial"/>
          <w:bCs/>
          <w:sz w:val="20"/>
          <w:szCs w:val="20"/>
        </w:rPr>
        <w:t>leading team’s</w:t>
      </w:r>
      <w:r w:rsidR="00DA6337" w:rsidRPr="00496317">
        <w:rPr>
          <w:rFonts w:ascii="Arial" w:hAnsi="Arial" w:cs="Arial"/>
          <w:bCs/>
          <w:sz w:val="20"/>
          <w:szCs w:val="20"/>
        </w:rPr>
        <w:t xml:space="preserve"> practice</w:t>
      </w:r>
      <w:r w:rsidR="002656B5">
        <w:rPr>
          <w:rFonts w:ascii="Arial" w:hAnsi="Arial" w:cs="Arial"/>
          <w:bCs/>
          <w:sz w:val="20"/>
          <w:szCs w:val="20"/>
        </w:rPr>
        <w:t xml:space="preserve"> in the evening</w:t>
      </w:r>
      <w:r w:rsidR="00DA6337" w:rsidRPr="00496317">
        <w:rPr>
          <w:rFonts w:ascii="Arial" w:hAnsi="Arial" w:cs="Arial"/>
          <w:bCs/>
          <w:sz w:val="20"/>
          <w:szCs w:val="20"/>
        </w:rPr>
        <w:t xml:space="preserve">, </w:t>
      </w:r>
      <w:r w:rsidR="002656B5">
        <w:rPr>
          <w:rFonts w:ascii="Arial" w:hAnsi="Arial" w:cs="Arial"/>
          <w:bCs/>
          <w:sz w:val="20"/>
          <w:szCs w:val="20"/>
        </w:rPr>
        <w:t xml:space="preserve">then cycling through three binge-and-purge episodes </w:t>
      </w:r>
      <w:r w:rsidR="00DA6337" w:rsidRPr="00496317">
        <w:rPr>
          <w:rFonts w:ascii="Arial" w:hAnsi="Arial" w:cs="Arial"/>
          <w:bCs/>
          <w:sz w:val="20"/>
          <w:szCs w:val="20"/>
        </w:rPr>
        <w:t>at night, which left time for 5 hours of sleep</w:t>
      </w:r>
      <w:r w:rsidR="002656B5">
        <w:rPr>
          <w:rFonts w:ascii="Arial" w:hAnsi="Arial" w:cs="Arial"/>
          <w:bCs/>
          <w:sz w:val="20"/>
          <w:szCs w:val="20"/>
        </w:rPr>
        <w:t xml:space="preserve"> or less</w:t>
      </w:r>
      <w:r w:rsidR="00DA6337" w:rsidRPr="00496317">
        <w:rPr>
          <w:rFonts w:ascii="Arial" w:hAnsi="Arial" w:cs="Arial"/>
          <w:bCs/>
          <w:sz w:val="20"/>
          <w:szCs w:val="20"/>
        </w:rPr>
        <w:t>.</w:t>
      </w:r>
    </w:p>
    <w:p w14:paraId="59A07D6A" w14:textId="7CF83035" w:rsidR="00DA6337" w:rsidRPr="00496317" w:rsidRDefault="00DA6337" w:rsidP="00142C0A">
      <w:pPr>
        <w:spacing w:after="0"/>
        <w:jc w:val="both"/>
        <w:rPr>
          <w:rFonts w:ascii="Arial" w:hAnsi="Arial" w:cs="Arial"/>
          <w:bCs/>
          <w:sz w:val="20"/>
          <w:szCs w:val="20"/>
        </w:rPr>
      </w:pPr>
    </w:p>
    <w:p w14:paraId="585E6640" w14:textId="11BC5F08" w:rsidR="00DA6337" w:rsidRDefault="002656B5" w:rsidP="00142C0A">
      <w:pPr>
        <w:spacing w:after="0"/>
        <w:jc w:val="both"/>
        <w:rPr>
          <w:rFonts w:ascii="Arial" w:hAnsi="Arial" w:cs="Arial"/>
          <w:bCs/>
          <w:sz w:val="20"/>
          <w:szCs w:val="20"/>
        </w:rPr>
      </w:pPr>
      <w:r>
        <w:rPr>
          <w:rFonts w:ascii="Arial" w:hAnsi="Arial" w:cs="Arial"/>
          <w:bCs/>
          <w:sz w:val="20"/>
          <w:szCs w:val="20"/>
        </w:rPr>
        <w:t>Toward the end of her senior year,</w:t>
      </w:r>
      <w:r w:rsidR="00DA6337" w:rsidRPr="00496317">
        <w:rPr>
          <w:rFonts w:ascii="Arial" w:hAnsi="Arial" w:cs="Arial"/>
          <w:bCs/>
          <w:sz w:val="20"/>
          <w:szCs w:val="20"/>
        </w:rPr>
        <w:t xml:space="preserve"> </w:t>
      </w:r>
      <w:r w:rsidR="00912820">
        <w:rPr>
          <w:rFonts w:ascii="Arial" w:hAnsi="Arial" w:cs="Arial"/>
          <w:bCs/>
          <w:sz w:val="20"/>
          <w:szCs w:val="20"/>
        </w:rPr>
        <w:t>Aimee</w:t>
      </w:r>
      <w:r w:rsidR="00DA6337" w:rsidRPr="00496317">
        <w:rPr>
          <w:rFonts w:ascii="Arial" w:hAnsi="Arial" w:cs="Arial"/>
          <w:bCs/>
          <w:sz w:val="20"/>
          <w:szCs w:val="20"/>
        </w:rPr>
        <w:t xml:space="preserve"> reported a 3-week inpatient hospitalization for medical and nutritional stabilization. </w:t>
      </w:r>
      <w:r w:rsidR="00720202">
        <w:rPr>
          <w:rFonts w:ascii="Arial" w:hAnsi="Arial" w:cs="Arial"/>
          <w:bCs/>
          <w:sz w:val="20"/>
          <w:szCs w:val="20"/>
        </w:rPr>
        <w:t>Patient</w:t>
      </w:r>
      <w:r w:rsidR="00DA6337" w:rsidRPr="00496317">
        <w:rPr>
          <w:rFonts w:ascii="Arial" w:hAnsi="Arial" w:cs="Arial"/>
          <w:bCs/>
          <w:sz w:val="20"/>
          <w:szCs w:val="20"/>
        </w:rPr>
        <w:t xml:space="preserve"> noted that she had “no intention of getting better” </w:t>
      </w:r>
      <w:r>
        <w:rPr>
          <w:rFonts w:ascii="Arial" w:hAnsi="Arial" w:cs="Arial"/>
          <w:bCs/>
          <w:sz w:val="20"/>
          <w:szCs w:val="20"/>
        </w:rPr>
        <w:t>at</w:t>
      </w:r>
      <w:r w:rsidR="00DA6337" w:rsidRPr="00496317">
        <w:rPr>
          <w:rFonts w:ascii="Arial" w:hAnsi="Arial" w:cs="Arial"/>
          <w:bCs/>
          <w:sz w:val="20"/>
          <w:szCs w:val="20"/>
        </w:rPr>
        <w:t xml:space="preserve"> that time but agreed to the hospitalization because it was the only condition under which she was permitted to attend senior prom or her final</w:t>
      </w:r>
      <w:r>
        <w:rPr>
          <w:rFonts w:ascii="Arial" w:hAnsi="Arial" w:cs="Arial"/>
          <w:bCs/>
          <w:sz w:val="20"/>
          <w:szCs w:val="20"/>
        </w:rPr>
        <w:t>, overnight</w:t>
      </w:r>
      <w:r w:rsidR="00DA6337" w:rsidRPr="00496317">
        <w:rPr>
          <w:rFonts w:ascii="Arial" w:hAnsi="Arial" w:cs="Arial"/>
          <w:bCs/>
          <w:sz w:val="20"/>
          <w:szCs w:val="20"/>
        </w:rPr>
        <w:t xml:space="preserve"> cheer competition. </w:t>
      </w:r>
      <w:r w:rsidR="00912820">
        <w:rPr>
          <w:rFonts w:ascii="Arial" w:hAnsi="Arial" w:cs="Arial"/>
          <w:bCs/>
          <w:sz w:val="20"/>
          <w:szCs w:val="20"/>
        </w:rPr>
        <w:t>Aimee</w:t>
      </w:r>
      <w:r w:rsidR="00DA6337" w:rsidRPr="00496317">
        <w:rPr>
          <w:rFonts w:ascii="Arial" w:hAnsi="Arial" w:cs="Arial"/>
          <w:bCs/>
          <w:sz w:val="20"/>
          <w:szCs w:val="20"/>
        </w:rPr>
        <w:t xml:space="preserve"> stated </w:t>
      </w:r>
      <w:r>
        <w:rPr>
          <w:rFonts w:ascii="Arial" w:hAnsi="Arial" w:cs="Arial"/>
          <w:bCs/>
          <w:sz w:val="20"/>
          <w:szCs w:val="20"/>
        </w:rPr>
        <w:t xml:space="preserve">that </w:t>
      </w:r>
      <w:r w:rsidR="00DA6337" w:rsidRPr="00496317">
        <w:rPr>
          <w:rFonts w:ascii="Arial" w:hAnsi="Arial" w:cs="Arial"/>
          <w:bCs/>
          <w:sz w:val="20"/>
          <w:szCs w:val="20"/>
        </w:rPr>
        <w:t>she “lasted three days” post-release before binging and purging again</w:t>
      </w:r>
      <w:r w:rsidR="00473DC8">
        <w:rPr>
          <w:rFonts w:ascii="Arial" w:hAnsi="Arial" w:cs="Arial"/>
          <w:bCs/>
          <w:sz w:val="20"/>
          <w:szCs w:val="20"/>
        </w:rPr>
        <w:t xml:space="preserve">, and that she has engaged in these behaviors nearly every day since. Notably, the only days that Aimee reported not binging and purging since then were during the “three or four” times when she had been hospitalized for low potassium. </w:t>
      </w:r>
      <w:r w:rsidR="00046F11">
        <w:rPr>
          <w:rFonts w:ascii="Arial" w:hAnsi="Arial" w:cs="Arial"/>
          <w:bCs/>
          <w:sz w:val="20"/>
          <w:szCs w:val="20"/>
        </w:rPr>
        <w:t xml:space="preserve">In the past 28 days, </w:t>
      </w:r>
      <w:r w:rsidR="00912820">
        <w:rPr>
          <w:rFonts w:ascii="Arial" w:hAnsi="Arial" w:cs="Arial"/>
          <w:bCs/>
          <w:sz w:val="20"/>
          <w:szCs w:val="20"/>
        </w:rPr>
        <w:t>Aimee</w:t>
      </w:r>
      <w:r w:rsidR="00046F11">
        <w:rPr>
          <w:rFonts w:ascii="Arial" w:hAnsi="Arial" w:cs="Arial"/>
          <w:bCs/>
          <w:sz w:val="20"/>
          <w:szCs w:val="20"/>
        </w:rPr>
        <w:t xml:space="preserve"> reported </w:t>
      </w:r>
      <w:r w:rsidR="00720202">
        <w:rPr>
          <w:rFonts w:ascii="Arial" w:hAnsi="Arial" w:cs="Arial"/>
          <w:bCs/>
          <w:sz w:val="20"/>
          <w:szCs w:val="20"/>
        </w:rPr>
        <w:t xml:space="preserve">consuming no meals outside of binge and purge episodes. She described typically </w:t>
      </w:r>
      <w:r w:rsidR="00473DC8">
        <w:rPr>
          <w:rFonts w:ascii="Arial" w:hAnsi="Arial" w:cs="Arial"/>
          <w:bCs/>
          <w:sz w:val="20"/>
          <w:szCs w:val="20"/>
        </w:rPr>
        <w:t xml:space="preserve">purging once after each binge, except for at dinnertime, which is followed </w:t>
      </w:r>
      <w:r w:rsidR="003A26CD">
        <w:rPr>
          <w:rFonts w:ascii="Arial" w:hAnsi="Arial" w:cs="Arial"/>
          <w:bCs/>
          <w:sz w:val="20"/>
          <w:szCs w:val="20"/>
        </w:rPr>
        <w:t>2 purges</w:t>
      </w:r>
      <w:r w:rsidR="00447461">
        <w:rPr>
          <w:rFonts w:ascii="Arial" w:hAnsi="Arial" w:cs="Arial"/>
          <w:bCs/>
          <w:sz w:val="20"/>
          <w:szCs w:val="20"/>
        </w:rPr>
        <w:t xml:space="preserve"> per </w:t>
      </w:r>
      <w:r w:rsidR="003A26CD">
        <w:rPr>
          <w:rFonts w:ascii="Arial" w:hAnsi="Arial" w:cs="Arial"/>
          <w:bCs/>
          <w:sz w:val="20"/>
          <w:szCs w:val="20"/>
        </w:rPr>
        <w:t>binge, resulting in a range of 2-7 binge-purge episodes</w:t>
      </w:r>
      <w:r w:rsidR="00447461">
        <w:rPr>
          <w:rFonts w:ascii="Arial" w:hAnsi="Arial" w:cs="Arial"/>
          <w:bCs/>
          <w:sz w:val="20"/>
          <w:szCs w:val="20"/>
        </w:rPr>
        <w:t xml:space="preserve"> per </w:t>
      </w:r>
      <w:r w:rsidR="003A26CD">
        <w:rPr>
          <w:rFonts w:ascii="Arial" w:hAnsi="Arial" w:cs="Arial"/>
          <w:bCs/>
          <w:sz w:val="20"/>
          <w:szCs w:val="20"/>
        </w:rPr>
        <w:t>day.</w:t>
      </w:r>
    </w:p>
    <w:p w14:paraId="444C3205" w14:textId="2949C7C6" w:rsidR="00BA1DBC" w:rsidRDefault="00BA1DBC" w:rsidP="00142C0A">
      <w:pPr>
        <w:spacing w:after="0"/>
        <w:jc w:val="both"/>
        <w:rPr>
          <w:rFonts w:ascii="Arial" w:hAnsi="Arial" w:cs="Arial"/>
          <w:bCs/>
          <w:sz w:val="20"/>
          <w:szCs w:val="20"/>
        </w:rPr>
      </w:pPr>
    </w:p>
    <w:p w14:paraId="4CE85431" w14:textId="77777777" w:rsidR="00BA1DBC" w:rsidRPr="00496317" w:rsidRDefault="00BA1DBC" w:rsidP="00BA1DBC">
      <w:pPr>
        <w:spacing w:after="0"/>
        <w:rPr>
          <w:rFonts w:ascii="Arial" w:hAnsi="Arial" w:cs="Arial"/>
          <w:b/>
          <w:sz w:val="20"/>
          <w:szCs w:val="20"/>
        </w:rPr>
      </w:pPr>
      <w:r w:rsidRPr="00496317">
        <w:rPr>
          <w:rFonts w:ascii="Arial" w:hAnsi="Arial" w:cs="Arial"/>
          <w:b/>
          <w:sz w:val="20"/>
          <w:szCs w:val="20"/>
        </w:rPr>
        <w:t>MENTAL STATUS</w:t>
      </w:r>
    </w:p>
    <w:p w14:paraId="07F2BB43" w14:textId="7C45A257" w:rsidR="00BA1DBC" w:rsidRPr="00496317" w:rsidRDefault="00BA1DBC" w:rsidP="00BA1DBC">
      <w:pPr>
        <w:spacing w:after="0"/>
        <w:jc w:val="both"/>
        <w:rPr>
          <w:rFonts w:ascii="Arial" w:hAnsi="Arial" w:cs="Arial"/>
          <w:bCs/>
          <w:sz w:val="20"/>
          <w:szCs w:val="20"/>
        </w:rPr>
      </w:pPr>
      <w:r w:rsidRPr="00496317">
        <w:rPr>
          <w:rFonts w:ascii="Arial" w:hAnsi="Arial" w:cs="Arial"/>
          <w:bCs/>
          <w:sz w:val="20"/>
          <w:szCs w:val="20"/>
        </w:rPr>
        <w:t xml:space="preserve">Patient was oriented to person, time, and place. Her mood was </w:t>
      </w:r>
      <w:proofErr w:type="spellStart"/>
      <w:r w:rsidRPr="00496317">
        <w:rPr>
          <w:rFonts w:ascii="Arial" w:hAnsi="Arial" w:cs="Arial"/>
          <w:bCs/>
          <w:sz w:val="20"/>
          <w:szCs w:val="20"/>
        </w:rPr>
        <w:t>anhedonic</w:t>
      </w:r>
      <w:proofErr w:type="spellEnd"/>
      <w:r w:rsidRPr="00496317">
        <w:rPr>
          <w:rFonts w:ascii="Arial" w:hAnsi="Arial" w:cs="Arial"/>
          <w:bCs/>
          <w:sz w:val="20"/>
          <w:szCs w:val="20"/>
        </w:rPr>
        <w:t xml:space="preserve"> and she demonstrated a limited range of affect appropriate for the situation (e.g., blushing). Though her energy was low, </w:t>
      </w:r>
      <w:r w:rsidR="00912820">
        <w:rPr>
          <w:rFonts w:ascii="Arial" w:hAnsi="Arial" w:cs="Arial"/>
          <w:bCs/>
          <w:sz w:val="20"/>
          <w:szCs w:val="20"/>
        </w:rPr>
        <w:t>Aimee</w:t>
      </w:r>
      <w:r w:rsidRPr="00496317">
        <w:rPr>
          <w:rFonts w:ascii="Arial" w:hAnsi="Arial" w:cs="Arial"/>
          <w:bCs/>
          <w:sz w:val="20"/>
          <w:szCs w:val="20"/>
        </w:rPr>
        <w:t xml:space="preserve"> remained thoughtfully engaged throughout the intake process. She deflected with humor and fidgeted in her seat, both of which were expected during a lengthy and invasive psychological assessment. Patient’s body language fluctuated with session content, as she appeared more guarded (e.g., seated with arms crossed and knees pulled close to her chest) when discussing sensitive information. </w:t>
      </w:r>
      <w:r w:rsidR="00912820">
        <w:rPr>
          <w:rFonts w:ascii="Arial" w:hAnsi="Arial" w:cs="Arial"/>
          <w:bCs/>
          <w:sz w:val="20"/>
          <w:szCs w:val="20"/>
        </w:rPr>
        <w:t>Aimee</w:t>
      </w:r>
      <w:r w:rsidRPr="00496317">
        <w:rPr>
          <w:rFonts w:ascii="Arial" w:hAnsi="Arial" w:cs="Arial"/>
          <w:bCs/>
          <w:sz w:val="20"/>
          <w:szCs w:val="20"/>
        </w:rPr>
        <w:t xml:space="preserve"> denied current or recent homicidal ideation or non-suicidal self-injury but</w:t>
      </w:r>
      <w:r w:rsidRPr="00496317">
        <w:rPr>
          <w:sz w:val="20"/>
          <w:szCs w:val="20"/>
        </w:rPr>
        <w:t xml:space="preserve"> </w:t>
      </w:r>
      <w:r w:rsidRPr="00496317">
        <w:rPr>
          <w:rFonts w:ascii="Arial" w:hAnsi="Arial" w:cs="Arial"/>
          <w:bCs/>
          <w:sz w:val="20"/>
          <w:szCs w:val="20"/>
        </w:rPr>
        <w:t xml:space="preserve">reported passive suicidal ideation. Consideration of means was limited to some speculation that she could "down a bottle of pills," though the patient had not considered what kind of pills or how to </w:t>
      </w:r>
      <w:r w:rsidR="00720202">
        <w:rPr>
          <w:rFonts w:ascii="Arial" w:hAnsi="Arial" w:cs="Arial"/>
          <w:bCs/>
          <w:sz w:val="20"/>
          <w:szCs w:val="20"/>
        </w:rPr>
        <w:t>access</w:t>
      </w:r>
      <w:r w:rsidRPr="00496317">
        <w:rPr>
          <w:rFonts w:ascii="Arial" w:hAnsi="Arial" w:cs="Arial"/>
          <w:bCs/>
          <w:sz w:val="20"/>
          <w:szCs w:val="20"/>
        </w:rPr>
        <w:t xml:space="preserve"> them</w:t>
      </w:r>
      <w:r w:rsidR="00720202">
        <w:rPr>
          <w:rFonts w:ascii="Arial" w:hAnsi="Arial" w:cs="Arial"/>
          <w:bCs/>
          <w:sz w:val="20"/>
          <w:szCs w:val="20"/>
        </w:rPr>
        <w:t>,</w:t>
      </w:r>
      <w:r w:rsidRPr="00496317">
        <w:rPr>
          <w:rFonts w:ascii="Arial" w:hAnsi="Arial" w:cs="Arial"/>
          <w:bCs/>
          <w:sz w:val="20"/>
          <w:szCs w:val="20"/>
        </w:rPr>
        <w:t xml:space="preserve"> and firmly denied any level of intent. Across intake sessions, her thought content appeared logical and linear and gross memory appeared intact. Based on observations of her behavior and the pattern of test scores, the current results appear to be a reliable and valid estimate of </w:t>
      </w:r>
      <w:r w:rsidR="00912820">
        <w:rPr>
          <w:rFonts w:ascii="Arial" w:hAnsi="Arial" w:cs="Arial"/>
          <w:bCs/>
          <w:sz w:val="20"/>
          <w:szCs w:val="20"/>
        </w:rPr>
        <w:t>Aimee</w:t>
      </w:r>
      <w:r w:rsidRPr="00496317">
        <w:rPr>
          <w:rFonts w:ascii="Arial" w:hAnsi="Arial" w:cs="Arial"/>
          <w:bCs/>
          <w:sz w:val="20"/>
          <w:szCs w:val="20"/>
        </w:rPr>
        <w:t>’s current psychosocial functioning.</w:t>
      </w:r>
    </w:p>
    <w:p w14:paraId="5E05E5CA" w14:textId="77777777" w:rsidR="00116F5B" w:rsidRPr="00496317" w:rsidRDefault="00116F5B" w:rsidP="000A0736">
      <w:pPr>
        <w:spacing w:after="0"/>
        <w:rPr>
          <w:rFonts w:ascii="Arial" w:hAnsi="Arial" w:cs="Arial"/>
          <w:color w:val="808080"/>
          <w:sz w:val="20"/>
          <w:szCs w:val="20"/>
        </w:rPr>
      </w:pPr>
    </w:p>
    <w:p w14:paraId="234D6AF9" w14:textId="1A6C4D2A" w:rsidR="000A0736" w:rsidRPr="00496317" w:rsidRDefault="000A0736" w:rsidP="009C3BC5">
      <w:pPr>
        <w:spacing w:after="0" w:line="240" w:lineRule="auto"/>
        <w:rPr>
          <w:rFonts w:ascii="Arial" w:hAnsi="Arial" w:cs="Arial"/>
          <w:b/>
          <w:sz w:val="20"/>
          <w:szCs w:val="20"/>
        </w:rPr>
      </w:pPr>
      <w:r w:rsidRPr="00496317">
        <w:rPr>
          <w:rFonts w:ascii="Arial" w:hAnsi="Arial" w:cs="Arial"/>
          <w:b/>
          <w:sz w:val="20"/>
          <w:szCs w:val="20"/>
        </w:rPr>
        <w:t>TEST RESULTS AND INTERPRETATION</w:t>
      </w:r>
    </w:p>
    <w:p w14:paraId="6C0D9E35" w14:textId="77777777" w:rsidR="00116F5B" w:rsidRPr="00496317" w:rsidRDefault="00116F5B" w:rsidP="000A0736">
      <w:pPr>
        <w:spacing w:after="0"/>
        <w:rPr>
          <w:rFonts w:ascii="Arial" w:hAnsi="Arial" w:cs="Arial"/>
          <w:b/>
          <w:sz w:val="20"/>
          <w:szCs w:val="20"/>
        </w:rPr>
      </w:pPr>
    </w:p>
    <w:p w14:paraId="246EB26C" w14:textId="20A9D4AB" w:rsidR="00F16708" w:rsidRPr="00496317" w:rsidRDefault="00F16708" w:rsidP="00563304">
      <w:pPr>
        <w:spacing w:after="0"/>
        <w:jc w:val="both"/>
        <w:rPr>
          <w:rFonts w:ascii="Arial" w:hAnsi="Arial" w:cs="Arial"/>
          <w:sz w:val="20"/>
          <w:szCs w:val="20"/>
        </w:rPr>
      </w:pPr>
      <w:r w:rsidRPr="00496317">
        <w:rPr>
          <w:rFonts w:ascii="Arial" w:hAnsi="Arial" w:cs="Arial"/>
          <w:b/>
          <w:bCs/>
          <w:sz w:val="20"/>
          <w:szCs w:val="20"/>
        </w:rPr>
        <w:t xml:space="preserve">The Eating Pathology Symptoms Inventory (EPSI) </w:t>
      </w:r>
      <w:r w:rsidRPr="00496317">
        <w:rPr>
          <w:rFonts w:ascii="Arial" w:hAnsi="Arial" w:cs="Arial"/>
          <w:sz w:val="20"/>
          <w:szCs w:val="20"/>
        </w:rPr>
        <w:t xml:space="preserve">is a 45-item self-report measure developed to assess eating disorder pathology among a wide variety of populations. The EPSI has demonstrated strong evidence for test-retest reliability, internal consistency, </w:t>
      </w:r>
      <w:r w:rsidR="00563304" w:rsidRPr="00496317">
        <w:rPr>
          <w:rFonts w:ascii="Arial" w:hAnsi="Arial" w:cs="Arial"/>
          <w:sz w:val="20"/>
          <w:szCs w:val="20"/>
        </w:rPr>
        <w:t xml:space="preserve">measurement invariance, </w:t>
      </w:r>
      <w:r w:rsidRPr="00496317">
        <w:rPr>
          <w:rFonts w:ascii="Arial" w:hAnsi="Arial" w:cs="Arial"/>
          <w:sz w:val="20"/>
          <w:szCs w:val="20"/>
        </w:rPr>
        <w:t>and discriminant validity across a range of samples (</w:t>
      </w:r>
      <w:proofErr w:type="spellStart"/>
      <w:r w:rsidRPr="00496317">
        <w:rPr>
          <w:rFonts w:ascii="Arial" w:hAnsi="Arial" w:cs="Arial"/>
          <w:sz w:val="20"/>
          <w:szCs w:val="20"/>
        </w:rPr>
        <w:t>Forbush</w:t>
      </w:r>
      <w:proofErr w:type="spellEnd"/>
      <w:r w:rsidRPr="00496317">
        <w:rPr>
          <w:rFonts w:ascii="Arial" w:hAnsi="Arial" w:cs="Arial"/>
          <w:sz w:val="20"/>
          <w:szCs w:val="20"/>
        </w:rPr>
        <w:t xml:space="preserve"> et al., 2014; </w:t>
      </w:r>
      <w:proofErr w:type="spellStart"/>
      <w:r w:rsidRPr="00496317">
        <w:rPr>
          <w:rFonts w:ascii="Arial" w:hAnsi="Arial" w:cs="Arial"/>
          <w:sz w:val="20"/>
          <w:szCs w:val="20"/>
        </w:rPr>
        <w:t>Richson</w:t>
      </w:r>
      <w:proofErr w:type="spellEnd"/>
      <w:r w:rsidRPr="00496317">
        <w:rPr>
          <w:rFonts w:ascii="Arial" w:hAnsi="Arial" w:cs="Arial"/>
          <w:sz w:val="20"/>
          <w:szCs w:val="20"/>
        </w:rPr>
        <w:t xml:space="preserve"> et al., 2021). This multidimensional questionnaire has eight scales and the </w:t>
      </w:r>
      <w:r w:rsidR="00720202">
        <w:rPr>
          <w:rFonts w:ascii="Arial" w:hAnsi="Arial" w:cs="Arial"/>
          <w:sz w:val="20"/>
          <w:szCs w:val="20"/>
        </w:rPr>
        <w:t>patient</w:t>
      </w:r>
      <w:r w:rsidRPr="00496317">
        <w:rPr>
          <w:rFonts w:ascii="Arial" w:hAnsi="Arial" w:cs="Arial"/>
          <w:sz w:val="20"/>
          <w:szCs w:val="20"/>
        </w:rPr>
        <w:t xml:space="preserve">’s scores </w:t>
      </w:r>
      <w:r w:rsidR="00BE0CF5">
        <w:rPr>
          <w:rFonts w:ascii="Arial" w:hAnsi="Arial" w:cs="Arial"/>
          <w:sz w:val="20"/>
          <w:szCs w:val="20"/>
        </w:rPr>
        <w:t xml:space="preserve">and percentile ranges </w:t>
      </w:r>
      <w:r w:rsidR="00BE0CF5" w:rsidRPr="00BE0CF5">
        <w:rPr>
          <w:rFonts w:ascii="Arial" w:hAnsi="Arial" w:cs="Arial"/>
          <w:sz w:val="20"/>
          <w:szCs w:val="20"/>
        </w:rPr>
        <w:t>for Adult Women in the Recovery Record App</w:t>
      </w:r>
      <w:r w:rsidR="00BE0CF5">
        <w:rPr>
          <w:rFonts w:ascii="Arial" w:hAnsi="Arial" w:cs="Arial"/>
          <w:sz w:val="20"/>
          <w:szCs w:val="20"/>
        </w:rPr>
        <w:t xml:space="preserve"> (</w:t>
      </w:r>
      <w:proofErr w:type="spellStart"/>
      <w:r w:rsidR="00BE0CF5" w:rsidRPr="00496317">
        <w:rPr>
          <w:rFonts w:ascii="Arial" w:hAnsi="Arial" w:cs="Arial"/>
          <w:sz w:val="20"/>
          <w:szCs w:val="20"/>
        </w:rPr>
        <w:t>Richson</w:t>
      </w:r>
      <w:proofErr w:type="spellEnd"/>
      <w:r w:rsidR="00BE0CF5" w:rsidRPr="00496317">
        <w:rPr>
          <w:rFonts w:ascii="Arial" w:hAnsi="Arial" w:cs="Arial"/>
          <w:sz w:val="20"/>
          <w:szCs w:val="20"/>
        </w:rPr>
        <w:t xml:space="preserve"> et al., 2021</w:t>
      </w:r>
      <w:r w:rsidR="00BE0CF5">
        <w:rPr>
          <w:rFonts w:ascii="Arial" w:hAnsi="Arial" w:cs="Arial"/>
          <w:sz w:val="20"/>
          <w:szCs w:val="20"/>
        </w:rPr>
        <w:t xml:space="preserve">) </w:t>
      </w:r>
      <w:r w:rsidRPr="00496317">
        <w:rPr>
          <w:rFonts w:ascii="Arial" w:hAnsi="Arial" w:cs="Arial"/>
          <w:sz w:val="20"/>
          <w:szCs w:val="20"/>
        </w:rPr>
        <w:t>were as follows: body dissatisfaction</w:t>
      </w:r>
      <w:r w:rsidR="00563304" w:rsidRPr="00496317">
        <w:rPr>
          <w:rFonts w:ascii="Arial" w:hAnsi="Arial" w:cs="Arial"/>
          <w:sz w:val="20"/>
          <w:szCs w:val="20"/>
        </w:rPr>
        <w:t xml:space="preserve"> (17</w:t>
      </w:r>
      <w:r w:rsidR="008D54AD">
        <w:rPr>
          <w:rFonts w:ascii="Arial" w:hAnsi="Arial" w:cs="Arial"/>
          <w:sz w:val="20"/>
          <w:szCs w:val="20"/>
        </w:rPr>
        <w:t xml:space="preserve">, </w:t>
      </w:r>
      <w:r w:rsidR="008D54AD" w:rsidRPr="008D54AD">
        <w:rPr>
          <w:rFonts w:ascii="Arial" w:hAnsi="Arial" w:cs="Arial"/>
          <w:sz w:val="20"/>
          <w:szCs w:val="20"/>
        </w:rPr>
        <w:t>21–23</w:t>
      </w:r>
      <w:r w:rsidR="008D54AD">
        <w:rPr>
          <w:rFonts w:ascii="Arial" w:hAnsi="Arial" w:cs="Arial"/>
          <w:sz w:val="20"/>
          <w:szCs w:val="20"/>
        </w:rPr>
        <w:t>%</w:t>
      </w:r>
      <w:r w:rsidR="00563304" w:rsidRPr="00496317">
        <w:rPr>
          <w:rFonts w:ascii="Arial" w:hAnsi="Arial" w:cs="Arial"/>
          <w:sz w:val="20"/>
          <w:szCs w:val="20"/>
        </w:rPr>
        <w:t>)</w:t>
      </w:r>
      <w:r w:rsidRPr="00496317">
        <w:rPr>
          <w:rFonts w:ascii="Arial" w:hAnsi="Arial" w:cs="Arial"/>
          <w:sz w:val="20"/>
          <w:szCs w:val="20"/>
        </w:rPr>
        <w:t>, binge eating</w:t>
      </w:r>
      <w:r w:rsidR="00563304" w:rsidRPr="00496317">
        <w:rPr>
          <w:rFonts w:ascii="Arial" w:hAnsi="Arial" w:cs="Arial"/>
          <w:sz w:val="20"/>
          <w:szCs w:val="20"/>
        </w:rPr>
        <w:t xml:space="preserve"> (16</w:t>
      </w:r>
      <w:r w:rsidR="008D54AD">
        <w:rPr>
          <w:rFonts w:ascii="Arial" w:hAnsi="Arial" w:cs="Arial"/>
          <w:sz w:val="20"/>
          <w:szCs w:val="20"/>
        </w:rPr>
        <w:t>,</w:t>
      </w:r>
      <w:r w:rsidR="008D54AD" w:rsidRPr="008D54AD">
        <w:t xml:space="preserve"> </w:t>
      </w:r>
      <w:r w:rsidR="008D54AD" w:rsidRPr="008D54AD">
        <w:rPr>
          <w:rFonts w:ascii="Arial" w:hAnsi="Arial" w:cs="Arial"/>
          <w:sz w:val="20"/>
          <w:szCs w:val="20"/>
        </w:rPr>
        <w:t>43–45</w:t>
      </w:r>
      <w:r w:rsidR="008D54AD">
        <w:rPr>
          <w:rFonts w:ascii="Arial" w:hAnsi="Arial" w:cs="Arial"/>
          <w:sz w:val="20"/>
          <w:szCs w:val="20"/>
        </w:rPr>
        <w:t>%</w:t>
      </w:r>
      <w:r w:rsidR="00563304" w:rsidRPr="00496317">
        <w:rPr>
          <w:rFonts w:ascii="Arial" w:hAnsi="Arial" w:cs="Arial"/>
          <w:sz w:val="20"/>
          <w:szCs w:val="20"/>
        </w:rPr>
        <w:t>)</w:t>
      </w:r>
      <w:r w:rsidRPr="00496317">
        <w:rPr>
          <w:rFonts w:ascii="Arial" w:hAnsi="Arial" w:cs="Arial"/>
          <w:sz w:val="20"/>
          <w:szCs w:val="20"/>
        </w:rPr>
        <w:t>, cognitive restraint</w:t>
      </w:r>
      <w:r w:rsidR="00563304" w:rsidRPr="00496317">
        <w:rPr>
          <w:rFonts w:ascii="Arial" w:hAnsi="Arial" w:cs="Arial"/>
          <w:sz w:val="20"/>
          <w:szCs w:val="20"/>
        </w:rPr>
        <w:t xml:space="preserve"> (4</w:t>
      </w:r>
      <w:r w:rsidR="008D54AD">
        <w:rPr>
          <w:rFonts w:ascii="Arial" w:hAnsi="Arial" w:cs="Arial"/>
          <w:sz w:val="20"/>
          <w:szCs w:val="20"/>
        </w:rPr>
        <w:t xml:space="preserve">, </w:t>
      </w:r>
      <w:r w:rsidR="008D54AD" w:rsidRPr="008D54AD">
        <w:rPr>
          <w:rFonts w:ascii="Arial" w:hAnsi="Arial" w:cs="Arial"/>
          <w:sz w:val="20"/>
          <w:szCs w:val="20"/>
        </w:rPr>
        <w:t>12–18</w:t>
      </w:r>
      <w:r w:rsidR="008D54AD">
        <w:rPr>
          <w:rFonts w:ascii="Arial" w:hAnsi="Arial" w:cs="Arial"/>
          <w:sz w:val="20"/>
          <w:szCs w:val="20"/>
        </w:rPr>
        <w:t>%</w:t>
      </w:r>
      <w:r w:rsidR="00563304" w:rsidRPr="00496317">
        <w:rPr>
          <w:rFonts w:ascii="Arial" w:hAnsi="Arial" w:cs="Arial"/>
          <w:sz w:val="20"/>
          <w:szCs w:val="20"/>
        </w:rPr>
        <w:t>)</w:t>
      </w:r>
      <w:r w:rsidRPr="00496317">
        <w:rPr>
          <w:rFonts w:ascii="Arial" w:hAnsi="Arial" w:cs="Arial"/>
          <w:sz w:val="20"/>
          <w:szCs w:val="20"/>
        </w:rPr>
        <w:t>, purging</w:t>
      </w:r>
      <w:r w:rsidR="00563304" w:rsidRPr="00496317">
        <w:rPr>
          <w:rFonts w:ascii="Arial" w:hAnsi="Arial" w:cs="Arial"/>
          <w:sz w:val="20"/>
          <w:szCs w:val="20"/>
        </w:rPr>
        <w:t xml:space="preserve"> (7</w:t>
      </w:r>
      <w:r w:rsidR="008D54AD">
        <w:rPr>
          <w:rFonts w:ascii="Arial" w:hAnsi="Arial" w:cs="Arial"/>
          <w:sz w:val="20"/>
          <w:szCs w:val="20"/>
        </w:rPr>
        <w:t xml:space="preserve">, </w:t>
      </w:r>
      <w:r w:rsidR="008D54AD" w:rsidRPr="008D54AD">
        <w:rPr>
          <w:rFonts w:ascii="Arial" w:hAnsi="Arial" w:cs="Arial"/>
          <w:sz w:val="20"/>
          <w:szCs w:val="20"/>
        </w:rPr>
        <w:t>66–69</w:t>
      </w:r>
      <w:r w:rsidR="008D54AD">
        <w:rPr>
          <w:rFonts w:ascii="Arial" w:hAnsi="Arial" w:cs="Arial"/>
          <w:sz w:val="20"/>
          <w:szCs w:val="20"/>
        </w:rPr>
        <w:t>%</w:t>
      </w:r>
      <w:r w:rsidR="00563304" w:rsidRPr="00496317">
        <w:rPr>
          <w:rFonts w:ascii="Arial" w:hAnsi="Arial" w:cs="Arial"/>
          <w:sz w:val="20"/>
          <w:szCs w:val="20"/>
        </w:rPr>
        <w:t>)</w:t>
      </w:r>
      <w:r w:rsidRPr="00496317">
        <w:rPr>
          <w:rFonts w:ascii="Arial" w:hAnsi="Arial" w:cs="Arial"/>
          <w:sz w:val="20"/>
          <w:szCs w:val="20"/>
        </w:rPr>
        <w:t xml:space="preserve">, </w:t>
      </w:r>
      <w:r w:rsidR="00563304" w:rsidRPr="00496317">
        <w:rPr>
          <w:rFonts w:ascii="Arial" w:hAnsi="Arial" w:cs="Arial"/>
          <w:sz w:val="20"/>
          <w:szCs w:val="20"/>
        </w:rPr>
        <w:t xml:space="preserve">muscle building (0), </w:t>
      </w:r>
      <w:r w:rsidRPr="00496317">
        <w:rPr>
          <w:rFonts w:ascii="Arial" w:hAnsi="Arial" w:cs="Arial"/>
          <w:sz w:val="20"/>
          <w:szCs w:val="20"/>
        </w:rPr>
        <w:t>restricting</w:t>
      </w:r>
      <w:r w:rsidR="00563304" w:rsidRPr="00496317">
        <w:rPr>
          <w:rFonts w:ascii="Arial" w:hAnsi="Arial" w:cs="Arial"/>
          <w:sz w:val="20"/>
          <w:szCs w:val="20"/>
        </w:rPr>
        <w:t xml:space="preserve"> (2</w:t>
      </w:r>
      <w:r w:rsidR="008D54AD">
        <w:rPr>
          <w:rFonts w:ascii="Arial" w:hAnsi="Arial" w:cs="Arial"/>
          <w:sz w:val="20"/>
          <w:szCs w:val="20"/>
        </w:rPr>
        <w:t xml:space="preserve">, </w:t>
      </w:r>
      <w:r w:rsidR="008D54AD" w:rsidRPr="008D54AD">
        <w:rPr>
          <w:rFonts w:ascii="Arial" w:hAnsi="Arial" w:cs="Arial"/>
          <w:sz w:val="20"/>
          <w:szCs w:val="20"/>
        </w:rPr>
        <w:t>12–17</w:t>
      </w:r>
      <w:r w:rsidR="008D54AD">
        <w:rPr>
          <w:rFonts w:ascii="Arial" w:hAnsi="Arial" w:cs="Arial"/>
          <w:sz w:val="20"/>
          <w:szCs w:val="20"/>
        </w:rPr>
        <w:t>%</w:t>
      </w:r>
      <w:r w:rsidR="00563304" w:rsidRPr="00496317">
        <w:rPr>
          <w:rFonts w:ascii="Arial" w:hAnsi="Arial" w:cs="Arial"/>
          <w:sz w:val="20"/>
          <w:szCs w:val="20"/>
        </w:rPr>
        <w:t>)</w:t>
      </w:r>
      <w:r w:rsidRPr="00496317">
        <w:rPr>
          <w:rFonts w:ascii="Arial" w:hAnsi="Arial" w:cs="Arial"/>
          <w:sz w:val="20"/>
          <w:szCs w:val="20"/>
        </w:rPr>
        <w:t>, excessive exercise</w:t>
      </w:r>
      <w:r w:rsidR="00563304" w:rsidRPr="00496317">
        <w:rPr>
          <w:rFonts w:ascii="Arial" w:hAnsi="Arial" w:cs="Arial"/>
          <w:sz w:val="20"/>
          <w:szCs w:val="20"/>
        </w:rPr>
        <w:t xml:space="preserve"> (0</w:t>
      </w:r>
      <w:r w:rsidR="008D54AD">
        <w:rPr>
          <w:rFonts w:ascii="Arial" w:hAnsi="Arial" w:cs="Arial"/>
          <w:sz w:val="20"/>
          <w:szCs w:val="20"/>
        </w:rPr>
        <w:t>,</w:t>
      </w:r>
      <w:r w:rsidR="008D54AD" w:rsidRPr="008D54AD">
        <w:t xml:space="preserve"> </w:t>
      </w:r>
      <w:r w:rsidR="008D54AD" w:rsidRPr="008D54AD">
        <w:rPr>
          <w:rFonts w:ascii="Arial" w:hAnsi="Arial" w:cs="Arial"/>
          <w:sz w:val="20"/>
          <w:szCs w:val="20"/>
        </w:rPr>
        <w:t>1–9</w:t>
      </w:r>
      <w:r w:rsidR="008D54AD">
        <w:rPr>
          <w:rFonts w:ascii="Arial" w:hAnsi="Arial" w:cs="Arial"/>
          <w:sz w:val="20"/>
          <w:szCs w:val="20"/>
        </w:rPr>
        <w:t>%</w:t>
      </w:r>
      <w:r w:rsidR="00563304" w:rsidRPr="00496317">
        <w:rPr>
          <w:rFonts w:ascii="Arial" w:hAnsi="Arial" w:cs="Arial"/>
          <w:sz w:val="20"/>
          <w:szCs w:val="20"/>
        </w:rPr>
        <w:t>)</w:t>
      </w:r>
      <w:r w:rsidRPr="00496317">
        <w:rPr>
          <w:rFonts w:ascii="Arial" w:hAnsi="Arial" w:cs="Arial"/>
          <w:sz w:val="20"/>
          <w:szCs w:val="20"/>
        </w:rPr>
        <w:t>, negative attitudes toward obesity</w:t>
      </w:r>
      <w:r w:rsidR="00563304" w:rsidRPr="00496317">
        <w:rPr>
          <w:rFonts w:ascii="Arial" w:hAnsi="Arial" w:cs="Arial"/>
          <w:sz w:val="20"/>
          <w:szCs w:val="20"/>
        </w:rPr>
        <w:t xml:space="preserve"> (11), and total score (57).</w:t>
      </w:r>
      <w:r w:rsidR="00BE0CF5">
        <w:rPr>
          <w:rFonts w:ascii="Arial" w:hAnsi="Arial" w:cs="Arial"/>
          <w:sz w:val="20"/>
          <w:szCs w:val="20"/>
        </w:rPr>
        <w:t xml:space="preserve"> </w:t>
      </w:r>
      <w:r w:rsidR="00912820">
        <w:rPr>
          <w:rFonts w:ascii="Arial" w:hAnsi="Arial" w:cs="Arial"/>
          <w:sz w:val="20"/>
          <w:szCs w:val="20"/>
        </w:rPr>
        <w:t>Aimee</w:t>
      </w:r>
      <w:r w:rsidR="00BE0CF5">
        <w:rPr>
          <w:rFonts w:ascii="Arial" w:hAnsi="Arial" w:cs="Arial"/>
          <w:sz w:val="20"/>
          <w:szCs w:val="20"/>
        </w:rPr>
        <w:t xml:space="preserve">’s scores suggest binge eating and purging represent areas with greater eating disorder pathology relative to other domains, which aligns with the patient’s self-report. Of note, her cognitive restraint and restricting scores likely underestimate the salience of these subscales (and the phenomena they represent), as </w:t>
      </w:r>
      <w:r w:rsidR="00912820">
        <w:rPr>
          <w:rFonts w:ascii="Arial" w:hAnsi="Arial" w:cs="Arial"/>
          <w:sz w:val="20"/>
          <w:szCs w:val="20"/>
        </w:rPr>
        <w:t>Aimee</w:t>
      </w:r>
      <w:r w:rsidR="00BE0CF5">
        <w:rPr>
          <w:rFonts w:ascii="Arial" w:hAnsi="Arial" w:cs="Arial"/>
          <w:sz w:val="20"/>
          <w:szCs w:val="20"/>
        </w:rPr>
        <w:t xml:space="preserve"> reports eating nothing between binge-purge episodes.</w:t>
      </w:r>
    </w:p>
    <w:p w14:paraId="642949E3" w14:textId="77777777" w:rsidR="00F16708" w:rsidRPr="00496317" w:rsidRDefault="00F16708" w:rsidP="00334A8B">
      <w:pPr>
        <w:spacing w:after="0"/>
        <w:jc w:val="both"/>
        <w:rPr>
          <w:rFonts w:ascii="Arial" w:hAnsi="Arial" w:cs="Arial"/>
          <w:b/>
          <w:sz w:val="20"/>
          <w:szCs w:val="20"/>
        </w:rPr>
      </w:pPr>
    </w:p>
    <w:p w14:paraId="33B3C55C" w14:textId="5E6AD5A7" w:rsidR="00262D4D" w:rsidRPr="00496317" w:rsidRDefault="00262D4D" w:rsidP="00334A8B">
      <w:pPr>
        <w:spacing w:after="0"/>
        <w:jc w:val="both"/>
        <w:rPr>
          <w:rFonts w:ascii="Arial" w:hAnsi="Arial" w:cs="Arial"/>
          <w:iCs/>
          <w:sz w:val="20"/>
          <w:szCs w:val="20"/>
        </w:rPr>
      </w:pPr>
      <w:r w:rsidRPr="00496317">
        <w:rPr>
          <w:rFonts w:ascii="Arial" w:hAnsi="Arial" w:cs="Arial"/>
          <w:b/>
          <w:bCs/>
          <w:iCs/>
          <w:sz w:val="20"/>
          <w:szCs w:val="20"/>
        </w:rPr>
        <w:lastRenderedPageBreak/>
        <w:t>The</w:t>
      </w:r>
      <w:r w:rsidRPr="00496317">
        <w:rPr>
          <w:rFonts w:ascii="Arial" w:hAnsi="Arial" w:cs="Arial"/>
          <w:iCs/>
          <w:sz w:val="20"/>
          <w:szCs w:val="20"/>
        </w:rPr>
        <w:t xml:space="preserve"> </w:t>
      </w:r>
      <w:r w:rsidRPr="00496317">
        <w:rPr>
          <w:rFonts w:ascii="Arial" w:hAnsi="Arial" w:cs="Arial"/>
          <w:b/>
          <w:bCs/>
          <w:iCs/>
          <w:sz w:val="20"/>
          <w:szCs w:val="20"/>
        </w:rPr>
        <w:t>Personality</w:t>
      </w:r>
      <w:r w:rsidR="003A7669" w:rsidRPr="00496317">
        <w:rPr>
          <w:rFonts w:ascii="Arial" w:hAnsi="Arial" w:cs="Arial"/>
          <w:b/>
          <w:bCs/>
          <w:iCs/>
          <w:sz w:val="20"/>
          <w:szCs w:val="20"/>
        </w:rPr>
        <w:t xml:space="preserve"> Assessment</w:t>
      </w:r>
      <w:r w:rsidRPr="00496317">
        <w:rPr>
          <w:rFonts w:ascii="Arial" w:hAnsi="Arial" w:cs="Arial"/>
          <w:b/>
          <w:bCs/>
          <w:iCs/>
          <w:sz w:val="20"/>
          <w:szCs w:val="20"/>
        </w:rPr>
        <w:t xml:space="preserve"> Inventory (</w:t>
      </w:r>
      <w:r w:rsidR="003A7669" w:rsidRPr="00496317">
        <w:rPr>
          <w:rFonts w:ascii="Arial" w:hAnsi="Arial" w:cs="Arial"/>
          <w:b/>
          <w:bCs/>
          <w:iCs/>
          <w:sz w:val="20"/>
          <w:szCs w:val="20"/>
        </w:rPr>
        <w:t>PAI</w:t>
      </w:r>
      <w:r w:rsidRPr="00496317">
        <w:rPr>
          <w:rFonts w:ascii="Arial" w:hAnsi="Arial" w:cs="Arial"/>
          <w:b/>
          <w:bCs/>
          <w:iCs/>
          <w:sz w:val="20"/>
          <w:szCs w:val="20"/>
        </w:rPr>
        <w:t xml:space="preserve">) </w:t>
      </w:r>
      <w:r w:rsidRPr="00496317">
        <w:rPr>
          <w:rFonts w:ascii="Arial" w:hAnsi="Arial" w:cs="Arial"/>
          <w:iCs/>
          <w:sz w:val="20"/>
          <w:szCs w:val="20"/>
        </w:rPr>
        <w:t xml:space="preserve">is a </w:t>
      </w:r>
      <w:r w:rsidR="003A7669" w:rsidRPr="00496317">
        <w:rPr>
          <w:rFonts w:ascii="Arial" w:hAnsi="Arial" w:cs="Arial"/>
          <w:iCs/>
          <w:sz w:val="20"/>
          <w:szCs w:val="20"/>
        </w:rPr>
        <w:t xml:space="preserve">self-report, objective test of personality and psychopathology designed to provide information on critical aspects of adult </w:t>
      </w:r>
      <w:r w:rsidR="00720202">
        <w:rPr>
          <w:rFonts w:ascii="Arial" w:hAnsi="Arial" w:cs="Arial"/>
          <w:iCs/>
          <w:sz w:val="20"/>
          <w:szCs w:val="20"/>
        </w:rPr>
        <w:t>patient</w:t>
      </w:r>
      <w:r w:rsidR="003A7669" w:rsidRPr="00496317">
        <w:rPr>
          <w:rFonts w:ascii="Arial" w:hAnsi="Arial" w:cs="Arial"/>
          <w:iCs/>
          <w:sz w:val="20"/>
          <w:szCs w:val="20"/>
        </w:rPr>
        <w:t xml:space="preserve">s. Scales </w:t>
      </w:r>
      <w:r w:rsidRPr="00496317">
        <w:rPr>
          <w:rFonts w:ascii="Arial" w:hAnsi="Arial" w:cs="Arial"/>
          <w:iCs/>
          <w:sz w:val="20"/>
          <w:szCs w:val="20"/>
        </w:rPr>
        <w:t xml:space="preserve">yield T-scores with a mean of 50 and a standard deviation of 10. Scale scores greater than </w:t>
      </w:r>
      <w:r w:rsidR="003A7669" w:rsidRPr="00496317">
        <w:rPr>
          <w:rFonts w:ascii="Arial" w:hAnsi="Arial" w:cs="Arial"/>
          <w:iCs/>
          <w:sz w:val="20"/>
          <w:szCs w:val="20"/>
        </w:rPr>
        <w:t xml:space="preserve">70 are unusual in the general population and likely indicate problems of clinical significance. PAI scales do not, on their own, provide adequate </w:t>
      </w:r>
      <w:r w:rsidRPr="00496317">
        <w:rPr>
          <w:rFonts w:ascii="Arial" w:hAnsi="Arial" w:cs="Arial"/>
          <w:iCs/>
          <w:sz w:val="20"/>
          <w:szCs w:val="20"/>
        </w:rPr>
        <w:t>evidence for specific diagnoses. Rather the symptoms and be</w:t>
      </w:r>
      <w:r w:rsidR="003A7669" w:rsidRPr="00496317">
        <w:rPr>
          <w:rFonts w:ascii="Arial" w:hAnsi="Arial" w:cs="Arial"/>
          <w:iCs/>
          <w:sz w:val="20"/>
          <w:szCs w:val="20"/>
        </w:rPr>
        <w:t>haviors documented by the PAI</w:t>
      </w:r>
      <w:r w:rsidRPr="00496317">
        <w:rPr>
          <w:rFonts w:ascii="Arial" w:hAnsi="Arial" w:cs="Arial"/>
          <w:iCs/>
          <w:sz w:val="20"/>
          <w:szCs w:val="20"/>
        </w:rPr>
        <w:t xml:space="preserve"> can support diagnostic conclusions</w:t>
      </w:r>
      <w:r w:rsidR="00E600D1" w:rsidRPr="00496317">
        <w:rPr>
          <w:rFonts w:ascii="Arial" w:hAnsi="Arial" w:cs="Arial"/>
          <w:iCs/>
          <w:sz w:val="20"/>
          <w:szCs w:val="20"/>
        </w:rPr>
        <w:t>.</w:t>
      </w:r>
    </w:p>
    <w:p w14:paraId="1C3C5242" w14:textId="512C7C0D" w:rsidR="00E47650" w:rsidRPr="00496317" w:rsidRDefault="00E47650" w:rsidP="00262D4D">
      <w:pPr>
        <w:spacing w:after="0"/>
        <w:rPr>
          <w:rFonts w:ascii="Arial" w:hAnsi="Arial" w:cs="Arial"/>
          <w:iCs/>
          <w:sz w:val="20"/>
          <w:szCs w:val="20"/>
        </w:rPr>
      </w:pPr>
    </w:p>
    <w:p w14:paraId="12A72D5F" w14:textId="47154251" w:rsidR="00262D4D" w:rsidRPr="00496317" w:rsidRDefault="00E47650" w:rsidP="0015377B">
      <w:pPr>
        <w:spacing w:after="0"/>
        <w:jc w:val="both"/>
        <w:rPr>
          <w:rFonts w:ascii="Arial" w:hAnsi="Arial" w:cs="Arial"/>
          <w:iCs/>
          <w:sz w:val="20"/>
          <w:szCs w:val="20"/>
        </w:rPr>
      </w:pPr>
      <w:r w:rsidRPr="00496317">
        <w:rPr>
          <w:rFonts w:ascii="Arial" w:hAnsi="Arial" w:cs="Arial"/>
          <w:iCs/>
          <w:sz w:val="20"/>
          <w:szCs w:val="20"/>
        </w:rPr>
        <w:t xml:space="preserve">Upon inspection of the validity scales, </w:t>
      </w:r>
      <w:r w:rsidR="00912820">
        <w:rPr>
          <w:rFonts w:ascii="Arial" w:hAnsi="Arial" w:cs="Arial"/>
          <w:iCs/>
          <w:sz w:val="20"/>
          <w:szCs w:val="20"/>
        </w:rPr>
        <w:t>Aimee</w:t>
      </w:r>
      <w:r w:rsidR="00CB2288" w:rsidRPr="00496317">
        <w:rPr>
          <w:rFonts w:ascii="Arial" w:hAnsi="Arial" w:cs="Arial"/>
          <w:iCs/>
          <w:sz w:val="20"/>
          <w:szCs w:val="20"/>
        </w:rPr>
        <w:t>’s</w:t>
      </w:r>
      <w:r w:rsidRPr="00496317">
        <w:rPr>
          <w:rFonts w:ascii="Arial" w:hAnsi="Arial" w:cs="Arial"/>
          <w:iCs/>
          <w:sz w:val="20"/>
          <w:szCs w:val="20"/>
        </w:rPr>
        <w:t xml:space="preserve"> profile </w:t>
      </w:r>
      <w:r w:rsidR="00CC549C" w:rsidRPr="00496317">
        <w:rPr>
          <w:rFonts w:ascii="Arial" w:hAnsi="Arial" w:cs="Arial"/>
          <w:iCs/>
          <w:sz w:val="20"/>
          <w:szCs w:val="20"/>
        </w:rPr>
        <w:t>appears to</w:t>
      </w:r>
      <w:r w:rsidRPr="00496317">
        <w:rPr>
          <w:rFonts w:ascii="Arial" w:hAnsi="Arial" w:cs="Arial"/>
          <w:iCs/>
          <w:sz w:val="20"/>
          <w:szCs w:val="20"/>
        </w:rPr>
        <w:t xml:space="preserve"> be </w:t>
      </w:r>
      <w:r w:rsidR="00CC549C" w:rsidRPr="00496317">
        <w:rPr>
          <w:rFonts w:ascii="Arial" w:hAnsi="Arial" w:cs="Arial"/>
          <w:iCs/>
          <w:sz w:val="20"/>
          <w:szCs w:val="20"/>
        </w:rPr>
        <w:t>valid</w:t>
      </w:r>
      <w:r w:rsidRPr="00496317">
        <w:rPr>
          <w:rFonts w:ascii="Arial" w:hAnsi="Arial" w:cs="Arial"/>
          <w:iCs/>
          <w:sz w:val="20"/>
          <w:szCs w:val="20"/>
        </w:rPr>
        <w:t xml:space="preserve">. </w:t>
      </w:r>
      <w:r w:rsidR="00E64A9D" w:rsidRPr="00496317">
        <w:rPr>
          <w:rFonts w:ascii="Arial" w:hAnsi="Arial" w:cs="Arial"/>
          <w:iCs/>
          <w:sz w:val="20"/>
          <w:szCs w:val="20"/>
        </w:rPr>
        <w:t xml:space="preserve">Her scores </w:t>
      </w:r>
      <w:r w:rsidR="009A3B85" w:rsidRPr="00496317">
        <w:rPr>
          <w:rFonts w:ascii="Arial" w:hAnsi="Arial" w:cs="Arial"/>
          <w:iCs/>
          <w:sz w:val="20"/>
          <w:szCs w:val="20"/>
        </w:rPr>
        <w:t>indicate</w:t>
      </w:r>
      <w:r w:rsidR="00E64A9D" w:rsidRPr="00496317">
        <w:rPr>
          <w:rFonts w:ascii="Arial" w:hAnsi="Arial" w:cs="Arial"/>
          <w:iCs/>
          <w:sz w:val="20"/>
          <w:szCs w:val="20"/>
        </w:rPr>
        <w:t xml:space="preserve"> that she attended appropriately to item content</w:t>
      </w:r>
      <w:r w:rsidR="00CC549C" w:rsidRPr="00496317">
        <w:rPr>
          <w:rFonts w:ascii="Arial" w:hAnsi="Arial" w:cs="Arial"/>
          <w:iCs/>
          <w:sz w:val="20"/>
          <w:szCs w:val="20"/>
        </w:rPr>
        <w:t xml:space="preserve"> and </w:t>
      </w:r>
      <w:r w:rsidR="00E64A9D" w:rsidRPr="00496317">
        <w:rPr>
          <w:rFonts w:ascii="Arial" w:hAnsi="Arial" w:cs="Arial"/>
          <w:iCs/>
          <w:sz w:val="20"/>
          <w:szCs w:val="20"/>
        </w:rPr>
        <w:t>responded in a consistent fashion to similar items</w:t>
      </w:r>
      <w:r w:rsidR="00CC549C" w:rsidRPr="00496317">
        <w:rPr>
          <w:rFonts w:ascii="Arial" w:hAnsi="Arial" w:cs="Arial"/>
          <w:iCs/>
          <w:sz w:val="20"/>
          <w:szCs w:val="20"/>
        </w:rPr>
        <w:t xml:space="preserve">. </w:t>
      </w:r>
      <w:r w:rsidR="009A3B85" w:rsidRPr="00496317">
        <w:rPr>
          <w:rFonts w:ascii="Arial" w:hAnsi="Arial" w:cs="Arial"/>
          <w:iCs/>
          <w:sz w:val="20"/>
          <w:szCs w:val="20"/>
        </w:rPr>
        <w:t xml:space="preserve">With respect </w:t>
      </w:r>
      <w:r w:rsidR="00334A8B" w:rsidRPr="00496317">
        <w:rPr>
          <w:rFonts w:ascii="Arial" w:hAnsi="Arial" w:cs="Arial"/>
          <w:iCs/>
          <w:sz w:val="20"/>
          <w:szCs w:val="20"/>
        </w:rPr>
        <w:t>to</w:t>
      </w:r>
      <w:r w:rsidR="009A3B85" w:rsidRPr="00496317">
        <w:rPr>
          <w:rFonts w:ascii="Arial" w:hAnsi="Arial" w:cs="Arial"/>
          <w:iCs/>
          <w:sz w:val="20"/>
          <w:szCs w:val="20"/>
        </w:rPr>
        <w:t xml:space="preserve"> impression management, there is no evidence to suggest that </w:t>
      </w:r>
      <w:r w:rsidR="00912820">
        <w:rPr>
          <w:rFonts w:ascii="Arial" w:hAnsi="Arial" w:cs="Arial"/>
          <w:iCs/>
          <w:sz w:val="20"/>
          <w:szCs w:val="20"/>
        </w:rPr>
        <w:t>Aimee</w:t>
      </w:r>
      <w:r w:rsidR="009A3B85" w:rsidRPr="00496317">
        <w:rPr>
          <w:rFonts w:ascii="Arial" w:hAnsi="Arial" w:cs="Arial"/>
          <w:iCs/>
          <w:sz w:val="20"/>
          <w:szCs w:val="20"/>
        </w:rPr>
        <w:t xml:space="preserve"> was motivated to portray herself in an especially favorable or pathological light.</w:t>
      </w:r>
    </w:p>
    <w:p w14:paraId="1860FE8B" w14:textId="77777777" w:rsidR="00262D4D" w:rsidRPr="00496317" w:rsidRDefault="00262D4D" w:rsidP="00262D4D">
      <w:pPr>
        <w:spacing w:after="0"/>
        <w:rPr>
          <w:rFonts w:ascii="Arial" w:hAnsi="Arial" w:cs="Arial"/>
          <w:i/>
          <w:sz w:val="20"/>
          <w:szCs w:val="20"/>
          <w:highlight w:val="yellow"/>
        </w:rPr>
      </w:pPr>
    </w:p>
    <w:p w14:paraId="6FB6C782" w14:textId="7EB15471" w:rsidR="00270EE3" w:rsidRPr="00496317" w:rsidRDefault="00912820" w:rsidP="00FF2965">
      <w:pPr>
        <w:spacing w:after="0"/>
        <w:jc w:val="both"/>
        <w:rPr>
          <w:rFonts w:ascii="Arial" w:hAnsi="Arial" w:cs="Arial"/>
          <w:iCs/>
          <w:sz w:val="20"/>
          <w:szCs w:val="20"/>
        </w:rPr>
      </w:pPr>
      <w:r>
        <w:rPr>
          <w:rFonts w:ascii="Arial" w:hAnsi="Arial" w:cs="Arial"/>
          <w:iCs/>
          <w:sz w:val="20"/>
          <w:szCs w:val="20"/>
        </w:rPr>
        <w:t>Aimee</w:t>
      </w:r>
      <w:r w:rsidR="00CB2288" w:rsidRPr="00496317">
        <w:rPr>
          <w:rFonts w:ascii="Arial" w:hAnsi="Arial" w:cs="Arial"/>
          <w:iCs/>
          <w:sz w:val="20"/>
          <w:szCs w:val="20"/>
        </w:rPr>
        <w:t>’s</w:t>
      </w:r>
      <w:r w:rsidR="00262D4D" w:rsidRPr="00496317">
        <w:rPr>
          <w:rFonts w:ascii="Arial" w:hAnsi="Arial" w:cs="Arial"/>
          <w:iCs/>
          <w:sz w:val="20"/>
          <w:szCs w:val="20"/>
        </w:rPr>
        <w:t xml:space="preserve"> </w:t>
      </w:r>
      <w:r w:rsidR="00270EE3" w:rsidRPr="00496317">
        <w:rPr>
          <w:rFonts w:ascii="Arial" w:hAnsi="Arial" w:cs="Arial"/>
          <w:iCs/>
          <w:sz w:val="20"/>
          <w:szCs w:val="20"/>
        </w:rPr>
        <w:t>full-scale</w:t>
      </w:r>
      <w:r w:rsidR="00EE7F20" w:rsidRPr="00496317">
        <w:rPr>
          <w:rFonts w:ascii="Arial" w:hAnsi="Arial" w:cs="Arial"/>
          <w:iCs/>
          <w:sz w:val="20"/>
          <w:szCs w:val="20"/>
        </w:rPr>
        <w:t xml:space="preserve"> </w:t>
      </w:r>
      <w:r w:rsidR="000B070B" w:rsidRPr="00496317">
        <w:rPr>
          <w:rFonts w:ascii="Arial" w:hAnsi="Arial" w:cs="Arial"/>
          <w:iCs/>
          <w:sz w:val="20"/>
          <w:szCs w:val="20"/>
        </w:rPr>
        <w:t xml:space="preserve">profile </w:t>
      </w:r>
      <w:r w:rsidR="001175BE" w:rsidRPr="00496317">
        <w:rPr>
          <w:rFonts w:ascii="Arial" w:hAnsi="Arial" w:cs="Arial"/>
          <w:iCs/>
          <w:sz w:val="20"/>
          <w:szCs w:val="20"/>
        </w:rPr>
        <w:t>revealed elevations across several scales,</w:t>
      </w:r>
      <w:r w:rsidR="000B070B" w:rsidRPr="00496317">
        <w:rPr>
          <w:rFonts w:ascii="Arial" w:hAnsi="Arial" w:cs="Arial"/>
          <w:iCs/>
          <w:sz w:val="20"/>
          <w:szCs w:val="20"/>
        </w:rPr>
        <w:t xml:space="preserve"> including Depression (DEP, T-score = </w:t>
      </w:r>
      <w:r w:rsidR="00DD156B" w:rsidRPr="00496317">
        <w:rPr>
          <w:rFonts w:ascii="Arial" w:hAnsi="Arial" w:cs="Arial"/>
          <w:iCs/>
          <w:sz w:val="20"/>
          <w:szCs w:val="20"/>
        </w:rPr>
        <w:t>82</w:t>
      </w:r>
      <w:r w:rsidR="000B070B" w:rsidRPr="00496317">
        <w:rPr>
          <w:rFonts w:ascii="Arial" w:hAnsi="Arial" w:cs="Arial"/>
          <w:iCs/>
          <w:sz w:val="20"/>
          <w:szCs w:val="20"/>
        </w:rPr>
        <w:t>)</w:t>
      </w:r>
      <w:r w:rsidR="00310C45">
        <w:rPr>
          <w:rFonts w:ascii="Arial" w:hAnsi="Arial" w:cs="Arial"/>
          <w:iCs/>
          <w:sz w:val="20"/>
          <w:szCs w:val="20"/>
        </w:rPr>
        <w:t xml:space="preserve"> and</w:t>
      </w:r>
      <w:r w:rsidR="00DD156B" w:rsidRPr="00496317">
        <w:rPr>
          <w:rFonts w:ascii="Arial" w:hAnsi="Arial" w:cs="Arial"/>
          <w:iCs/>
          <w:sz w:val="20"/>
          <w:szCs w:val="20"/>
        </w:rPr>
        <w:t xml:space="preserve"> Suicidal Ideation (SUI, T-score = 70)</w:t>
      </w:r>
      <w:r w:rsidR="00310C45">
        <w:rPr>
          <w:rFonts w:ascii="Arial" w:hAnsi="Arial" w:cs="Arial"/>
          <w:iCs/>
          <w:sz w:val="20"/>
          <w:szCs w:val="20"/>
        </w:rPr>
        <w:t xml:space="preserve">. </w:t>
      </w:r>
      <w:r w:rsidR="00A2729F" w:rsidRPr="00496317">
        <w:rPr>
          <w:rFonts w:ascii="Arial" w:hAnsi="Arial" w:cs="Arial"/>
          <w:iCs/>
          <w:sz w:val="20"/>
          <w:szCs w:val="20"/>
        </w:rPr>
        <w:t xml:space="preserve">She </w:t>
      </w:r>
      <w:r w:rsidR="00270EE3" w:rsidRPr="00496317">
        <w:rPr>
          <w:rFonts w:ascii="Arial" w:hAnsi="Arial" w:cs="Arial"/>
          <w:iCs/>
          <w:sz w:val="20"/>
          <w:szCs w:val="20"/>
        </w:rPr>
        <w:t>endorsed a number of difficulties consistent with a significant depressive experience</w:t>
      </w:r>
      <w:r w:rsidR="00A2729F" w:rsidRPr="00496317">
        <w:rPr>
          <w:rFonts w:ascii="Arial" w:hAnsi="Arial" w:cs="Arial"/>
          <w:iCs/>
          <w:sz w:val="20"/>
          <w:szCs w:val="20"/>
        </w:rPr>
        <w:t xml:space="preserve"> such as</w:t>
      </w:r>
      <w:r w:rsidR="00270EE3" w:rsidRPr="00496317">
        <w:rPr>
          <w:rFonts w:ascii="Arial" w:hAnsi="Arial" w:cs="Arial"/>
          <w:iCs/>
          <w:sz w:val="20"/>
          <w:szCs w:val="20"/>
        </w:rPr>
        <w:t xml:space="preserve"> thoughts of worthlessness and personal failure, though elevations in the Depression subscales appear to stem from the affective </w:t>
      </w:r>
      <w:r w:rsidR="00310C45">
        <w:rPr>
          <w:rFonts w:ascii="Arial" w:hAnsi="Arial" w:cs="Arial"/>
          <w:iCs/>
          <w:sz w:val="20"/>
          <w:szCs w:val="20"/>
        </w:rPr>
        <w:t>domain</w:t>
      </w:r>
      <w:r w:rsidR="00270EE3" w:rsidRPr="00496317">
        <w:rPr>
          <w:rFonts w:ascii="Arial" w:hAnsi="Arial" w:cs="Arial"/>
          <w:iCs/>
          <w:sz w:val="20"/>
          <w:szCs w:val="20"/>
        </w:rPr>
        <w:t xml:space="preserve"> (DEP-A, T-score = 85). </w:t>
      </w:r>
      <w:r>
        <w:rPr>
          <w:rFonts w:ascii="Arial" w:hAnsi="Arial" w:cs="Arial"/>
          <w:iCs/>
          <w:sz w:val="20"/>
          <w:szCs w:val="20"/>
        </w:rPr>
        <w:t>Aimee</w:t>
      </w:r>
      <w:r w:rsidR="00270EE3" w:rsidRPr="00496317">
        <w:rPr>
          <w:rFonts w:ascii="Arial" w:hAnsi="Arial" w:cs="Arial"/>
          <w:iCs/>
          <w:sz w:val="20"/>
          <w:szCs w:val="20"/>
        </w:rPr>
        <w:t xml:space="preserve"> admits openly to feelings of sadness, a loss of interest in normal activities, and a lack of pleasure derived from experiences she previously enjoyed. </w:t>
      </w:r>
    </w:p>
    <w:p w14:paraId="33568F12" w14:textId="77777777" w:rsidR="00270EE3" w:rsidRPr="00496317" w:rsidRDefault="00270EE3" w:rsidP="00FF2965">
      <w:pPr>
        <w:spacing w:after="0"/>
        <w:jc w:val="both"/>
        <w:rPr>
          <w:rFonts w:ascii="Arial" w:hAnsi="Arial" w:cs="Arial"/>
          <w:iCs/>
          <w:sz w:val="20"/>
          <w:szCs w:val="20"/>
        </w:rPr>
      </w:pPr>
    </w:p>
    <w:p w14:paraId="4A26C1AE" w14:textId="0430B8D8" w:rsidR="00270EE3" w:rsidRPr="00496317" w:rsidRDefault="00912820" w:rsidP="00270EE3">
      <w:pPr>
        <w:spacing w:after="0"/>
        <w:jc w:val="both"/>
        <w:rPr>
          <w:rFonts w:ascii="Arial" w:hAnsi="Arial" w:cs="Arial"/>
          <w:iCs/>
          <w:sz w:val="20"/>
          <w:szCs w:val="20"/>
        </w:rPr>
      </w:pPr>
      <w:r>
        <w:rPr>
          <w:rFonts w:ascii="Arial" w:hAnsi="Arial" w:cs="Arial"/>
          <w:iCs/>
          <w:sz w:val="20"/>
          <w:szCs w:val="20"/>
        </w:rPr>
        <w:t>Aimee</w:t>
      </w:r>
      <w:r w:rsidR="00FF2965" w:rsidRPr="00496317">
        <w:rPr>
          <w:rFonts w:ascii="Arial" w:hAnsi="Arial" w:cs="Arial"/>
          <w:iCs/>
          <w:sz w:val="20"/>
          <w:szCs w:val="20"/>
        </w:rPr>
        <w:t xml:space="preserve"> </w:t>
      </w:r>
      <w:r w:rsidR="004A7CC9" w:rsidRPr="00496317">
        <w:rPr>
          <w:rFonts w:ascii="Arial" w:hAnsi="Arial" w:cs="Arial"/>
          <w:iCs/>
          <w:sz w:val="20"/>
          <w:szCs w:val="20"/>
        </w:rPr>
        <w:t xml:space="preserve">also </w:t>
      </w:r>
      <w:r w:rsidR="00FF2965" w:rsidRPr="00496317">
        <w:rPr>
          <w:rFonts w:ascii="Arial" w:hAnsi="Arial" w:cs="Arial"/>
          <w:iCs/>
          <w:sz w:val="20"/>
          <w:szCs w:val="20"/>
        </w:rPr>
        <w:t xml:space="preserve">endorsed responses indicating recurrent suicidal </w:t>
      </w:r>
      <w:r w:rsidR="00486250" w:rsidRPr="00496317">
        <w:rPr>
          <w:rFonts w:ascii="Arial" w:hAnsi="Arial" w:cs="Arial"/>
          <w:iCs/>
          <w:sz w:val="20"/>
          <w:szCs w:val="20"/>
        </w:rPr>
        <w:t>thoughts</w:t>
      </w:r>
      <w:r w:rsidR="00FF2965" w:rsidRPr="00496317">
        <w:rPr>
          <w:rFonts w:ascii="Arial" w:hAnsi="Arial" w:cs="Arial"/>
          <w:iCs/>
          <w:sz w:val="20"/>
          <w:szCs w:val="20"/>
        </w:rPr>
        <w:t xml:space="preserve">, consistent with her self-report during the clinical interview and risk assessment. Safety planning and regular follow-up regarding the details of her suicidal </w:t>
      </w:r>
      <w:r w:rsidR="00486250" w:rsidRPr="00496317">
        <w:rPr>
          <w:rFonts w:ascii="Arial" w:hAnsi="Arial" w:cs="Arial"/>
          <w:iCs/>
          <w:sz w:val="20"/>
          <w:szCs w:val="20"/>
        </w:rPr>
        <w:t>ideation</w:t>
      </w:r>
      <w:r w:rsidR="00FF2965" w:rsidRPr="00496317">
        <w:rPr>
          <w:rFonts w:ascii="Arial" w:hAnsi="Arial" w:cs="Arial"/>
          <w:iCs/>
          <w:sz w:val="20"/>
          <w:szCs w:val="20"/>
        </w:rPr>
        <w:t xml:space="preserve"> and the potential for suicidal behavior is warranted</w:t>
      </w:r>
      <w:r w:rsidR="00270EE3" w:rsidRPr="00496317">
        <w:rPr>
          <w:rFonts w:ascii="Arial" w:hAnsi="Arial" w:cs="Arial"/>
          <w:iCs/>
          <w:sz w:val="20"/>
          <w:szCs w:val="20"/>
        </w:rPr>
        <w:t>.</w:t>
      </w:r>
      <w:r w:rsidR="00486250" w:rsidRPr="00496317">
        <w:rPr>
          <w:rFonts w:ascii="Arial" w:hAnsi="Arial" w:cs="Arial"/>
          <w:iCs/>
          <w:sz w:val="20"/>
          <w:szCs w:val="20"/>
        </w:rPr>
        <w:t xml:space="preserve"> Finally, </w:t>
      </w:r>
      <w:r>
        <w:rPr>
          <w:rFonts w:ascii="Arial" w:hAnsi="Arial" w:cs="Arial"/>
          <w:iCs/>
          <w:sz w:val="20"/>
          <w:szCs w:val="20"/>
        </w:rPr>
        <w:t>Aimee</w:t>
      </w:r>
      <w:r w:rsidR="00270EE3" w:rsidRPr="00496317">
        <w:rPr>
          <w:rFonts w:ascii="Arial" w:hAnsi="Arial" w:cs="Arial"/>
          <w:iCs/>
          <w:sz w:val="20"/>
          <w:szCs w:val="20"/>
        </w:rPr>
        <w:t xml:space="preserve"> indicated some concerns</w:t>
      </w:r>
      <w:r w:rsidR="00310C45">
        <w:rPr>
          <w:rFonts w:ascii="Arial" w:hAnsi="Arial" w:cs="Arial"/>
          <w:iCs/>
          <w:sz w:val="20"/>
          <w:szCs w:val="20"/>
        </w:rPr>
        <w:t xml:space="preserve"> (Somatic Concerns, SOM, T-score = 65)</w:t>
      </w:r>
      <w:r w:rsidR="00270EE3" w:rsidRPr="00496317">
        <w:rPr>
          <w:rFonts w:ascii="Arial" w:hAnsi="Arial" w:cs="Arial"/>
          <w:iCs/>
          <w:sz w:val="20"/>
          <w:szCs w:val="20"/>
        </w:rPr>
        <w:t xml:space="preserve"> about physical functioning and health matters in general</w:t>
      </w:r>
      <w:r w:rsidR="00486250" w:rsidRPr="00496317">
        <w:rPr>
          <w:rFonts w:ascii="Arial" w:hAnsi="Arial" w:cs="Arial"/>
          <w:iCs/>
          <w:sz w:val="20"/>
          <w:szCs w:val="20"/>
        </w:rPr>
        <w:t xml:space="preserve">, consistent with her self-report during the intake process regarding </w:t>
      </w:r>
      <w:r w:rsidR="003E39C8" w:rsidRPr="00496317">
        <w:rPr>
          <w:rFonts w:ascii="Arial" w:hAnsi="Arial" w:cs="Arial"/>
          <w:iCs/>
          <w:sz w:val="20"/>
          <w:szCs w:val="20"/>
        </w:rPr>
        <w:t xml:space="preserve">fear of </w:t>
      </w:r>
      <w:r w:rsidR="00486250" w:rsidRPr="00496317">
        <w:rPr>
          <w:rFonts w:ascii="Arial" w:hAnsi="Arial" w:cs="Arial"/>
          <w:iCs/>
          <w:sz w:val="20"/>
          <w:szCs w:val="20"/>
        </w:rPr>
        <w:t xml:space="preserve">physical </w:t>
      </w:r>
      <w:r w:rsidR="00270EE3" w:rsidRPr="00496317">
        <w:rPr>
          <w:rFonts w:ascii="Arial" w:hAnsi="Arial" w:cs="Arial"/>
          <w:iCs/>
          <w:sz w:val="20"/>
          <w:szCs w:val="20"/>
        </w:rPr>
        <w:t xml:space="preserve">health </w:t>
      </w:r>
      <w:r w:rsidR="00486250" w:rsidRPr="00496317">
        <w:rPr>
          <w:rFonts w:ascii="Arial" w:hAnsi="Arial" w:cs="Arial"/>
          <w:iCs/>
          <w:sz w:val="20"/>
          <w:szCs w:val="20"/>
        </w:rPr>
        <w:t xml:space="preserve">problems associated with </w:t>
      </w:r>
      <w:r w:rsidR="004A7CC9" w:rsidRPr="00496317">
        <w:rPr>
          <w:rFonts w:ascii="Arial" w:hAnsi="Arial" w:cs="Arial"/>
          <w:iCs/>
          <w:sz w:val="20"/>
          <w:szCs w:val="20"/>
        </w:rPr>
        <w:t>disordered eating behaviors</w:t>
      </w:r>
      <w:r w:rsidR="003E39C8" w:rsidRPr="00496317">
        <w:rPr>
          <w:rFonts w:ascii="Arial" w:hAnsi="Arial" w:cs="Arial"/>
          <w:iCs/>
          <w:sz w:val="20"/>
          <w:szCs w:val="20"/>
        </w:rPr>
        <w:t xml:space="preserve"> (i.e., restricting, binging, and purging).</w:t>
      </w:r>
      <w:r w:rsidR="00FE7AD4" w:rsidRPr="00496317">
        <w:rPr>
          <w:rFonts w:ascii="Arial" w:hAnsi="Arial" w:cs="Arial"/>
          <w:iCs/>
          <w:sz w:val="20"/>
          <w:szCs w:val="20"/>
        </w:rPr>
        <w:t xml:space="preserve"> </w:t>
      </w:r>
      <w:r w:rsidR="004A7CC9" w:rsidRPr="00496317">
        <w:rPr>
          <w:rFonts w:ascii="Arial" w:hAnsi="Arial" w:cs="Arial"/>
          <w:iCs/>
          <w:sz w:val="20"/>
          <w:szCs w:val="20"/>
        </w:rPr>
        <w:t xml:space="preserve">Collectively, this constellation of symptoms impairs </w:t>
      </w:r>
      <w:r>
        <w:rPr>
          <w:rFonts w:ascii="Arial" w:hAnsi="Arial" w:cs="Arial"/>
          <w:iCs/>
          <w:sz w:val="20"/>
          <w:szCs w:val="20"/>
        </w:rPr>
        <w:t>Aimee</w:t>
      </w:r>
      <w:r w:rsidR="004A7CC9" w:rsidRPr="00496317">
        <w:rPr>
          <w:rFonts w:ascii="Arial" w:hAnsi="Arial" w:cs="Arial"/>
          <w:iCs/>
          <w:sz w:val="20"/>
          <w:szCs w:val="20"/>
        </w:rPr>
        <w:t>’s ability to participate fully in life.</w:t>
      </w:r>
    </w:p>
    <w:p w14:paraId="5823D2E9" w14:textId="77777777" w:rsidR="00FE7AD4" w:rsidRPr="00496317" w:rsidRDefault="00FE7AD4" w:rsidP="00270EE3">
      <w:pPr>
        <w:spacing w:after="0"/>
        <w:jc w:val="both"/>
        <w:rPr>
          <w:rFonts w:ascii="Arial" w:hAnsi="Arial" w:cs="Arial"/>
          <w:iCs/>
          <w:sz w:val="20"/>
          <w:szCs w:val="20"/>
        </w:rPr>
      </w:pPr>
    </w:p>
    <w:p w14:paraId="4E5D6FB3" w14:textId="27EDE9A2" w:rsidR="00CA09F7" w:rsidRPr="00496317" w:rsidRDefault="00FE7AD4" w:rsidP="00CA09F7">
      <w:pPr>
        <w:spacing w:after="0"/>
        <w:jc w:val="both"/>
        <w:rPr>
          <w:rFonts w:ascii="Arial" w:hAnsi="Arial" w:cs="Arial"/>
          <w:iCs/>
          <w:sz w:val="20"/>
          <w:szCs w:val="20"/>
        </w:rPr>
      </w:pPr>
      <w:r w:rsidRPr="00496317">
        <w:rPr>
          <w:rFonts w:ascii="Arial" w:hAnsi="Arial" w:cs="Arial"/>
          <w:b/>
          <w:bCs/>
          <w:iCs/>
          <w:sz w:val="20"/>
          <w:szCs w:val="20"/>
        </w:rPr>
        <w:t>T</w:t>
      </w:r>
      <w:r w:rsidR="00CA09F7" w:rsidRPr="00496317">
        <w:rPr>
          <w:rFonts w:ascii="Arial" w:hAnsi="Arial" w:cs="Arial"/>
          <w:b/>
          <w:bCs/>
          <w:iCs/>
          <w:sz w:val="20"/>
          <w:szCs w:val="20"/>
        </w:rPr>
        <w:t>he</w:t>
      </w:r>
      <w:r w:rsidR="00CA09F7" w:rsidRPr="00496317">
        <w:rPr>
          <w:rFonts w:ascii="Arial" w:hAnsi="Arial" w:cs="Arial"/>
          <w:iCs/>
          <w:sz w:val="20"/>
          <w:szCs w:val="20"/>
        </w:rPr>
        <w:t xml:space="preserve"> </w:t>
      </w:r>
      <w:proofErr w:type="spellStart"/>
      <w:r w:rsidR="00CA09F7" w:rsidRPr="00496317">
        <w:rPr>
          <w:rFonts w:ascii="Arial" w:hAnsi="Arial" w:cs="Arial"/>
          <w:b/>
          <w:iCs/>
          <w:sz w:val="20"/>
          <w:szCs w:val="20"/>
        </w:rPr>
        <w:t>HiTOP</w:t>
      </w:r>
      <w:proofErr w:type="spellEnd"/>
      <w:r w:rsidR="00CA09F7" w:rsidRPr="00496317">
        <w:rPr>
          <w:rFonts w:ascii="Arial" w:hAnsi="Arial" w:cs="Arial"/>
          <w:b/>
          <w:iCs/>
          <w:sz w:val="20"/>
          <w:szCs w:val="20"/>
        </w:rPr>
        <w:t>-Digital Assessment and Tracker (</w:t>
      </w:r>
      <w:proofErr w:type="spellStart"/>
      <w:r w:rsidR="00CA09F7" w:rsidRPr="00496317">
        <w:rPr>
          <w:rFonts w:ascii="Arial" w:hAnsi="Arial" w:cs="Arial"/>
          <w:b/>
          <w:iCs/>
          <w:sz w:val="20"/>
          <w:szCs w:val="20"/>
        </w:rPr>
        <w:t>HiTOP</w:t>
      </w:r>
      <w:proofErr w:type="spellEnd"/>
      <w:r w:rsidR="00CA09F7" w:rsidRPr="00496317">
        <w:rPr>
          <w:rFonts w:ascii="Arial" w:hAnsi="Arial" w:cs="Arial"/>
          <w:b/>
          <w:iCs/>
          <w:sz w:val="20"/>
          <w:szCs w:val="20"/>
        </w:rPr>
        <w:t>-DAT)</w:t>
      </w:r>
      <w:r w:rsidRPr="00496317">
        <w:rPr>
          <w:rFonts w:ascii="Arial" w:hAnsi="Arial" w:cs="Arial"/>
          <w:iCs/>
          <w:sz w:val="20"/>
          <w:szCs w:val="20"/>
        </w:rPr>
        <w:t xml:space="preserve"> is</w:t>
      </w:r>
      <w:r w:rsidR="00CA09F7" w:rsidRPr="00496317">
        <w:rPr>
          <w:rFonts w:ascii="Arial" w:hAnsi="Arial" w:cs="Arial"/>
          <w:iCs/>
          <w:sz w:val="20"/>
          <w:szCs w:val="20"/>
        </w:rPr>
        <w:t xml:space="preserve"> an electronically administered series of self-report measures that assess many of the elements of the Hierarchical Taxonomy of Psychopathology (</w:t>
      </w:r>
      <w:proofErr w:type="spellStart"/>
      <w:r w:rsidR="00CA09F7" w:rsidRPr="00496317">
        <w:rPr>
          <w:rFonts w:ascii="Arial" w:hAnsi="Arial" w:cs="Arial"/>
          <w:iCs/>
          <w:sz w:val="20"/>
          <w:szCs w:val="20"/>
        </w:rPr>
        <w:t>HiTOP</w:t>
      </w:r>
      <w:proofErr w:type="spellEnd"/>
      <w:r w:rsidR="00CA09F7" w:rsidRPr="00496317">
        <w:rPr>
          <w:rFonts w:ascii="Arial" w:hAnsi="Arial" w:cs="Arial"/>
          <w:iCs/>
          <w:sz w:val="20"/>
          <w:szCs w:val="20"/>
        </w:rPr>
        <w:t xml:space="preserve">) model for adults. Briefly, the </w:t>
      </w:r>
      <w:proofErr w:type="spellStart"/>
      <w:r w:rsidR="00CA09F7" w:rsidRPr="00496317">
        <w:rPr>
          <w:rFonts w:ascii="Arial" w:hAnsi="Arial" w:cs="Arial"/>
          <w:iCs/>
          <w:sz w:val="20"/>
          <w:szCs w:val="20"/>
        </w:rPr>
        <w:t>HiTOP</w:t>
      </w:r>
      <w:proofErr w:type="spellEnd"/>
      <w:r w:rsidR="00CA09F7" w:rsidRPr="00496317">
        <w:rPr>
          <w:rFonts w:ascii="Arial" w:hAnsi="Arial" w:cs="Arial"/>
          <w:iCs/>
          <w:sz w:val="20"/>
          <w:szCs w:val="20"/>
        </w:rPr>
        <w:t xml:space="preserve"> model is a system in which to diagnose and assess psychopathology, though it does so by utilizing different structures than traditional diagnostic systems such as the Diagnostic &amp; Statistical Manual of Mental Disorders (DSM). The Hi-TOP-DAT includes portions of the following self-report measures: Comprehensive Assessment of Traits relevant to Personality Disorders (CAT-PD), Inventory of Depression and Anxiety Symptoms (IDAS-II), Community Assessment of Psychic Experiences (CAPE), Alcohol Use Disorders Identification Test (AUDIT), Drug Use Disorders Identification Test (DUDIT), Patient Health Questionnaire Physical Symptoms (PHQ-15), and the World Health Organization Disability Assessment Schedule (WHO-DAS). Scores on the </w:t>
      </w:r>
      <w:proofErr w:type="spellStart"/>
      <w:r w:rsidR="00CA09F7" w:rsidRPr="00496317">
        <w:rPr>
          <w:rFonts w:ascii="Arial" w:hAnsi="Arial" w:cs="Arial"/>
          <w:iCs/>
          <w:sz w:val="20"/>
          <w:szCs w:val="20"/>
        </w:rPr>
        <w:t>HiTOP</w:t>
      </w:r>
      <w:proofErr w:type="spellEnd"/>
      <w:r w:rsidR="00CA09F7" w:rsidRPr="00496317">
        <w:rPr>
          <w:rFonts w:ascii="Arial" w:hAnsi="Arial" w:cs="Arial"/>
          <w:iCs/>
          <w:sz w:val="20"/>
          <w:szCs w:val="20"/>
        </w:rPr>
        <w:t>-DAT are reported as T-scores, which have a mean of 50 and a standard deviation of 10.</w:t>
      </w:r>
    </w:p>
    <w:p w14:paraId="6D28A791" w14:textId="4BB15CF6" w:rsidR="00FE7AD4" w:rsidRPr="00496317" w:rsidRDefault="00FE7AD4" w:rsidP="00CA09F7">
      <w:pPr>
        <w:spacing w:after="0"/>
        <w:jc w:val="both"/>
        <w:rPr>
          <w:rFonts w:ascii="Arial" w:hAnsi="Arial" w:cs="Arial"/>
          <w:iCs/>
          <w:sz w:val="20"/>
          <w:szCs w:val="20"/>
        </w:rPr>
      </w:pPr>
    </w:p>
    <w:p w14:paraId="0E8A48FB" w14:textId="06A622FA" w:rsidR="00607014" w:rsidRPr="00496317" w:rsidRDefault="00912820" w:rsidP="00CA09F7">
      <w:pPr>
        <w:spacing w:after="0"/>
        <w:jc w:val="both"/>
        <w:rPr>
          <w:rFonts w:ascii="Arial" w:hAnsi="Arial" w:cs="Arial"/>
          <w:iCs/>
          <w:sz w:val="20"/>
          <w:szCs w:val="20"/>
        </w:rPr>
      </w:pPr>
      <w:r>
        <w:rPr>
          <w:rFonts w:ascii="Arial" w:hAnsi="Arial" w:cs="Arial"/>
          <w:iCs/>
          <w:sz w:val="20"/>
          <w:szCs w:val="20"/>
        </w:rPr>
        <w:t>Aimee</w:t>
      </w:r>
      <w:r w:rsidR="006412E8" w:rsidRPr="00496317">
        <w:rPr>
          <w:rFonts w:ascii="Arial" w:hAnsi="Arial" w:cs="Arial"/>
          <w:iCs/>
          <w:sz w:val="20"/>
          <w:szCs w:val="20"/>
        </w:rPr>
        <w:t xml:space="preserve">’s profile </w:t>
      </w:r>
      <w:r w:rsidR="00FE7AD4" w:rsidRPr="00496317">
        <w:rPr>
          <w:rFonts w:ascii="Arial" w:hAnsi="Arial" w:cs="Arial"/>
          <w:iCs/>
          <w:sz w:val="20"/>
          <w:szCs w:val="20"/>
        </w:rPr>
        <w:t xml:space="preserve">revealed </w:t>
      </w:r>
      <w:r w:rsidR="006412E8" w:rsidRPr="00496317">
        <w:rPr>
          <w:rFonts w:ascii="Arial" w:hAnsi="Arial" w:cs="Arial"/>
          <w:iCs/>
          <w:sz w:val="20"/>
          <w:szCs w:val="20"/>
        </w:rPr>
        <w:t xml:space="preserve">elevations </w:t>
      </w:r>
      <w:r w:rsidR="005436CF" w:rsidRPr="00496317">
        <w:rPr>
          <w:rFonts w:ascii="Arial" w:hAnsi="Arial" w:cs="Arial"/>
          <w:iCs/>
          <w:sz w:val="20"/>
          <w:szCs w:val="20"/>
        </w:rPr>
        <w:t>in</w:t>
      </w:r>
      <w:r w:rsidR="006412E8" w:rsidRPr="00496317">
        <w:rPr>
          <w:rFonts w:ascii="Arial" w:hAnsi="Arial" w:cs="Arial"/>
          <w:iCs/>
          <w:sz w:val="20"/>
          <w:szCs w:val="20"/>
        </w:rPr>
        <w:t xml:space="preserve"> the Distress factor</w:t>
      </w:r>
      <w:r w:rsidR="005436CF" w:rsidRPr="00496317">
        <w:rPr>
          <w:rFonts w:ascii="Arial" w:hAnsi="Arial" w:cs="Arial"/>
          <w:iCs/>
          <w:sz w:val="20"/>
          <w:szCs w:val="20"/>
        </w:rPr>
        <w:t xml:space="preserve"> within the internalizing spectra</w:t>
      </w:r>
      <w:r w:rsidR="006412E8" w:rsidRPr="00496317">
        <w:rPr>
          <w:rFonts w:ascii="Arial" w:hAnsi="Arial" w:cs="Arial"/>
          <w:iCs/>
          <w:sz w:val="20"/>
          <w:szCs w:val="20"/>
        </w:rPr>
        <w:t>, namely Appetite Gain (IDAS-II</w:t>
      </w:r>
      <w:r w:rsidR="005436CF" w:rsidRPr="00496317">
        <w:rPr>
          <w:rFonts w:ascii="Arial" w:hAnsi="Arial" w:cs="Arial"/>
          <w:iCs/>
          <w:sz w:val="20"/>
          <w:szCs w:val="20"/>
        </w:rPr>
        <w:t>, T-score = 77</w:t>
      </w:r>
      <w:r w:rsidR="006412E8" w:rsidRPr="00496317">
        <w:rPr>
          <w:rFonts w:ascii="Arial" w:hAnsi="Arial" w:cs="Arial"/>
          <w:iCs/>
          <w:sz w:val="20"/>
          <w:szCs w:val="20"/>
        </w:rPr>
        <w:t>) and Appetite Loss (IDAS-II</w:t>
      </w:r>
      <w:r w:rsidR="005436CF" w:rsidRPr="00496317">
        <w:rPr>
          <w:rFonts w:ascii="Arial" w:hAnsi="Arial" w:cs="Arial"/>
          <w:iCs/>
          <w:sz w:val="20"/>
          <w:szCs w:val="20"/>
        </w:rPr>
        <w:t>, T-score = 75</w:t>
      </w:r>
      <w:r w:rsidR="006412E8" w:rsidRPr="00496317">
        <w:rPr>
          <w:rFonts w:ascii="Arial" w:hAnsi="Arial" w:cs="Arial"/>
          <w:iCs/>
          <w:sz w:val="20"/>
          <w:szCs w:val="20"/>
        </w:rPr>
        <w:t>)</w:t>
      </w:r>
      <w:r w:rsidR="005436CF" w:rsidRPr="00496317">
        <w:rPr>
          <w:rFonts w:ascii="Arial" w:hAnsi="Arial" w:cs="Arial"/>
          <w:iCs/>
          <w:sz w:val="20"/>
          <w:szCs w:val="20"/>
        </w:rPr>
        <w:t>, as well as heightened Anger (CAT-PD, T-score = 69) at the trait-level.</w:t>
      </w:r>
      <w:r w:rsidR="006412E8" w:rsidRPr="00496317">
        <w:rPr>
          <w:rFonts w:ascii="Arial" w:hAnsi="Arial" w:cs="Arial"/>
          <w:iCs/>
          <w:sz w:val="20"/>
          <w:szCs w:val="20"/>
        </w:rPr>
        <w:t xml:space="preserve"> </w:t>
      </w:r>
      <w:r w:rsidR="00496317">
        <w:rPr>
          <w:rFonts w:ascii="Arial" w:hAnsi="Arial" w:cs="Arial"/>
          <w:iCs/>
          <w:sz w:val="20"/>
          <w:szCs w:val="20"/>
        </w:rPr>
        <w:t>E</w:t>
      </w:r>
      <w:r w:rsidR="006412E8" w:rsidRPr="00496317">
        <w:rPr>
          <w:rFonts w:ascii="Arial" w:hAnsi="Arial" w:cs="Arial"/>
          <w:iCs/>
          <w:sz w:val="20"/>
          <w:szCs w:val="20"/>
        </w:rPr>
        <w:t xml:space="preserve">levations </w:t>
      </w:r>
      <w:r w:rsidR="00496317" w:rsidRPr="00496317">
        <w:rPr>
          <w:rFonts w:ascii="Arial" w:hAnsi="Arial" w:cs="Arial"/>
          <w:iCs/>
          <w:sz w:val="20"/>
          <w:szCs w:val="20"/>
        </w:rPr>
        <w:t xml:space="preserve">were also observed </w:t>
      </w:r>
      <w:r w:rsidR="005436CF" w:rsidRPr="00496317">
        <w:rPr>
          <w:rFonts w:ascii="Arial" w:hAnsi="Arial" w:cs="Arial"/>
          <w:iCs/>
          <w:sz w:val="20"/>
          <w:szCs w:val="20"/>
        </w:rPr>
        <w:t xml:space="preserve">under the Detachment factor, </w:t>
      </w:r>
      <w:r w:rsidR="006412E8" w:rsidRPr="00496317">
        <w:rPr>
          <w:rFonts w:ascii="Arial" w:hAnsi="Arial" w:cs="Arial"/>
          <w:iCs/>
          <w:sz w:val="20"/>
          <w:szCs w:val="20"/>
        </w:rPr>
        <w:t>including</w:t>
      </w:r>
      <w:r w:rsidR="005436CF" w:rsidRPr="00496317">
        <w:rPr>
          <w:rFonts w:ascii="Arial" w:hAnsi="Arial" w:cs="Arial"/>
          <w:iCs/>
          <w:sz w:val="20"/>
          <w:szCs w:val="20"/>
        </w:rPr>
        <w:t xml:space="preserve"> Romantic Disinterest (CAT-PD, T-score = 77), Depressiveness (CAT-PD, T-score = 71), and Anhedonia (CAT-PD, T-score = 68).</w:t>
      </w:r>
      <w:r w:rsidR="00607014">
        <w:rPr>
          <w:rFonts w:ascii="Arial" w:hAnsi="Arial" w:cs="Arial"/>
          <w:iCs/>
          <w:sz w:val="20"/>
          <w:szCs w:val="20"/>
        </w:rPr>
        <w:t xml:space="preserve"> Collectively, </w:t>
      </w:r>
      <w:r w:rsidR="00720202">
        <w:rPr>
          <w:rFonts w:ascii="Arial" w:hAnsi="Arial" w:cs="Arial"/>
          <w:iCs/>
          <w:sz w:val="20"/>
          <w:szCs w:val="20"/>
        </w:rPr>
        <w:t>patient</w:t>
      </w:r>
      <w:r w:rsidR="00607014">
        <w:rPr>
          <w:rFonts w:ascii="Arial" w:hAnsi="Arial" w:cs="Arial"/>
          <w:iCs/>
          <w:sz w:val="20"/>
          <w:szCs w:val="20"/>
        </w:rPr>
        <w:t>’s profile suggests she is experiencing intense distress, especially as it relates to her body weight and malnourished physical state. In addition, she is likely to be angry with the unfairness of her current circumstances.</w:t>
      </w:r>
    </w:p>
    <w:p w14:paraId="7192FB98" w14:textId="77777777" w:rsidR="00CA09F7" w:rsidRPr="00496317" w:rsidRDefault="00CA09F7" w:rsidP="00CA09F7">
      <w:pPr>
        <w:spacing w:after="0"/>
        <w:jc w:val="both"/>
        <w:rPr>
          <w:rFonts w:ascii="Arial" w:hAnsi="Arial" w:cs="Arial"/>
          <w:iCs/>
          <w:sz w:val="20"/>
          <w:szCs w:val="20"/>
        </w:rPr>
      </w:pPr>
    </w:p>
    <w:p w14:paraId="5B036A00" w14:textId="6077F936" w:rsidR="006412E8" w:rsidRPr="00496317" w:rsidRDefault="006412E8" w:rsidP="006412E8">
      <w:pPr>
        <w:spacing w:after="0"/>
        <w:jc w:val="both"/>
        <w:rPr>
          <w:rFonts w:ascii="Arial" w:hAnsi="Arial" w:cs="Arial"/>
          <w:sz w:val="20"/>
          <w:szCs w:val="20"/>
        </w:rPr>
      </w:pPr>
      <w:r w:rsidRPr="00496317">
        <w:rPr>
          <w:rFonts w:ascii="Arial" w:hAnsi="Arial" w:cs="Arial"/>
          <w:b/>
          <w:sz w:val="20"/>
          <w:szCs w:val="20"/>
        </w:rPr>
        <w:t>The Alcohol Use Disorders Identification Test (AUDIT)</w:t>
      </w:r>
      <w:r w:rsidRPr="00496317">
        <w:rPr>
          <w:rFonts w:ascii="Arial" w:hAnsi="Arial" w:cs="Arial"/>
          <w:sz w:val="20"/>
          <w:szCs w:val="20"/>
        </w:rPr>
        <w:t xml:space="preserve"> is a 10-item self-report screening tool designed to assess alcohol consumption, drinking behaviors, and alcohol-related problems in the past year. Scores range from 0 to 40, with a score of 8 or higher suggestive of an alcohol problem. </w:t>
      </w:r>
      <w:r w:rsidR="00720202">
        <w:rPr>
          <w:rFonts w:ascii="Arial" w:hAnsi="Arial" w:cs="Arial"/>
          <w:sz w:val="20"/>
          <w:szCs w:val="20"/>
        </w:rPr>
        <w:t>Patient</w:t>
      </w:r>
      <w:r w:rsidRPr="00496317">
        <w:rPr>
          <w:rFonts w:ascii="Arial" w:hAnsi="Arial" w:cs="Arial"/>
          <w:sz w:val="20"/>
          <w:szCs w:val="20"/>
        </w:rPr>
        <w:t xml:space="preserve">’s AUDIT score was a 9, suggesting that she may be at increased risk of encountering negative consequences associated with her alcohol use. </w:t>
      </w:r>
    </w:p>
    <w:p w14:paraId="2D066F66" w14:textId="77777777" w:rsidR="006412E8" w:rsidRPr="00496317" w:rsidRDefault="006412E8" w:rsidP="006412E8">
      <w:pPr>
        <w:spacing w:after="0"/>
        <w:jc w:val="both"/>
        <w:rPr>
          <w:rFonts w:ascii="Arial" w:hAnsi="Arial" w:cs="Arial"/>
          <w:sz w:val="20"/>
          <w:szCs w:val="20"/>
        </w:rPr>
      </w:pPr>
    </w:p>
    <w:p w14:paraId="2645E95A" w14:textId="60B012BD" w:rsidR="000B070B" w:rsidRPr="00496317" w:rsidRDefault="006412E8" w:rsidP="005436CF">
      <w:pPr>
        <w:spacing w:after="0"/>
        <w:jc w:val="both"/>
        <w:rPr>
          <w:rFonts w:ascii="Arial" w:hAnsi="Arial" w:cs="Arial"/>
          <w:sz w:val="20"/>
          <w:szCs w:val="20"/>
        </w:rPr>
      </w:pPr>
      <w:r w:rsidRPr="00496317">
        <w:rPr>
          <w:rFonts w:ascii="Arial" w:hAnsi="Arial" w:cs="Arial"/>
          <w:b/>
          <w:sz w:val="20"/>
          <w:szCs w:val="20"/>
        </w:rPr>
        <w:lastRenderedPageBreak/>
        <w:t>The Patient Health Questionnaire-9 (PHQ-9)</w:t>
      </w:r>
      <w:r w:rsidRPr="00496317">
        <w:rPr>
          <w:rFonts w:ascii="Arial" w:hAnsi="Arial" w:cs="Arial"/>
          <w:sz w:val="20"/>
          <w:szCs w:val="20"/>
        </w:rPr>
        <w:t xml:space="preserve"> is a 9-item, reliable and valid metric utilized to assess current depressive symptom severity. </w:t>
      </w:r>
      <w:r w:rsidR="00912820">
        <w:rPr>
          <w:rFonts w:ascii="Arial" w:hAnsi="Arial" w:cs="Arial"/>
          <w:sz w:val="20"/>
          <w:szCs w:val="20"/>
        </w:rPr>
        <w:t>Aimee</w:t>
      </w:r>
      <w:r w:rsidRPr="00496317">
        <w:rPr>
          <w:rFonts w:ascii="Arial" w:hAnsi="Arial" w:cs="Arial"/>
          <w:sz w:val="20"/>
          <w:szCs w:val="20"/>
        </w:rPr>
        <w:t xml:space="preserve">’s responses are summed, which associate with minimal (1-4), mild (5-9), </w:t>
      </w:r>
      <w:bookmarkStart w:id="1" w:name="_Hlk160529336"/>
      <w:r w:rsidRPr="00496317">
        <w:rPr>
          <w:rFonts w:ascii="Arial" w:hAnsi="Arial" w:cs="Arial"/>
          <w:sz w:val="20"/>
          <w:szCs w:val="20"/>
        </w:rPr>
        <w:t xml:space="preserve">moderate </w:t>
      </w:r>
      <w:bookmarkEnd w:id="1"/>
      <w:r w:rsidRPr="00496317">
        <w:rPr>
          <w:rFonts w:ascii="Arial" w:hAnsi="Arial" w:cs="Arial"/>
          <w:sz w:val="20"/>
          <w:szCs w:val="20"/>
        </w:rPr>
        <w:t xml:space="preserve">(10-14), moderately severe (15-19), and severe (20+) depressive symptoms. </w:t>
      </w:r>
      <w:r w:rsidR="00912820">
        <w:rPr>
          <w:rFonts w:ascii="Arial" w:hAnsi="Arial" w:cs="Arial"/>
          <w:sz w:val="20"/>
          <w:szCs w:val="20"/>
        </w:rPr>
        <w:t>Aimee</w:t>
      </w:r>
      <w:r w:rsidRPr="00496317">
        <w:rPr>
          <w:rFonts w:ascii="Arial" w:hAnsi="Arial" w:cs="Arial"/>
          <w:sz w:val="20"/>
          <w:szCs w:val="20"/>
        </w:rPr>
        <w:t>’s PHQ-9 score was 14, which fell in the moderate range.</w:t>
      </w:r>
    </w:p>
    <w:p w14:paraId="631295A3" w14:textId="77777777" w:rsidR="006412E8" w:rsidRPr="00496317" w:rsidRDefault="006412E8" w:rsidP="00262D4D">
      <w:pPr>
        <w:spacing w:after="0"/>
        <w:rPr>
          <w:rFonts w:ascii="Arial" w:hAnsi="Arial" w:cs="Arial"/>
          <w:iCs/>
          <w:sz w:val="20"/>
          <w:szCs w:val="20"/>
        </w:rPr>
      </w:pPr>
    </w:p>
    <w:p w14:paraId="18D973E2" w14:textId="2151D999" w:rsidR="008C4F0C" w:rsidRPr="00496317" w:rsidRDefault="008C4F0C" w:rsidP="00056751">
      <w:pPr>
        <w:spacing w:after="0"/>
        <w:jc w:val="both"/>
        <w:rPr>
          <w:rFonts w:ascii="Arial" w:hAnsi="Arial" w:cs="Arial"/>
          <w:iCs/>
          <w:sz w:val="20"/>
          <w:szCs w:val="20"/>
        </w:rPr>
      </w:pPr>
      <w:r w:rsidRPr="00496317">
        <w:rPr>
          <w:rFonts w:ascii="Arial" w:hAnsi="Arial" w:cs="Arial"/>
          <w:b/>
          <w:bCs/>
          <w:iCs/>
          <w:sz w:val="20"/>
          <w:szCs w:val="20"/>
        </w:rPr>
        <w:t>The Wechsler Abbreviated Scale of Intelligence – Second Edition (WASI-II)</w:t>
      </w:r>
      <w:r w:rsidRPr="00496317">
        <w:rPr>
          <w:rFonts w:ascii="Arial" w:hAnsi="Arial" w:cs="Arial"/>
          <w:iCs/>
          <w:sz w:val="20"/>
          <w:szCs w:val="20"/>
        </w:rPr>
        <w:t xml:space="preserve"> is an abbreviated scale designed for individuals aged 6-90 years and provides an estimate of general intellectual ability. The WASI-II provides composite scores that estimate intellectual functioning in two areas (i.e., Verbal Comprehension and Perceptual Reasoning) and two composite scores that estimate general intellectual ability (i.e., Full Scale IQ-4 Subtests [FSIQ-4] and Full Scale IQ-2 Subtests [FSIQ-2]</w:t>
      </w:r>
      <w:r w:rsidR="00310C45">
        <w:rPr>
          <w:rFonts w:ascii="Arial" w:hAnsi="Arial" w:cs="Arial"/>
          <w:iCs/>
          <w:sz w:val="20"/>
          <w:szCs w:val="20"/>
        </w:rPr>
        <w:t>)</w:t>
      </w:r>
      <w:r w:rsidRPr="00496317">
        <w:rPr>
          <w:rFonts w:ascii="Arial" w:hAnsi="Arial" w:cs="Arial"/>
          <w:iCs/>
          <w:sz w:val="20"/>
          <w:szCs w:val="20"/>
        </w:rPr>
        <w:t>, all generated from four subtests: Block Design, Vocabulary, Matrix Reasoning, and Similarities. The Block Design subtest measures the ability to analyze and synthesize abstract visual stimuli</w:t>
      </w:r>
      <w:r w:rsidR="00310C45">
        <w:rPr>
          <w:rFonts w:ascii="Arial" w:hAnsi="Arial" w:cs="Arial"/>
          <w:iCs/>
          <w:sz w:val="20"/>
          <w:szCs w:val="20"/>
        </w:rPr>
        <w:t>;</w:t>
      </w:r>
      <w:r w:rsidRPr="00496317">
        <w:rPr>
          <w:rFonts w:ascii="Arial" w:hAnsi="Arial" w:cs="Arial"/>
          <w:iCs/>
          <w:sz w:val="20"/>
          <w:szCs w:val="20"/>
        </w:rPr>
        <w:t xml:space="preserve"> the Vocabulary subtest measures word knowledge and verbal concept formation</w:t>
      </w:r>
      <w:r w:rsidR="00310C45">
        <w:rPr>
          <w:rFonts w:ascii="Arial" w:hAnsi="Arial" w:cs="Arial"/>
          <w:iCs/>
          <w:sz w:val="20"/>
          <w:szCs w:val="20"/>
        </w:rPr>
        <w:t>;</w:t>
      </w:r>
      <w:r w:rsidRPr="00496317">
        <w:rPr>
          <w:rFonts w:ascii="Arial" w:hAnsi="Arial" w:cs="Arial"/>
          <w:iCs/>
          <w:sz w:val="20"/>
          <w:szCs w:val="20"/>
        </w:rPr>
        <w:t xml:space="preserve"> the Matrix Reasoning subtest measures things such as fluid intelligence, broad visual intelligence, </w:t>
      </w:r>
      <w:r w:rsidR="00310C45">
        <w:rPr>
          <w:rFonts w:ascii="Arial" w:hAnsi="Arial" w:cs="Arial"/>
          <w:iCs/>
          <w:sz w:val="20"/>
          <w:szCs w:val="20"/>
        </w:rPr>
        <w:t xml:space="preserve">and </w:t>
      </w:r>
      <w:r w:rsidRPr="00496317">
        <w:rPr>
          <w:rFonts w:ascii="Arial" w:hAnsi="Arial" w:cs="Arial"/>
          <w:iCs/>
          <w:sz w:val="20"/>
          <w:szCs w:val="20"/>
        </w:rPr>
        <w:t>spatial ability</w:t>
      </w:r>
      <w:r w:rsidR="00310C45">
        <w:rPr>
          <w:rFonts w:ascii="Arial" w:hAnsi="Arial" w:cs="Arial"/>
          <w:iCs/>
          <w:sz w:val="20"/>
          <w:szCs w:val="20"/>
        </w:rPr>
        <w:t>;</w:t>
      </w:r>
      <w:r w:rsidRPr="00496317">
        <w:rPr>
          <w:rFonts w:ascii="Arial" w:hAnsi="Arial" w:cs="Arial"/>
          <w:iCs/>
          <w:sz w:val="20"/>
          <w:szCs w:val="20"/>
        </w:rPr>
        <w:t xml:space="preserve"> and the Similarities subtests measures verbal concept formation and reasoning. </w:t>
      </w:r>
    </w:p>
    <w:p w14:paraId="693F5AAC" w14:textId="77777777" w:rsidR="008C4F0C" w:rsidRPr="00496317" w:rsidRDefault="008C4F0C" w:rsidP="00056751">
      <w:pPr>
        <w:spacing w:after="0"/>
        <w:jc w:val="both"/>
        <w:rPr>
          <w:rFonts w:ascii="Arial" w:hAnsi="Arial" w:cs="Arial"/>
          <w:iCs/>
          <w:sz w:val="20"/>
          <w:szCs w:val="20"/>
        </w:rPr>
      </w:pPr>
    </w:p>
    <w:p w14:paraId="3E8673D1" w14:textId="6EDF733C" w:rsidR="008C4F0C" w:rsidRPr="00496317" w:rsidRDefault="008C4F0C" w:rsidP="00056751">
      <w:pPr>
        <w:spacing w:after="0"/>
        <w:jc w:val="both"/>
        <w:rPr>
          <w:rFonts w:ascii="Arial" w:hAnsi="Arial" w:cs="Arial"/>
          <w:iCs/>
          <w:sz w:val="20"/>
          <w:szCs w:val="20"/>
        </w:rPr>
      </w:pPr>
      <w:r w:rsidRPr="00496317">
        <w:rPr>
          <w:rFonts w:ascii="Arial" w:hAnsi="Arial" w:cs="Arial"/>
          <w:iCs/>
          <w:sz w:val="20"/>
          <w:szCs w:val="20"/>
        </w:rPr>
        <w:t xml:space="preserve">The WASI-II yields several useful scores. Subtest scores describe the main ability measured by the subtest and are used to compute composite scores. Primary subtest scores are generated as T-scores but are converted to scaled scores in this report for ease of interpretation. Scaled scores range from 1-19, with a mean of 10 and a standard deviation of 3. Average scores range from 7 to 13. Subtest scores are standard scores and can be compared to each other, but not to composite scores. Subtest scaled scores are used to form composite scores representing broad areas of intellectual functioning. Composite scores range from 40-160, with a mean of 100 and a standard deviation of 15. Average scores range from 85 to 115. The confidence interval indicates there is a 95% likelihood that a score representing </w:t>
      </w:r>
      <w:r w:rsidR="00912820">
        <w:rPr>
          <w:rFonts w:ascii="Arial" w:hAnsi="Arial" w:cs="Arial"/>
          <w:iCs/>
          <w:sz w:val="20"/>
          <w:szCs w:val="20"/>
        </w:rPr>
        <w:t>Aimee</w:t>
      </w:r>
      <w:r w:rsidR="00CB2288" w:rsidRPr="00496317">
        <w:rPr>
          <w:rFonts w:ascii="Arial" w:hAnsi="Arial" w:cs="Arial"/>
          <w:iCs/>
          <w:sz w:val="20"/>
          <w:szCs w:val="20"/>
        </w:rPr>
        <w:t>’s</w:t>
      </w:r>
      <w:r w:rsidRPr="00496317">
        <w:rPr>
          <w:rFonts w:ascii="Arial" w:hAnsi="Arial" w:cs="Arial"/>
          <w:iCs/>
          <w:sz w:val="20"/>
          <w:szCs w:val="20"/>
        </w:rPr>
        <w:t xml:space="preserve"> true ability lays within that range. </w:t>
      </w:r>
    </w:p>
    <w:p w14:paraId="43644289" w14:textId="77777777" w:rsidR="00496317" w:rsidRDefault="00496317" w:rsidP="00496317">
      <w:pPr>
        <w:spacing w:after="0"/>
        <w:jc w:val="both"/>
        <w:rPr>
          <w:rFonts w:ascii="Arial" w:hAnsi="Arial" w:cs="Arial"/>
          <w:bCs/>
          <w:sz w:val="20"/>
          <w:szCs w:val="20"/>
        </w:rPr>
      </w:pPr>
    </w:p>
    <w:p w14:paraId="7B2E3C87" w14:textId="2ADF1856" w:rsidR="00496317" w:rsidRPr="00496317" w:rsidRDefault="00912820" w:rsidP="00496317">
      <w:pPr>
        <w:spacing w:after="0"/>
        <w:jc w:val="both"/>
        <w:rPr>
          <w:rFonts w:ascii="Arial" w:hAnsi="Arial" w:cs="Arial"/>
          <w:bCs/>
          <w:sz w:val="20"/>
          <w:szCs w:val="20"/>
        </w:rPr>
      </w:pPr>
      <w:r>
        <w:rPr>
          <w:rFonts w:ascii="Arial" w:hAnsi="Arial" w:cs="Arial"/>
          <w:bCs/>
          <w:sz w:val="20"/>
          <w:szCs w:val="20"/>
        </w:rPr>
        <w:t>Aimee</w:t>
      </w:r>
      <w:r w:rsidR="00496317" w:rsidRPr="00496317">
        <w:rPr>
          <w:rFonts w:ascii="Arial" w:hAnsi="Arial" w:cs="Arial"/>
          <w:bCs/>
          <w:sz w:val="20"/>
          <w:szCs w:val="20"/>
        </w:rPr>
        <w:t xml:space="preserve"> attained a Verbal Comprehension Index (VCI) score of 109, placing her in the Average range compared to her same-age peers. The VCI is comprised of the Vocabulary and Similarities subtests. </w:t>
      </w:r>
      <w:r>
        <w:rPr>
          <w:rFonts w:ascii="Arial" w:hAnsi="Arial" w:cs="Arial"/>
          <w:bCs/>
          <w:sz w:val="20"/>
          <w:szCs w:val="20"/>
        </w:rPr>
        <w:t>Aimee</w:t>
      </w:r>
      <w:r w:rsidR="00496317" w:rsidRPr="00496317">
        <w:rPr>
          <w:rFonts w:ascii="Arial" w:hAnsi="Arial" w:cs="Arial"/>
          <w:bCs/>
          <w:sz w:val="20"/>
          <w:szCs w:val="20"/>
        </w:rPr>
        <w:t xml:space="preserve"> attained a Perceptual Reasoning Index (PRI) score of 97, placing her in the Average range compared to others of her same age. The PRI is comprised of the Block Design and Matrix Reasoning subtests. </w:t>
      </w:r>
    </w:p>
    <w:p w14:paraId="37D5078C" w14:textId="77777777" w:rsidR="00496317" w:rsidRPr="00496317" w:rsidRDefault="00496317" w:rsidP="00496317">
      <w:pPr>
        <w:spacing w:after="0"/>
        <w:jc w:val="both"/>
        <w:rPr>
          <w:rFonts w:ascii="Arial" w:hAnsi="Arial" w:cs="Arial"/>
          <w:bCs/>
          <w:sz w:val="20"/>
          <w:szCs w:val="20"/>
        </w:rPr>
      </w:pPr>
    </w:p>
    <w:p w14:paraId="028F4D1F" w14:textId="07ECBFC0" w:rsidR="00496317" w:rsidRPr="00496317" w:rsidRDefault="00496317" w:rsidP="00496317">
      <w:pPr>
        <w:spacing w:after="0"/>
        <w:jc w:val="both"/>
        <w:rPr>
          <w:rFonts w:ascii="Arial" w:hAnsi="Arial" w:cs="Arial"/>
          <w:bCs/>
          <w:sz w:val="20"/>
          <w:szCs w:val="20"/>
        </w:rPr>
      </w:pPr>
      <w:r w:rsidRPr="00496317">
        <w:rPr>
          <w:rFonts w:ascii="Arial" w:hAnsi="Arial" w:cs="Arial"/>
          <w:bCs/>
          <w:sz w:val="20"/>
          <w:szCs w:val="20"/>
        </w:rPr>
        <w:t xml:space="preserve">Calculation of the FSIQ-4 shows that </w:t>
      </w:r>
      <w:r w:rsidR="00912820">
        <w:rPr>
          <w:rFonts w:ascii="Arial" w:hAnsi="Arial" w:cs="Arial"/>
          <w:bCs/>
          <w:sz w:val="20"/>
          <w:szCs w:val="20"/>
        </w:rPr>
        <w:t>Aimee</w:t>
      </w:r>
      <w:r w:rsidRPr="00496317">
        <w:rPr>
          <w:rFonts w:ascii="Arial" w:hAnsi="Arial" w:cs="Arial"/>
          <w:bCs/>
          <w:sz w:val="20"/>
          <w:szCs w:val="20"/>
        </w:rPr>
        <w:t xml:space="preserve"> attained a FSIQ-4 score of 104, placing her in the Average range compared to others of her same age. The FSIQ-4 is comprised of all four WASI-II subtests.</w:t>
      </w:r>
    </w:p>
    <w:p w14:paraId="75380BF8" w14:textId="77777777" w:rsidR="0044061A" w:rsidRPr="00496317" w:rsidRDefault="0044061A" w:rsidP="008C4F0C">
      <w:pPr>
        <w:spacing w:after="0"/>
        <w:rPr>
          <w:rFonts w:ascii="Arial" w:hAnsi="Arial" w:cs="Arial"/>
          <w:b/>
          <w:iCs/>
          <w:sz w:val="20"/>
          <w:szCs w:val="20"/>
        </w:rPr>
      </w:pPr>
    </w:p>
    <w:p w14:paraId="3C34C723" w14:textId="25B6E9E7" w:rsidR="008C4F0C" w:rsidRPr="00496317" w:rsidRDefault="008C4F0C" w:rsidP="008C4F0C">
      <w:pPr>
        <w:spacing w:after="0"/>
        <w:rPr>
          <w:rFonts w:ascii="Arial" w:hAnsi="Arial" w:cs="Arial"/>
          <w:b/>
          <w:iCs/>
          <w:sz w:val="20"/>
          <w:szCs w:val="20"/>
        </w:rPr>
      </w:pPr>
      <w:r w:rsidRPr="00496317">
        <w:rPr>
          <w:rFonts w:ascii="Arial" w:hAnsi="Arial" w:cs="Arial"/>
          <w:b/>
          <w:iCs/>
          <w:sz w:val="20"/>
          <w:szCs w:val="20"/>
        </w:rPr>
        <w:t>Wechsler Abbreviated of Intelligence – Second Edition (WASI-II) Composite and Scaled Scores: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06"/>
        <w:gridCol w:w="1376"/>
        <w:gridCol w:w="3919"/>
        <w:gridCol w:w="969"/>
      </w:tblGrid>
      <w:tr w:rsidR="008C4F0C" w:rsidRPr="00496317" w14:paraId="63728673" w14:textId="77777777" w:rsidTr="00203433">
        <w:trPr>
          <w:trHeight w:val="432"/>
        </w:trPr>
        <w:tc>
          <w:tcPr>
            <w:tcW w:w="2573" w:type="pct"/>
            <w:gridSpan w:val="2"/>
            <w:vAlign w:val="center"/>
          </w:tcPr>
          <w:p w14:paraId="4FC84F9F" w14:textId="2157F019" w:rsidR="008C4F0C" w:rsidRPr="00496317" w:rsidRDefault="008C4F0C" w:rsidP="00203433">
            <w:pPr>
              <w:spacing w:after="0"/>
              <w:jc w:val="center"/>
              <w:rPr>
                <w:rFonts w:ascii="Arial" w:hAnsi="Arial" w:cs="Arial"/>
                <w:b/>
                <w:bCs/>
                <w:iCs/>
                <w:sz w:val="20"/>
                <w:szCs w:val="20"/>
              </w:rPr>
            </w:pPr>
            <w:r w:rsidRPr="00496317">
              <w:rPr>
                <w:rFonts w:ascii="Arial" w:hAnsi="Arial" w:cs="Arial"/>
                <w:b/>
                <w:bCs/>
                <w:i/>
                <w:iCs/>
                <w:sz w:val="20"/>
                <w:szCs w:val="20"/>
              </w:rPr>
              <w:t xml:space="preserve">Verbal Comprehension Index = </w:t>
            </w:r>
            <w:r w:rsidR="00903B22" w:rsidRPr="00496317">
              <w:rPr>
                <w:rFonts w:ascii="Arial" w:hAnsi="Arial" w:cs="Arial"/>
                <w:b/>
                <w:bCs/>
                <w:i/>
                <w:iCs/>
                <w:sz w:val="20"/>
                <w:szCs w:val="20"/>
              </w:rPr>
              <w:t>109</w:t>
            </w:r>
          </w:p>
        </w:tc>
        <w:tc>
          <w:tcPr>
            <w:tcW w:w="2427" w:type="pct"/>
            <w:gridSpan w:val="2"/>
            <w:vAlign w:val="center"/>
          </w:tcPr>
          <w:p w14:paraId="52A372A8" w14:textId="0E1D38C7" w:rsidR="008C4F0C" w:rsidRPr="00496317" w:rsidRDefault="008C4F0C" w:rsidP="00203433">
            <w:pPr>
              <w:spacing w:after="0"/>
              <w:jc w:val="center"/>
              <w:rPr>
                <w:rFonts w:ascii="Arial" w:hAnsi="Arial" w:cs="Arial"/>
                <w:b/>
                <w:bCs/>
                <w:i/>
                <w:iCs/>
                <w:sz w:val="20"/>
                <w:szCs w:val="20"/>
              </w:rPr>
            </w:pPr>
            <w:r w:rsidRPr="00496317">
              <w:rPr>
                <w:rFonts w:ascii="Arial" w:hAnsi="Arial" w:cs="Arial"/>
                <w:b/>
                <w:bCs/>
                <w:i/>
                <w:iCs/>
                <w:sz w:val="20"/>
                <w:szCs w:val="20"/>
              </w:rPr>
              <w:t xml:space="preserve">Perceptual Reasoning Index = </w:t>
            </w:r>
            <w:r w:rsidR="00903B22" w:rsidRPr="00496317">
              <w:rPr>
                <w:rFonts w:ascii="Arial" w:hAnsi="Arial" w:cs="Arial"/>
                <w:b/>
                <w:bCs/>
                <w:i/>
                <w:iCs/>
                <w:sz w:val="20"/>
                <w:szCs w:val="20"/>
              </w:rPr>
              <w:t>97</w:t>
            </w:r>
          </w:p>
        </w:tc>
      </w:tr>
      <w:tr w:rsidR="008C4F0C" w:rsidRPr="00496317" w14:paraId="42CF7C82" w14:textId="77777777" w:rsidTr="00203433">
        <w:trPr>
          <w:trHeight w:val="432"/>
        </w:trPr>
        <w:tc>
          <w:tcPr>
            <w:tcW w:w="1890" w:type="pct"/>
            <w:vAlign w:val="center"/>
          </w:tcPr>
          <w:p w14:paraId="3B9CC770" w14:textId="77777777" w:rsidR="008C4F0C" w:rsidRPr="00496317" w:rsidRDefault="008C4F0C" w:rsidP="008C4F0C">
            <w:pPr>
              <w:spacing w:after="0"/>
              <w:rPr>
                <w:rFonts w:ascii="Arial" w:hAnsi="Arial" w:cs="Arial"/>
                <w:iCs/>
                <w:sz w:val="20"/>
                <w:szCs w:val="20"/>
              </w:rPr>
            </w:pPr>
            <w:r w:rsidRPr="00496317">
              <w:rPr>
                <w:rFonts w:ascii="Arial" w:hAnsi="Arial" w:cs="Arial"/>
                <w:iCs/>
                <w:sz w:val="20"/>
                <w:szCs w:val="20"/>
              </w:rPr>
              <w:t xml:space="preserve">Vocabulary </w:t>
            </w:r>
          </w:p>
        </w:tc>
        <w:tc>
          <w:tcPr>
            <w:tcW w:w="682" w:type="pct"/>
            <w:vAlign w:val="center"/>
          </w:tcPr>
          <w:p w14:paraId="089BEF7A" w14:textId="62F32D12" w:rsidR="008C4F0C" w:rsidRPr="00496317" w:rsidRDefault="0049630B" w:rsidP="008C4F0C">
            <w:pPr>
              <w:spacing w:after="0"/>
              <w:jc w:val="center"/>
              <w:rPr>
                <w:rFonts w:ascii="Arial" w:hAnsi="Arial" w:cs="Arial"/>
                <w:iCs/>
                <w:sz w:val="20"/>
                <w:szCs w:val="20"/>
              </w:rPr>
            </w:pPr>
            <w:r w:rsidRPr="00496317">
              <w:rPr>
                <w:rFonts w:ascii="Arial" w:hAnsi="Arial" w:cs="Arial"/>
                <w:iCs/>
                <w:sz w:val="20"/>
                <w:szCs w:val="20"/>
              </w:rPr>
              <w:t>13</w:t>
            </w:r>
          </w:p>
        </w:tc>
        <w:tc>
          <w:tcPr>
            <w:tcW w:w="1946" w:type="pct"/>
            <w:vAlign w:val="center"/>
          </w:tcPr>
          <w:p w14:paraId="613EE25A" w14:textId="77777777" w:rsidR="008C4F0C" w:rsidRPr="00496317" w:rsidRDefault="008C4F0C" w:rsidP="00310C45">
            <w:pPr>
              <w:spacing w:after="0"/>
              <w:rPr>
                <w:rFonts w:ascii="Arial" w:hAnsi="Arial" w:cs="Arial"/>
                <w:iCs/>
                <w:sz w:val="20"/>
                <w:szCs w:val="20"/>
              </w:rPr>
            </w:pPr>
            <w:r w:rsidRPr="00496317">
              <w:rPr>
                <w:rFonts w:ascii="Arial" w:hAnsi="Arial" w:cs="Arial"/>
                <w:iCs/>
                <w:sz w:val="20"/>
                <w:szCs w:val="20"/>
              </w:rPr>
              <w:t>Block Design</w:t>
            </w:r>
          </w:p>
        </w:tc>
        <w:tc>
          <w:tcPr>
            <w:tcW w:w="482" w:type="pct"/>
            <w:vAlign w:val="center"/>
          </w:tcPr>
          <w:p w14:paraId="447E7807" w14:textId="2515D85C" w:rsidR="008C4F0C" w:rsidRPr="00496317" w:rsidRDefault="0049630B" w:rsidP="008C4F0C">
            <w:pPr>
              <w:spacing w:after="0"/>
              <w:jc w:val="center"/>
              <w:rPr>
                <w:rFonts w:ascii="Arial" w:hAnsi="Arial" w:cs="Arial"/>
                <w:iCs/>
                <w:sz w:val="20"/>
                <w:szCs w:val="20"/>
              </w:rPr>
            </w:pPr>
            <w:r w:rsidRPr="00496317">
              <w:rPr>
                <w:rFonts w:ascii="Arial" w:hAnsi="Arial" w:cs="Arial"/>
                <w:iCs/>
                <w:sz w:val="20"/>
                <w:szCs w:val="20"/>
              </w:rPr>
              <w:t>8</w:t>
            </w:r>
          </w:p>
        </w:tc>
      </w:tr>
      <w:tr w:rsidR="008C4F0C" w:rsidRPr="00496317" w14:paraId="4EE644F1" w14:textId="77777777" w:rsidTr="00203433">
        <w:trPr>
          <w:trHeight w:val="432"/>
        </w:trPr>
        <w:tc>
          <w:tcPr>
            <w:tcW w:w="1890" w:type="pct"/>
            <w:vAlign w:val="center"/>
          </w:tcPr>
          <w:p w14:paraId="2CE86A82" w14:textId="77777777" w:rsidR="008C4F0C" w:rsidRPr="00496317" w:rsidRDefault="008C4F0C" w:rsidP="008C4F0C">
            <w:pPr>
              <w:spacing w:after="0"/>
              <w:rPr>
                <w:rFonts w:ascii="Arial" w:hAnsi="Arial" w:cs="Arial"/>
                <w:iCs/>
                <w:sz w:val="20"/>
                <w:szCs w:val="20"/>
              </w:rPr>
            </w:pPr>
            <w:r w:rsidRPr="00496317">
              <w:rPr>
                <w:rFonts w:ascii="Arial" w:hAnsi="Arial" w:cs="Arial"/>
                <w:iCs/>
                <w:sz w:val="20"/>
                <w:szCs w:val="20"/>
              </w:rPr>
              <w:t xml:space="preserve">Similarities </w:t>
            </w:r>
          </w:p>
        </w:tc>
        <w:tc>
          <w:tcPr>
            <w:tcW w:w="682" w:type="pct"/>
            <w:vAlign w:val="center"/>
          </w:tcPr>
          <w:p w14:paraId="6B4ACA8D" w14:textId="26388028" w:rsidR="008C4F0C" w:rsidRPr="00496317" w:rsidRDefault="0049630B" w:rsidP="008C4F0C">
            <w:pPr>
              <w:spacing w:after="0"/>
              <w:jc w:val="center"/>
              <w:rPr>
                <w:rFonts w:ascii="Arial" w:hAnsi="Arial" w:cs="Arial"/>
                <w:iCs/>
                <w:sz w:val="20"/>
                <w:szCs w:val="20"/>
              </w:rPr>
            </w:pPr>
            <w:r w:rsidRPr="00496317">
              <w:rPr>
                <w:rFonts w:ascii="Arial" w:hAnsi="Arial" w:cs="Arial"/>
                <w:iCs/>
                <w:sz w:val="20"/>
                <w:szCs w:val="20"/>
              </w:rPr>
              <w:t>11</w:t>
            </w:r>
          </w:p>
        </w:tc>
        <w:tc>
          <w:tcPr>
            <w:tcW w:w="1946" w:type="pct"/>
            <w:vAlign w:val="center"/>
          </w:tcPr>
          <w:p w14:paraId="2F496E72" w14:textId="77777777" w:rsidR="008C4F0C" w:rsidRPr="00496317" w:rsidRDefault="008C4F0C" w:rsidP="00310C45">
            <w:pPr>
              <w:spacing w:after="0"/>
              <w:rPr>
                <w:rFonts w:ascii="Arial" w:hAnsi="Arial" w:cs="Arial"/>
                <w:iCs/>
                <w:sz w:val="20"/>
                <w:szCs w:val="20"/>
              </w:rPr>
            </w:pPr>
            <w:r w:rsidRPr="00496317">
              <w:rPr>
                <w:rFonts w:ascii="Arial" w:hAnsi="Arial" w:cs="Arial"/>
                <w:iCs/>
                <w:sz w:val="20"/>
                <w:szCs w:val="20"/>
              </w:rPr>
              <w:t>Matrix Reasoning</w:t>
            </w:r>
          </w:p>
        </w:tc>
        <w:tc>
          <w:tcPr>
            <w:tcW w:w="482" w:type="pct"/>
            <w:vAlign w:val="center"/>
          </w:tcPr>
          <w:p w14:paraId="2F1EE28F" w14:textId="482079D8" w:rsidR="008C4F0C" w:rsidRPr="00496317" w:rsidRDefault="0049630B" w:rsidP="008C4F0C">
            <w:pPr>
              <w:spacing w:after="0"/>
              <w:jc w:val="center"/>
              <w:rPr>
                <w:rFonts w:ascii="Arial" w:hAnsi="Arial" w:cs="Arial"/>
                <w:iCs/>
                <w:sz w:val="20"/>
                <w:szCs w:val="20"/>
              </w:rPr>
            </w:pPr>
            <w:r w:rsidRPr="00496317">
              <w:rPr>
                <w:rFonts w:ascii="Arial" w:hAnsi="Arial" w:cs="Arial"/>
                <w:iCs/>
                <w:sz w:val="20"/>
                <w:szCs w:val="20"/>
              </w:rPr>
              <w:t>11</w:t>
            </w:r>
          </w:p>
        </w:tc>
      </w:tr>
    </w:tbl>
    <w:p w14:paraId="7C70395A" w14:textId="0DD5D077" w:rsidR="008C4F0C" w:rsidRPr="00496317" w:rsidRDefault="008C4F0C" w:rsidP="000A0736">
      <w:pPr>
        <w:spacing w:after="0"/>
        <w:rPr>
          <w:rFonts w:ascii="Arial" w:hAnsi="Arial" w:cs="Arial"/>
          <w:b/>
          <w:sz w:val="20"/>
          <w:szCs w:val="20"/>
        </w:rPr>
      </w:pPr>
    </w:p>
    <w:p w14:paraId="44367508" w14:textId="7B9E029C" w:rsidR="0001180F" w:rsidRPr="00496317" w:rsidRDefault="006A71EF" w:rsidP="000A0736">
      <w:pPr>
        <w:spacing w:after="0"/>
        <w:rPr>
          <w:rFonts w:ascii="Arial" w:hAnsi="Arial" w:cs="Arial"/>
          <w:b/>
          <w:sz w:val="20"/>
          <w:szCs w:val="20"/>
        </w:rPr>
      </w:pPr>
      <w:r>
        <w:rPr>
          <w:rFonts w:ascii="Arial" w:hAnsi="Arial" w:cs="Arial"/>
          <w:b/>
          <w:sz w:val="20"/>
          <w:szCs w:val="20"/>
        </w:rPr>
        <w:t xml:space="preserve">SUMMARY &amp; </w:t>
      </w:r>
      <w:r w:rsidR="001C4CCC" w:rsidRPr="00496317">
        <w:rPr>
          <w:rFonts w:ascii="Arial" w:hAnsi="Arial" w:cs="Arial"/>
          <w:b/>
          <w:sz w:val="20"/>
          <w:szCs w:val="20"/>
        </w:rPr>
        <w:t>DIAGNOSIS</w:t>
      </w:r>
    </w:p>
    <w:p w14:paraId="0C3BF7F9" w14:textId="22945F2B" w:rsidR="001C7691" w:rsidRDefault="00903B22" w:rsidP="000A0736">
      <w:pPr>
        <w:spacing w:after="0"/>
        <w:rPr>
          <w:rFonts w:ascii="Arial" w:hAnsi="Arial" w:cs="Arial"/>
          <w:bCs/>
          <w:sz w:val="20"/>
          <w:szCs w:val="20"/>
        </w:rPr>
      </w:pPr>
      <w:r w:rsidRPr="00496317">
        <w:rPr>
          <w:rFonts w:ascii="Arial" w:hAnsi="Arial" w:cs="Arial"/>
          <w:bCs/>
          <w:sz w:val="20"/>
          <w:szCs w:val="20"/>
        </w:rPr>
        <w:t xml:space="preserve">Based on information gathered through the clinical interview and psychological testing, it is determined that </w:t>
      </w:r>
      <w:r w:rsidR="00912820">
        <w:rPr>
          <w:rFonts w:ascii="Arial" w:hAnsi="Arial" w:cs="Arial"/>
          <w:bCs/>
          <w:sz w:val="20"/>
          <w:szCs w:val="20"/>
        </w:rPr>
        <w:t>Aimee</w:t>
      </w:r>
      <w:r w:rsidRPr="00496317">
        <w:rPr>
          <w:rFonts w:ascii="Arial" w:hAnsi="Arial" w:cs="Arial"/>
          <w:bCs/>
          <w:sz w:val="20"/>
          <w:szCs w:val="20"/>
        </w:rPr>
        <w:t xml:space="preserve"> currently meets diagnostic criteria for </w:t>
      </w:r>
      <w:r w:rsidRPr="00861285">
        <w:rPr>
          <w:rFonts w:ascii="Arial" w:hAnsi="Arial" w:cs="Arial"/>
          <w:b/>
          <w:sz w:val="20"/>
          <w:szCs w:val="20"/>
        </w:rPr>
        <w:t>Bulimia Nervosa</w:t>
      </w:r>
      <w:r w:rsidR="0066537E" w:rsidRPr="00861285">
        <w:rPr>
          <w:rFonts w:ascii="Arial" w:hAnsi="Arial" w:cs="Arial"/>
          <w:b/>
          <w:sz w:val="20"/>
          <w:szCs w:val="20"/>
        </w:rPr>
        <w:t xml:space="preserve"> (</w:t>
      </w:r>
      <w:r w:rsidR="002945FA">
        <w:rPr>
          <w:rFonts w:ascii="Arial" w:hAnsi="Arial" w:cs="Arial"/>
          <w:b/>
          <w:sz w:val="20"/>
          <w:szCs w:val="20"/>
        </w:rPr>
        <w:t xml:space="preserve">BN; </w:t>
      </w:r>
      <w:r w:rsidR="0066537E" w:rsidRPr="00861285">
        <w:rPr>
          <w:rFonts w:ascii="Arial" w:hAnsi="Arial" w:cs="Arial"/>
          <w:b/>
          <w:sz w:val="20"/>
          <w:szCs w:val="20"/>
        </w:rPr>
        <w:t xml:space="preserve">F50.2), </w:t>
      </w:r>
      <w:r w:rsidR="00861285" w:rsidRPr="00861285">
        <w:rPr>
          <w:rFonts w:ascii="Arial" w:hAnsi="Arial" w:cs="Arial"/>
          <w:b/>
          <w:sz w:val="20"/>
          <w:szCs w:val="20"/>
        </w:rPr>
        <w:t>E</w:t>
      </w:r>
      <w:r w:rsidR="00EF2969" w:rsidRPr="00861285">
        <w:rPr>
          <w:rFonts w:ascii="Arial" w:hAnsi="Arial" w:cs="Arial"/>
          <w:b/>
          <w:sz w:val="20"/>
          <w:szCs w:val="20"/>
        </w:rPr>
        <w:t xml:space="preserve">xtreme </w:t>
      </w:r>
      <w:r w:rsidR="00861285" w:rsidRPr="00861285">
        <w:rPr>
          <w:rFonts w:ascii="Arial" w:hAnsi="Arial" w:cs="Arial"/>
          <w:b/>
          <w:sz w:val="20"/>
          <w:szCs w:val="20"/>
        </w:rPr>
        <w:t>S</w:t>
      </w:r>
      <w:r w:rsidR="00EF2969" w:rsidRPr="00861285">
        <w:rPr>
          <w:rFonts w:ascii="Arial" w:hAnsi="Arial" w:cs="Arial"/>
          <w:b/>
          <w:sz w:val="20"/>
          <w:szCs w:val="20"/>
        </w:rPr>
        <w:t>everity,</w:t>
      </w:r>
      <w:r w:rsidR="00EF2969" w:rsidRPr="00496317">
        <w:rPr>
          <w:rFonts w:ascii="Arial" w:hAnsi="Arial" w:cs="Arial"/>
          <w:bCs/>
          <w:sz w:val="20"/>
          <w:szCs w:val="20"/>
        </w:rPr>
        <w:t xml:space="preserve"> as she engages in </w:t>
      </w:r>
      <w:r w:rsidR="00EF2969">
        <w:rPr>
          <w:rFonts w:ascii="Arial" w:hAnsi="Arial" w:cs="Arial"/>
          <w:bCs/>
          <w:sz w:val="20"/>
          <w:szCs w:val="20"/>
        </w:rPr>
        <w:t>≥</w:t>
      </w:r>
      <w:r w:rsidR="00EF2969" w:rsidRPr="00496317">
        <w:rPr>
          <w:rFonts w:ascii="Arial" w:hAnsi="Arial" w:cs="Arial"/>
          <w:bCs/>
          <w:sz w:val="20"/>
          <w:szCs w:val="20"/>
        </w:rPr>
        <w:t>14 episodes of inappropriate compensatory behaviors per week</w:t>
      </w:r>
      <w:r w:rsidR="00EF2969">
        <w:rPr>
          <w:rFonts w:ascii="Arial" w:hAnsi="Arial" w:cs="Arial"/>
          <w:bCs/>
          <w:sz w:val="20"/>
          <w:szCs w:val="20"/>
        </w:rPr>
        <w:t xml:space="preserve"> on average</w:t>
      </w:r>
      <w:r w:rsidR="00EF2969" w:rsidRPr="00496317">
        <w:rPr>
          <w:rFonts w:ascii="Arial" w:hAnsi="Arial" w:cs="Arial"/>
          <w:bCs/>
          <w:sz w:val="20"/>
          <w:szCs w:val="20"/>
        </w:rPr>
        <w:t>.</w:t>
      </w:r>
      <w:r w:rsidR="00EF2969">
        <w:rPr>
          <w:rFonts w:ascii="Arial" w:hAnsi="Arial" w:cs="Arial"/>
          <w:bCs/>
          <w:sz w:val="20"/>
          <w:szCs w:val="20"/>
        </w:rPr>
        <w:t xml:space="preserve"> </w:t>
      </w:r>
    </w:p>
    <w:p w14:paraId="14460816" w14:textId="77777777" w:rsidR="001C7691" w:rsidRDefault="001C7691" w:rsidP="000A0736">
      <w:pPr>
        <w:spacing w:after="0"/>
        <w:rPr>
          <w:rFonts w:ascii="Arial" w:hAnsi="Arial" w:cs="Arial"/>
          <w:bCs/>
          <w:sz w:val="20"/>
          <w:szCs w:val="20"/>
        </w:rPr>
      </w:pPr>
    </w:p>
    <w:p w14:paraId="128C275E" w14:textId="73A4CC7F" w:rsidR="001677F6" w:rsidRDefault="001677F6" w:rsidP="000A0736">
      <w:pPr>
        <w:spacing w:after="0"/>
        <w:rPr>
          <w:rFonts w:ascii="Arial" w:hAnsi="Arial" w:cs="Arial"/>
          <w:bCs/>
          <w:sz w:val="20"/>
          <w:szCs w:val="20"/>
        </w:rPr>
      </w:pPr>
      <w:r w:rsidRPr="00496317">
        <w:rPr>
          <w:rFonts w:ascii="Arial" w:hAnsi="Arial" w:cs="Arial"/>
          <w:bCs/>
          <w:sz w:val="20"/>
          <w:szCs w:val="20"/>
        </w:rPr>
        <w:t xml:space="preserve">Major Depressive Disorder </w:t>
      </w:r>
      <w:r>
        <w:rPr>
          <w:rFonts w:ascii="Arial" w:hAnsi="Arial" w:cs="Arial"/>
          <w:bCs/>
          <w:sz w:val="20"/>
          <w:szCs w:val="20"/>
        </w:rPr>
        <w:t xml:space="preserve">(MDD) </w:t>
      </w:r>
      <w:r w:rsidR="00EF2969">
        <w:rPr>
          <w:rFonts w:ascii="Arial" w:hAnsi="Arial" w:cs="Arial"/>
          <w:bCs/>
          <w:sz w:val="20"/>
          <w:szCs w:val="20"/>
        </w:rPr>
        <w:t>is</w:t>
      </w:r>
      <w:r w:rsidRPr="00496317">
        <w:rPr>
          <w:rFonts w:ascii="Arial" w:hAnsi="Arial" w:cs="Arial"/>
          <w:bCs/>
          <w:sz w:val="20"/>
          <w:szCs w:val="20"/>
        </w:rPr>
        <w:t xml:space="preserve"> a potential rule-out. </w:t>
      </w:r>
      <w:r w:rsidRPr="001677F6">
        <w:rPr>
          <w:rFonts w:ascii="Arial" w:hAnsi="Arial" w:cs="Arial"/>
          <w:bCs/>
          <w:sz w:val="20"/>
          <w:szCs w:val="20"/>
        </w:rPr>
        <w:t xml:space="preserve">Overeating is common in </w:t>
      </w:r>
      <w:r>
        <w:rPr>
          <w:rFonts w:ascii="Arial" w:hAnsi="Arial" w:cs="Arial"/>
          <w:bCs/>
          <w:sz w:val="20"/>
          <w:szCs w:val="20"/>
        </w:rPr>
        <w:t>MDD</w:t>
      </w:r>
      <w:r w:rsidRPr="001677F6">
        <w:rPr>
          <w:rFonts w:ascii="Arial" w:hAnsi="Arial" w:cs="Arial"/>
          <w:bCs/>
          <w:sz w:val="20"/>
          <w:szCs w:val="20"/>
        </w:rPr>
        <w:t xml:space="preserve"> with atypical features, but individuals with this disorder do not engage in inappropriate compensatory behaviors and do not exhibit the excessive concern with body shape and weight characteristic of bulimia nervosa</w:t>
      </w:r>
      <w:r w:rsidR="00861285">
        <w:rPr>
          <w:rFonts w:ascii="Arial" w:hAnsi="Arial" w:cs="Arial"/>
          <w:bCs/>
          <w:sz w:val="20"/>
          <w:szCs w:val="20"/>
        </w:rPr>
        <w:t xml:space="preserve"> (DSM-5-TR; </w:t>
      </w:r>
      <w:r w:rsidR="00861285" w:rsidRPr="00861285">
        <w:rPr>
          <w:rFonts w:ascii="Arial" w:hAnsi="Arial" w:cs="Arial"/>
          <w:bCs/>
          <w:sz w:val="20"/>
          <w:szCs w:val="20"/>
        </w:rPr>
        <w:t>American Psychiatric Association, 2013)</w:t>
      </w:r>
      <w:r>
        <w:rPr>
          <w:rFonts w:ascii="Arial" w:hAnsi="Arial" w:cs="Arial"/>
          <w:bCs/>
          <w:sz w:val="20"/>
          <w:szCs w:val="20"/>
        </w:rPr>
        <w:t>, all</w:t>
      </w:r>
      <w:r w:rsidRPr="006A71EF">
        <w:rPr>
          <w:rFonts w:ascii="Arial" w:hAnsi="Arial" w:cs="Arial"/>
          <w:bCs/>
          <w:sz w:val="20"/>
          <w:szCs w:val="20"/>
        </w:rPr>
        <w:t xml:space="preserve"> of which are </w:t>
      </w:r>
      <w:r>
        <w:rPr>
          <w:rFonts w:ascii="Arial" w:hAnsi="Arial" w:cs="Arial"/>
          <w:bCs/>
          <w:sz w:val="20"/>
          <w:szCs w:val="20"/>
        </w:rPr>
        <w:t xml:space="preserve">salient </w:t>
      </w:r>
      <w:r w:rsidRPr="006A71EF">
        <w:rPr>
          <w:rFonts w:ascii="Arial" w:hAnsi="Arial" w:cs="Arial"/>
          <w:bCs/>
          <w:sz w:val="20"/>
          <w:szCs w:val="20"/>
        </w:rPr>
        <w:t>features of this patient’s presentation</w:t>
      </w:r>
      <w:r>
        <w:rPr>
          <w:rFonts w:ascii="Arial" w:hAnsi="Arial" w:cs="Arial"/>
          <w:bCs/>
          <w:sz w:val="20"/>
          <w:szCs w:val="20"/>
        </w:rPr>
        <w:t>.</w:t>
      </w:r>
    </w:p>
    <w:p w14:paraId="13542438" w14:textId="77777777" w:rsidR="001677F6" w:rsidRDefault="001677F6" w:rsidP="000A0736">
      <w:pPr>
        <w:spacing w:after="0"/>
        <w:rPr>
          <w:rFonts w:ascii="Arial" w:hAnsi="Arial" w:cs="Arial"/>
          <w:bCs/>
          <w:sz w:val="20"/>
          <w:szCs w:val="20"/>
        </w:rPr>
      </w:pPr>
    </w:p>
    <w:p w14:paraId="287517DD" w14:textId="77777777" w:rsidR="00EF2969" w:rsidRPr="00496317" w:rsidRDefault="00EF2969" w:rsidP="00EF2969">
      <w:pPr>
        <w:spacing w:after="0"/>
        <w:rPr>
          <w:rFonts w:ascii="Arial" w:hAnsi="Arial" w:cs="Arial"/>
          <w:sz w:val="20"/>
          <w:szCs w:val="20"/>
          <w:highlight w:val="yellow"/>
        </w:rPr>
      </w:pPr>
      <w:r w:rsidRPr="00BD698B">
        <w:rPr>
          <w:rFonts w:ascii="Arial" w:hAnsi="Arial" w:cs="Arial"/>
          <w:sz w:val="20"/>
          <w:szCs w:val="20"/>
        </w:rPr>
        <w:lastRenderedPageBreak/>
        <w:t>In considering the social environment of the respondent with respect to perceived stressors and the</w:t>
      </w:r>
      <w:r>
        <w:rPr>
          <w:rFonts w:ascii="Arial" w:hAnsi="Arial" w:cs="Arial"/>
          <w:sz w:val="20"/>
          <w:szCs w:val="20"/>
        </w:rPr>
        <w:t xml:space="preserve"> </w:t>
      </w:r>
      <w:r w:rsidRPr="00BD698B">
        <w:rPr>
          <w:rFonts w:ascii="Arial" w:hAnsi="Arial" w:cs="Arial"/>
          <w:sz w:val="20"/>
          <w:szCs w:val="20"/>
        </w:rPr>
        <w:t>availability of social supports with which to deal with these stressors, her responses indicate that both</w:t>
      </w:r>
      <w:r>
        <w:rPr>
          <w:rFonts w:ascii="Arial" w:hAnsi="Arial" w:cs="Arial"/>
          <w:sz w:val="20"/>
          <w:szCs w:val="20"/>
        </w:rPr>
        <w:t xml:space="preserve"> </w:t>
      </w:r>
      <w:r w:rsidRPr="00BD698B">
        <w:rPr>
          <w:rFonts w:ascii="Arial" w:hAnsi="Arial" w:cs="Arial"/>
          <w:sz w:val="20"/>
          <w:szCs w:val="20"/>
        </w:rPr>
        <w:t>her recent level of stress and her perceived level of social support are about average in comparison to</w:t>
      </w:r>
      <w:r>
        <w:rPr>
          <w:rFonts w:ascii="Arial" w:hAnsi="Arial" w:cs="Arial"/>
          <w:sz w:val="20"/>
          <w:szCs w:val="20"/>
        </w:rPr>
        <w:t xml:space="preserve"> </w:t>
      </w:r>
      <w:r w:rsidRPr="00BD698B">
        <w:rPr>
          <w:rFonts w:ascii="Arial" w:hAnsi="Arial" w:cs="Arial"/>
          <w:sz w:val="20"/>
          <w:szCs w:val="20"/>
        </w:rPr>
        <w:t>normal adults. The reasonably low</w:t>
      </w:r>
      <w:r>
        <w:rPr>
          <w:rFonts w:ascii="Arial" w:hAnsi="Arial" w:cs="Arial"/>
          <w:sz w:val="20"/>
          <w:szCs w:val="20"/>
        </w:rPr>
        <w:t>-</w:t>
      </w:r>
      <w:r w:rsidRPr="00BD698B">
        <w:rPr>
          <w:rFonts w:ascii="Arial" w:hAnsi="Arial" w:cs="Arial"/>
          <w:sz w:val="20"/>
          <w:szCs w:val="20"/>
        </w:rPr>
        <w:t>stress environment and the intact social support system are both</w:t>
      </w:r>
      <w:r>
        <w:rPr>
          <w:rFonts w:ascii="Arial" w:hAnsi="Arial" w:cs="Arial"/>
          <w:sz w:val="20"/>
          <w:szCs w:val="20"/>
        </w:rPr>
        <w:t xml:space="preserve"> </w:t>
      </w:r>
      <w:r w:rsidRPr="00BD698B">
        <w:rPr>
          <w:rFonts w:ascii="Arial" w:hAnsi="Arial" w:cs="Arial"/>
          <w:sz w:val="20"/>
          <w:szCs w:val="20"/>
        </w:rPr>
        <w:t>favorable prognostic signs for future adjustment.</w:t>
      </w:r>
    </w:p>
    <w:p w14:paraId="2A179FF9" w14:textId="182E9583" w:rsidR="00EF2969" w:rsidRDefault="00EF2969" w:rsidP="00496317">
      <w:pPr>
        <w:spacing w:after="0"/>
        <w:rPr>
          <w:rFonts w:ascii="Arial" w:hAnsi="Arial" w:cs="Arial"/>
          <w:sz w:val="20"/>
          <w:szCs w:val="20"/>
        </w:rPr>
      </w:pPr>
    </w:p>
    <w:p w14:paraId="49648E47" w14:textId="28F9F077" w:rsidR="00A96D7C" w:rsidRDefault="00846795" w:rsidP="00CB4564">
      <w:pPr>
        <w:spacing w:after="0"/>
        <w:jc w:val="both"/>
        <w:rPr>
          <w:rFonts w:ascii="Arial" w:hAnsi="Arial" w:cs="Arial"/>
          <w:sz w:val="20"/>
          <w:szCs w:val="20"/>
        </w:rPr>
      </w:pPr>
      <w:r>
        <w:rPr>
          <w:rFonts w:ascii="Arial" w:hAnsi="Arial" w:cs="Arial"/>
          <w:sz w:val="20"/>
          <w:szCs w:val="20"/>
        </w:rPr>
        <w:t xml:space="preserve">However, </w:t>
      </w:r>
      <w:r w:rsidR="00912820">
        <w:rPr>
          <w:rFonts w:ascii="Arial" w:hAnsi="Arial" w:cs="Arial"/>
          <w:sz w:val="20"/>
          <w:szCs w:val="20"/>
        </w:rPr>
        <w:t>Aimee</w:t>
      </w:r>
      <w:r>
        <w:rPr>
          <w:rFonts w:ascii="Arial" w:hAnsi="Arial" w:cs="Arial"/>
          <w:sz w:val="20"/>
          <w:szCs w:val="20"/>
        </w:rPr>
        <w:t xml:space="preserve">’s </w:t>
      </w:r>
      <w:r w:rsidRPr="00A96D7C">
        <w:rPr>
          <w:rFonts w:ascii="Arial" w:hAnsi="Arial" w:cs="Arial"/>
          <w:sz w:val="20"/>
          <w:szCs w:val="20"/>
        </w:rPr>
        <w:t xml:space="preserve">energy intake </w:t>
      </w:r>
      <w:r>
        <w:rPr>
          <w:rFonts w:ascii="Arial" w:hAnsi="Arial" w:cs="Arial"/>
          <w:sz w:val="20"/>
          <w:szCs w:val="20"/>
        </w:rPr>
        <w:t>is completely restricted outside episodes of binge eating and she is engaging in self-induced vomiting, a type of purging behavior, 2-5 times per day every day, which is well above the threshold for the e</w:t>
      </w:r>
      <w:r w:rsidRPr="00846795">
        <w:rPr>
          <w:rFonts w:ascii="Arial" w:hAnsi="Arial" w:cs="Arial"/>
          <w:sz w:val="20"/>
          <w:szCs w:val="20"/>
        </w:rPr>
        <w:t xml:space="preserve">xtreme </w:t>
      </w:r>
      <w:r>
        <w:rPr>
          <w:rFonts w:ascii="Arial" w:hAnsi="Arial" w:cs="Arial"/>
          <w:sz w:val="20"/>
          <w:szCs w:val="20"/>
        </w:rPr>
        <w:t>s</w:t>
      </w:r>
      <w:r w:rsidRPr="00846795">
        <w:rPr>
          <w:rFonts w:ascii="Arial" w:hAnsi="Arial" w:cs="Arial"/>
          <w:sz w:val="20"/>
          <w:szCs w:val="20"/>
        </w:rPr>
        <w:t>everity</w:t>
      </w:r>
      <w:r>
        <w:rPr>
          <w:rFonts w:ascii="Arial" w:hAnsi="Arial" w:cs="Arial"/>
          <w:sz w:val="20"/>
          <w:szCs w:val="20"/>
        </w:rPr>
        <w:t xml:space="preserve"> specifier. There also </w:t>
      </w:r>
      <w:r w:rsidR="00CB4564">
        <w:rPr>
          <w:rFonts w:ascii="Arial" w:hAnsi="Arial" w:cs="Arial"/>
          <w:sz w:val="20"/>
          <w:szCs w:val="20"/>
        </w:rPr>
        <w:t xml:space="preserve">is substantial </w:t>
      </w:r>
      <w:r>
        <w:rPr>
          <w:rFonts w:ascii="Arial" w:hAnsi="Arial" w:cs="Arial"/>
          <w:sz w:val="20"/>
          <w:szCs w:val="20"/>
        </w:rPr>
        <w:t xml:space="preserve">evidence to suggest </w:t>
      </w:r>
      <w:r w:rsidR="00CB4564">
        <w:rPr>
          <w:rFonts w:ascii="Arial" w:hAnsi="Arial" w:cs="Arial"/>
          <w:sz w:val="20"/>
          <w:szCs w:val="20"/>
        </w:rPr>
        <w:t>that her</w:t>
      </w:r>
      <w:r>
        <w:rPr>
          <w:rFonts w:ascii="Arial" w:hAnsi="Arial" w:cs="Arial"/>
          <w:sz w:val="20"/>
          <w:szCs w:val="20"/>
        </w:rPr>
        <w:t xml:space="preserve"> weight is suppressed</w:t>
      </w:r>
      <w:r w:rsidR="00CB4564">
        <w:rPr>
          <w:rFonts w:ascii="Arial" w:hAnsi="Arial" w:cs="Arial"/>
          <w:sz w:val="20"/>
          <w:szCs w:val="20"/>
        </w:rPr>
        <w:t xml:space="preserve"> and nutrition </w:t>
      </w:r>
      <w:r w:rsidR="001C7691">
        <w:rPr>
          <w:rFonts w:ascii="Arial" w:hAnsi="Arial" w:cs="Arial"/>
          <w:sz w:val="20"/>
          <w:szCs w:val="20"/>
        </w:rPr>
        <w:t xml:space="preserve">levels are </w:t>
      </w:r>
      <w:r w:rsidR="00CB4564">
        <w:rPr>
          <w:rFonts w:ascii="Arial" w:hAnsi="Arial" w:cs="Arial"/>
          <w:sz w:val="20"/>
          <w:szCs w:val="20"/>
        </w:rPr>
        <w:t>inadequate</w:t>
      </w:r>
      <w:r>
        <w:rPr>
          <w:rFonts w:ascii="Arial" w:hAnsi="Arial" w:cs="Arial"/>
          <w:sz w:val="20"/>
          <w:szCs w:val="20"/>
        </w:rPr>
        <w:t xml:space="preserve"> </w:t>
      </w:r>
      <w:r w:rsidRPr="00846795">
        <w:rPr>
          <w:rFonts w:ascii="Arial" w:hAnsi="Arial" w:cs="Arial"/>
          <w:sz w:val="20"/>
          <w:szCs w:val="20"/>
        </w:rPr>
        <w:t xml:space="preserve">relative to </w:t>
      </w:r>
      <w:r>
        <w:rPr>
          <w:rFonts w:ascii="Arial" w:hAnsi="Arial" w:cs="Arial"/>
          <w:sz w:val="20"/>
          <w:szCs w:val="20"/>
        </w:rPr>
        <w:t xml:space="preserve">her body’s </w:t>
      </w:r>
      <w:r w:rsidRPr="00846795">
        <w:rPr>
          <w:rFonts w:ascii="Arial" w:hAnsi="Arial" w:cs="Arial"/>
          <w:sz w:val="20"/>
          <w:szCs w:val="20"/>
        </w:rPr>
        <w:t>requirements</w:t>
      </w:r>
      <w:r>
        <w:rPr>
          <w:rFonts w:ascii="Arial" w:hAnsi="Arial" w:cs="Arial"/>
          <w:sz w:val="20"/>
          <w:szCs w:val="20"/>
        </w:rPr>
        <w:t>.</w:t>
      </w:r>
      <w:r w:rsidR="00CB4564">
        <w:rPr>
          <w:rFonts w:ascii="Arial" w:hAnsi="Arial" w:cs="Arial"/>
          <w:sz w:val="20"/>
          <w:szCs w:val="20"/>
        </w:rPr>
        <w:t xml:space="preserve"> For example, f</w:t>
      </w:r>
      <w:r w:rsidR="00CB4564" w:rsidRPr="00861285">
        <w:rPr>
          <w:rFonts w:ascii="Arial" w:hAnsi="Arial" w:cs="Arial"/>
          <w:sz w:val="20"/>
          <w:szCs w:val="20"/>
        </w:rPr>
        <w:t>luid and electrolyte abnormalities</w:t>
      </w:r>
      <w:r w:rsidR="00CB4564">
        <w:rPr>
          <w:rFonts w:ascii="Arial" w:hAnsi="Arial" w:cs="Arial"/>
          <w:sz w:val="20"/>
          <w:szCs w:val="20"/>
        </w:rPr>
        <w:t xml:space="preserve"> can o</w:t>
      </w:r>
      <w:r w:rsidR="00720202">
        <w:rPr>
          <w:rFonts w:ascii="Arial" w:hAnsi="Arial" w:cs="Arial"/>
          <w:sz w:val="20"/>
          <w:szCs w:val="20"/>
        </w:rPr>
        <w:t>cc</w:t>
      </w:r>
      <w:r w:rsidR="00CB4564">
        <w:rPr>
          <w:rFonts w:ascii="Arial" w:hAnsi="Arial" w:cs="Arial"/>
          <w:sz w:val="20"/>
          <w:szCs w:val="20"/>
        </w:rPr>
        <w:t xml:space="preserve">ur in bulimia nervosa </w:t>
      </w:r>
      <w:r w:rsidR="00CB4564" w:rsidRPr="00861285">
        <w:rPr>
          <w:rFonts w:ascii="Arial" w:hAnsi="Arial" w:cs="Arial"/>
          <w:sz w:val="20"/>
          <w:szCs w:val="20"/>
        </w:rPr>
        <w:t xml:space="preserve">as a </w:t>
      </w:r>
      <w:r w:rsidR="00CB4564">
        <w:rPr>
          <w:rFonts w:ascii="Arial" w:hAnsi="Arial" w:cs="Arial"/>
          <w:sz w:val="20"/>
          <w:szCs w:val="20"/>
        </w:rPr>
        <w:t>c</w:t>
      </w:r>
      <w:r w:rsidR="00CB4564" w:rsidRPr="00861285">
        <w:rPr>
          <w:rFonts w:ascii="Arial" w:hAnsi="Arial" w:cs="Arial"/>
          <w:sz w:val="20"/>
          <w:szCs w:val="20"/>
        </w:rPr>
        <w:t>onsequence of purging</w:t>
      </w:r>
      <w:r w:rsidR="00CB4564">
        <w:rPr>
          <w:rFonts w:ascii="Arial" w:hAnsi="Arial" w:cs="Arial"/>
          <w:sz w:val="20"/>
          <w:szCs w:val="20"/>
        </w:rPr>
        <w:t xml:space="preserve">, and such abnormalities have been observed in </w:t>
      </w:r>
      <w:r w:rsidR="00912820">
        <w:rPr>
          <w:rFonts w:ascii="Arial" w:hAnsi="Arial" w:cs="Arial"/>
          <w:sz w:val="20"/>
          <w:szCs w:val="20"/>
        </w:rPr>
        <w:t>Aimee</w:t>
      </w:r>
      <w:r w:rsidR="00CB4564">
        <w:rPr>
          <w:rFonts w:ascii="Arial" w:hAnsi="Arial" w:cs="Arial"/>
          <w:sz w:val="20"/>
          <w:szCs w:val="20"/>
        </w:rPr>
        <w:t xml:space="preserve">’s case. She has been hospitalized </w:t>
      </w:r>
      <w:r w:rsidR="00E0091E">
        <w:rPr>
          <w:rFonts w:ascii="Arial" w:hAnsi="Arial" w:cs="Arial"/>
          <w:sz w:val="20"/>
          <w:szCs w:val="20"/>
        </w:rPr>
        <w:t>3-4 times</w:t>
      </w:r>
      <w:r w:rsidR="00CB4564">
        <w:rPr>
          <w:rFonts w:ascii="Arial" w:hAnsi="Arial" w:cs="Arial"/>
          <w:sz w:val="20"/>
          <w:szCs w:val="20"/>
        </w:rPr>
        <w:t xml:space="preserve"> for </w:t>
      </w:r>
      <w:r w:rsidR="00CB4564" w:rsidRPr="00861285">
        <w:rPr>
          <w:rFonts w:ascii="Arial" w:hAnsi="Arial" w:cs="Arial"/>
          <w:sz w:val="20"/>
          <w:szCs w:val="20"/>
        </w:rPr>
        <w:t>hypokalemia</w:t>
      </w:r>
      <w:r w:rsidR="00CB4564">
        <w:rPr>
          <w:rFonts w:ascii="Arial" w:hAnsi="Arial" w:cs="Arial"/>
          <w:sz w:val="20"/>
          <w:szCs w:val="20"/>
        </w:rPr>
        <w:t xml:space="preserve">, </w:t>
      </w:r>
      <w:r w:rsidR="00CB4564" w:rsidRPr="00861285">
        <w:rPr>
          <w:rFonts w:ascii="Arial" w:hAnsi="Arial" w:cs="Arial"/>
          <w:sz w:val="20"/>
          <w:szCs w:val="20"/>
        </w:rPr>
        <w:t>which can provoke cardiac arrhythmias</w:t>
      </w:r>
      <w:r w:rsidR="00CB4564">
        <w:rPr>
          <w:rFonts w:ascii="Arial" w:hAnsi="Arial" w:cs="Arial"/>
          <w:sz w:val="20"/>
          <w:szCs w:val="20"/>
        </w:rPr>
        <w:t xml:space="preserve">, and </w:t>
      </w:r>
      <w:r w:rsidR="004D6996">
        <w:rPr>
          <w:rFonts w:ascii="Arial" w:hAnsi="Arial" w:cs="Arial"/>
          <w:sz w:val="20"/>
          <w:szCs w:val="20"/>
        </w:rPr>
        <w:t xml:space="preserve">she </w:t>
      </w:r>
      <w:r w:rsidR="00CB4564">
        <w:rPr>
          <w:rFonts w:ascii="Arial" w:hAnsi="Arial" w:cs="Arial"/>
          <w:sz w:val="20"/>
          <w:szCs w:val="20"/>
        </w:rPr>
        <w:t>now receives regular bloodwork to check her potassium levels.</w:t>
      </w:r>
    </w:p>
    <w:p w14:paraId="5A87362D" w14:textId="77777777" w:rsidR="001677F6" w:rsidRDefault="001677F6" w:rsidP="001677F6">
      <w:pPr>
        <w:spacing w:after="0"/>
        <w:rPr>
          <w:rFonts w:ascii="Arial" w:hAnsi="Arial" w:cs="Arial"/>
          <w:b/>
          <w:sz w:val="20"/>
          <w:szCs w:val="20"/>
        </w:rPr>
      </w:pPr>
    </w:p>
    <w:p w14:paraId="34003F16" w14:textId="08811174" w:rsidR="001677F6" w:rsidRPr="00496317" w:rsidRDefault="001677F6" w:rsidP="001677F6">
      <w:pPr>
        <w:spacing w:after="0"/>
        <w:rPr>
          <w:rFonts w:ascii="Arial" w:hAnsi="Arial" w:cs="Arial"/>
          <w:b/>
          <w:sz w:val="20"/>
          <w:szCs w:val="20"/>
        </w:rPr>
      </w:pPr>
      <w:r w:rsidRPr="00496317">
        <w:rPr>
          <w:rFonts w:ascii="Arial" w:hAnsi="Arial" w:cs="Arial"/>
          <w:b/>
          <w:sz w:val="20"/>
          <w:szCs w:val="20"/>
        </w:rPr>
        <w:t>INITIAL TREATMENT PLAN</w:t>
      </w:r>
    </w:p>
    <w:p w14:paraId="55DE018E" w14:textId="77777777" w:rsidR="00496317" w:rsidRPr="00496317" w:rsidRDefault="00496317" w:rsidP="00496317">
      <w:pPr>
        <w:spacing w:after="0"/>
        <w:rPr>
          <w:rFonts w:ascii="Arial" w:hAnsi="Arial" w:cs="Arial"/>
          <w:sz w:val="20"/>
          <w:szCs w:val="20"/>
          <w:highlight w:val="yellow"/>
        </w:rPr>
      </w:pPr>
    </w:p>
    <w:p w14:paraId="2A4C2B03" w14:textId="5263B071" w:rsidR="00496317" w:rsidRDefault="00BD698B" w:rsidP="00BD698B">
      <w:pPr>
        <w:spacing w:after="0"/>
        <w:jc w:val="both"/>
        <w:rPr>
          <w:rFonts w:ascii="Arial" w:hAnsi="Arial" w:cs="Arial"/>
          <w:sz w:val="20"/>
          <w:szCs w:val="20"/>
        </w:rPr>
      </w:pPr>
      <w:r w:rsidRPr="00BD698B">
        <w:rPr>
          <w:rFonts w:ascii="Arial" w:hAnsi="Arial" w:cs="Arial"/>
          <w:sz w:val="20"/>
          <w:szCs w:val="20"/>
        </w:rPr>
        <w:t>The respondent's interest in and motivation for treatment is typical of individuals being seen in</w:t>
      </w:r>
      <w:r>
        <w:rPr>
          <w:rFonts w:ascii="Arial" w:hAnsi="Arial" w:cs="Arial"/>
          <w:sz w:val="20"/>
          <w:szCs w:val="20"/>
        </w:rPr>
        <w:t xml:space="preserve"> </w:t>
      </w:r>
      <w:r w:rsidRPr="00BD698B">
        <w:rPr>
          <w:rFonts w:ascii="Arial" w:hAnsi="Arial" w:cs="Arial"/>
          <w:sz w:val="20"/>
          <w:szCs w:val="20"/>
        </w:rPr>
        <w:t>treatment settings, and she appears more motivated for treatment than adults who are not being</w:t>
      </w:r>
      <w:r>
        <w:rPr>
          <w:rFonts w:ascii="Arial" w:hAnsi="Arial" w:cs="Arial"/>
          <w:sz w:val="20"/>
          <w:szCs w:val="20"/>
        </w:rPr>
        <w:t xml:space="preserve"> </w:t>
      </w:r>
      <w:r w:rsidRPr="00BD698B">
        <w:rPr>
          <w:rFonts w:ascii="Arial" w:hAnsi="Arial" w:cs="Arial"/>
          <w:sz w:val="20"/>
          <w:szCs w:val="20"/>
        </w:rPr>
        <w:t>seen in a therapeutic setting. Her responses suggest an acknowledgement of important problems and</w:t>
      </w:r>
      <w:r>
        <w:rPr>
          <w:rFonts w:ascii="Arial" w:hAnsi="Arial" w:cs="Arial"/>
          <w:sz w:val="20"/>
          <w:szCs w:val="20"/>
        </w:rPr>
        <w:t xml:space="preserve"> </w:t>
      </w:r>
      <w:r w:rsidRPr="00BD698B">
        <w:rPr>
          <w:rFonts w:ascii="Arial" w:hAnsi="Arial" w:cs="Arial"/>
          <w:sz w:val="20"/>
          <w:szCs w:val="20"/>
        </w:rPr>
        <w:t>the perception of a need for help in dealing with these problems. She reports a positive attitude</w:t>
      </w:r>
      <w:r>
        <w:rPr>
          <w:rFonts w:ascii="Arial" w:hAnsi="Arial" w:cs="Arial"/>
          <w:sz w:val="20"/>
          <w:szCs w:val="20"/>
        </w:rPr>
        <w:t xml:space="preserve"> </w:t>
      </w:r>
      <w:r w:rsidRPr="00BD698B">
        <w:rPr>
          <w:rFonts w:ascii="Arial" w:hAnsi="Arial" w:cs="Arial"/>
          <w:sz w:val="20"/>
          <w:szCs w:val="20"/>
        </w:rPr>
        <w:t xml:space="preserve">towards the possibility of personal change, the value of </w:t>
      </w:r>
      <w:r>
        <w:rPr>
          <w:rFonts w:ascii="Arial" w:hAnsi="Arial" w:cs="Arial"/>
          <w:sz w:val="20"/>
          <w:szCs w:val="20"/>
        </w:rPr>
        <w:t>t</w:t>
      </w:r>
      <w:r w:rsidRPr="00BD698B">
        <w:rPr>
          <w:rFonts w:ascii="Arial" w:hAnsi="Arial" w:cs="Arial"/>
          <w:sz w:val="20"/>
          <w:szCs w:val="20"/>
        </w:rPr>
        <w:t>herapy, and the importance of personal</w:t>
      </w:r>
      <w:r>
        <w:rPr>
          <w:rFonts w:ascii="Arial" w:hAnsi="Arial" w:cs="Arial"/>
          <w:sz w:val="20"/>
          <w:szCs w:val="20"/>
        </w:rPr>
        <w:t xml:space="preserve"> </w:t>
      </w:r>
      <w:r w:rsidRPr="00BD698B">
        <w:rPr>
          <w:rFonts w:ascii="Arial" w:hAnsi="Arial" w:cs="Arial"/>
          <w:sz w:val="20"/>
          <w:szCs w:val="20"/>
        </w:rPr>
        <w:t xml:space="preserve">responsibility. In addition, she reports a number of other strengths </w:t>
      </w:r>
      <w:r w:rsidR="00203433">
        <w:rPr>
          <w:rFonts w:ascii="Arial" w:hAnsi="Arial" w:cs="Arial"/>
          <w:sz w:val="20"/>
          <w:szCs w:val="20"/>
        </w:rPr>
        <w:t>(e.g.,</w:t>
      </w:r>
      <w:r w:rsidR="00607014">
        <w:rPr>
          <w:rFonts w:ascii="Arial" w:hAnsi="Arial" w:cs="Arial"/>
          <w:sz w:val="20"/>
          <w:szCs w:val="20"/>
        </w:rPr>
        <w:t xml:space="preserve"> social support, insight</w:t>
      </w:r>
      <w:r w:rsidR="00203433">
        <w:rPr>
          <w:rFonts w:ascii="Arial" w:hAnsi="Arial" w:cs="Arial"/>
          <w:sz w:val="20"/>
          <w:szCs w:val="20"/>
        </w:rPr>
        <w:t xml:space="preserve">) </w:t>
      </w:r>
      <w:r w:rsidRPr="00BD698B">
        <w:rPr>
          <w:rFonts w:ascii="Arial" w:hAnsi="Arial" w:cs="Arial"/>
          <w:sz w:val="20"/>
          <w:szCs w:val="20"/>
        </w:rPr>
        <w:t>that are positive indications for a</w:t>
      </w:r>
      <w:r>
        <w:rPr>
          <w:rFonts w:ascii="Arial" w:hAnsi="Arial" w:cs="Arial"/>
          <w:sz w:val="20"/>
          <w:szCs w:val="20"/>
        </w:rPr>
        <w:t xml:space="preserve"> </w:t>
      </w:r>
      <w:r w:rsidRPr="00BD698B">
        <w:rPr>
          <w:rFonts w:ascii="Arial" w:hAnsi="Arial" w:cs="Arial"/>
          <w:sz w:val="20"/>
          <w:szCs w:val="20"/>
        </w:rPr>
        <w:t>relatively smooth treatment process and a good prognosis.</w:t>
      </w:r>
    </w:p>
    <w:p w14:paraId="3ACF0A58" w14:textId="33CCA6F0" w:rsidR="00BD698B" w:rsidRDefault="00BD698B" w:rsidP="00BD698B">
      <w:pPr>
        <w:spacing w:after="0"/>
        <w:jc w:val="both"/>
        <w:rPr>
          <w:rFonts w:ascii="Arial" w:hAnsi="Arial" w:cs="Arial"/>
          <w:sz w:val="20"/>
          <w:szCs w:val="20"/>
        </w:rPr>
      </w:pPr>
    </w:p>
    <w:p w14:paraId="5B873060" w14:textId="26539600" w:rsidR="00EF1383" w:rsidRDefault="00CB4564" w:rsidP="00EF1383">
      <w:pPr>
        <w:spacing w:after="0"/>
        <w:jc w:val="both"/>
        <w:rPr>
          <w:rFonts w:ascii="Arial" w:hAnsi="Arial" w:cs="Arial"/>
          <w:sz w:val="20"/>
          <w:szCs w:val="20"/>
        </w:rPr>
      </w:pPr>
      <w:r>
        <w:rPr>
          <w:rFonts w:ascii="Arial" w:hAnsi="Arial" w:cs="Arial"/>
          <w:sz w:val="20"/>
          <w:szCs w:val="20"/>
        </w:rPr>
        <w:t xml:space="preserve">Immediate treatment goals will focus on getting </w:t>
      </w:r>
      <w:r w:rsidR="00912820">
        <w:rPr>
          <w:rFonts w:ascii="Arial" w:hAnsi="Arial" w:cs="Arial"/>
          <w:sz w:val="20"/>
          <w:szCs w:val="20"/>
        </w:rPr>
        <w:t>Aimee</w:t>
      </w:r>
      <w:r>
        <w:rPr>
          <w:rFonts w:ascii="Arial" w:hAnsi="Arial" w:cs="Arial"/>
          <w:sz w:val="20"/>
          <w:szCs w:val="20"/>
        </w:rPr>
        <w:t xml:space="preserve"> medically stable and nutritionally balanced</w:t>
      </w:r>
      <w:r w:rsidR="00EF1383">
        <w:rPr>
          <w:rFonts w:ascii="Arial" w:hAnsi="Arial" w:cs="Arial"/>
          <w:sz w:val="20"/>
          <w:szCs w:val="20"/>
        </w:rPr>
        <w:t xml:space="preserve"> using g</w:t>
      </w:r>
      <w:r w:rsidR="00EF1383" w:rsidRPr="00EF1383">
        <w:rPr>
          <w:rFonts w:ascii="Arial" w:hAnsi="Arial" w:cs="Arial"/>
          <w:sz w:val="20"/>
          <w:szCs w:val="20"/>
        </w:rPr>
        <w:t>raduated exposure</w:t>
      </w:r>
      <w:r w:rsidR="00EF1383">
        <w:rPr>
          <w:rFonts w:ascii="Arial" w:hAnsi="Arial" w:cs="Arial"/>
          <w:sz w:val="20"/>
          <w:szCs w:val="20"/>
        </w:rPr>
        <w:t xml:space="preserve">. </w:t>
      </w:r>
      <w:r w:rsidR="00720202">
        <w:rPr>
          <w:rFonts w:ascii="Arial" w:hAnsi="Arial" w:cs="Arial"/>
          <w:sz w:val="20"/>
          <w:szCs w:val="20"/>
        </w:rPr>
        <w:t>Patient</w:t>
      </w:r>
      <w:r w:rsidR="00EF1383">
        <w:rPr>
          <w:rFonts w:ascii="Arial" w:hAnsi="Arial" w:cs="Arial"/>
          <w:sz w:val="20"/>
          <w:szCs w:val="20"/>
        </w:rPr>
        <w:t xml:space="preserve"> and clinician will</w:t>
      </w:r>
      <w:r w:rsidR="00EF1383" w:rsidRPr="00EF1383">
        <w:rPr>
          <w:rFonts w:ascii="Arial" w:hAnsi="Arial" w:cs="Arial"/>
          <w:sz w:val="20"/>
          <w:szCs w:val="20"/>
        </w:rPr>
        <w:t xml:space="preserve"> creat</w:t>
      </w:r>
      <w:r w:rsidR="00EF1383">
        <w:rPr>
          <w:rFonts w:ascii="Arial" w:hAnsi="Arial" w:cs="Arial"/>
          <w:sz w:val="20"/>
          <w:szCs w:val="20"/>
        </w:rPr>
        <w:t>e</w:t>
      </w:r>
      <w:r w:rsidR="00EF1383" w:rsidRPr="00EF1383">
        <w:rPr>
          <w:rFonts w:ascii="Arial" w:hAnsi="Arial" w:cs="Arial"/>
          <w:sz w:val="20"/>
          <w:szCs w:val="20"/>
        </w:rPr>
        <w:t xml:space="preserve"> a fear hierarchy starting from least to most feared stimuli</w:t>
      </w:r>
      <w:r w:rsidR="00EF1383">
        <w:rPr>
          <w:rFonts w:ascii="Arial" w:hAnsi="Arial" w:cs="Arial"/>
          <w:sz w:val="20"/>
          <w:szCs w:val="20"/>
        </w:rPr>
        <w:t xml:space="preserve">, which in this case will involve eating low-calorie snacks without purging and moving up to full meals. A more long-term goal for the next 4-8 weeks is for </w:t>
      </w:r>
      <w:r w:rsidR="00912820">
        <w:rPr>
          <w:rFonts w:ascii="Arial" w:hAnsi="Arial" w:cs="Arial"/>
          <w:sz w:val="20"/>
          <w:szCs w:val="20"/>
        </w:rPr>
        <w:t>Aimee</w:t>
      </w:r>
      <w:r w:rsidR="00EF1383">
        <w:rPr>
          <w:rFonts w:ascii="Arial" w:hAnsi="Arial" w:cs="Arial"/>
          <w:sz w:val="20"/>
          <w:szCs w:val="20"/>
        </w:rPr>
        <w:t xml:space="preserve"> to</w:t>
      </w:r>
      <w:r w:rsidR="00EF1383" w:rsidRPr="00EF1383">
        <w:rPr>
          <w:rFonts w:ascii="Arial" w:hAnsi="Arial" w:cs="Arial"/>
          <w:sz w:val="20"/>
          <w:szCs w:val="20"/>
        </w:rPr>
        <w:t xml:space="preserve"> </w:t>
      </w:r>
      <w:r w:rsidR="00EF1383">
        <w:rPr>
          <w:rFonts w:ascii="Arial" w:hAnsi="Arial" w:cs="Arial"/>
          <w:sz w:val="20"/>
          <w:szCs w:val="20"/>
        </w:rPr>
        <w:t>eat</w:t>
      </w:r>
      <w:r w:rsidR="00EF1383" w:rsidRPr="00EF1383">
        <w:rPr>
          <w:rFonts w:ascii="Arial" w:hAnsi="Arial" w:cs="Arial"/>
          <w:sz w:val="20"/>
          <w:szCs w:val="20"/>
        </w:rPr>
        <w:t xml:space="preserve"> 3 meals</w:t>
      </w:r>
      <w:r w:rsidR="00EF1383">
        <w:rPr>
          <w:rFonts w:ascii="Arial" w:hAnsi="Arial" w:cs="Arial"/>
          <w:sz w:val="20"/>
          <w:szCs w:val="20"/>
        </w:rPr>
        <w:t xml:space="preserve"> and</w:t>
      </w:r>
      <w:r w:rsidR="00EF1383" w:rsidRPr="00EF1383">
        <w:rPr>
          <w:rFonts w:ascii="Arial" w:hAnsi="Arial" w:cs="Arial"/>
          <w:sz w:val="20"/>
          <w:szCs w:val="20"/>
        </w:rPr>
        <w:t xml:space="preserve"> 3 snacks</w:t>
      </w:r>
      <w:r w:rsidR="00EF1383">
        <w:rPr>
          <w:rFonts w:ascii="Arial" w:hAnsi="Arial" w:cs="Arial"/>
          <w:sz w:val="20"/>
          <w:szCs w:val="20"/>
        </w:rPr>
        <w:t xml:space="preserve"> per </w:t>
      </w:r>
      <w:r w:rsidR="00EF1383" w:rsidRPr="00EF1383">
        <w:rPr>
          <w:rFonts w:ascii="Arial" w:hAnsi="Arial" w:cs="Arial"/>
          <w:sz w:val="20"/>
          <w:szCs w:val="20"/>
        </w:rPr>
        <w:t>day</w:t>
      </w:r>
      <w:r w:rsidR="00EF1383">
        <w:rPr>
          <w:rFonts w:ascii="Arial" w:hAnsi="Arial" w:cs="Arial"/>
          <w:sz w:val="20"/>
          <w:szCs w:val="20"/>
        </w:rPr>
        <w:t xml:space="preserve"> without purging.</w:t>
      </w:r>
      <w:r w:rsidR="002945FA">
        <w:rPr>
          <w:rFonts w:ascii="Arial" w:hAnsi="Arial" w:cs="Arial"/>
          <w:sz w:val="20"/>
          <w:szCs w:val="20"/>
        </w:rPr>
        <w:t xml:space="preserve"> Recommended treatments include cognitive behavioral therapy or integrative cognitive-affective therapy for BN with weekly sessions 60-90 minutes in length. </w:t>
      </w:r>
      <w:r w:rsidR="009C3BC5">
        <w:rPr>
          <w:rFonts w:ascii="Arial" w:hAnsi="Arial" w:cs="Arial"/>
          <w:sz w:val="20"/>
          <w:szCs w:val="20"/>
        </w:rPr>
        <w:t xml:space="preserve">It is possible that </w:t>
      </w:r>
      <w:r w:rsidR="00912820">
        <w:rPr>
          <w:rFonts w:ascii="Arial" w:hAnsi="Arial" w:cs="Arial"/>
          <w:sz w:val="20"/>
          <w:szCs w:val="20"/>
        </w:rPr>
        <w:t>Aimee</w:t>
      </w:r>
      <w:r w:rsidR="009C3BC5">
        <w:rPr>
          <w:rFonts w:ascii="Arial" w:hAnsi="Arial" w:cs="Arial"/>
          <w:sz w:val="20"/>
          <w:szCs w:val="20"/>
        </w:rPr>
        <w:t>’s case will need to be escalated to a higher level of care, such as intensive outpatient, partial-hospitalization, residential, or inpatient hospitalization, so r</w:t>
      </w:r>
      <w:r w:rsidR="002945FA">
        <w:rPr>
          <w:rFonts w:ascii="Arial" w:hAnsi="Arial" w:cs="Arial"/>
          <w:sz w:val="20"/>
          <w:szCs w:val="20"/>
        </w:rPr>
        <w:t>egular monitoring of treatment response will be paramount</w:t>
      </w:r>
      <w:r w:rsidR="009C3BC5">
        <w:rPr>
          <w:rFonts w:ascii="Arial" w:hAnsi="Arial" w:cs="Arial"/>
          <w:sz w:val="20"/>
          <w:szCs w:val="20"/>
        </w:rPr>
        <w:t>.</w:t>
      </w:r>
      <w:r w:rsidR="002945FA">
        <w:rPr>
          <w:rFonts w:ascii="Arial" w:hAnsi="Arial" w:cs="Arial"/>
          <w:sz w:val="20"/>
          <w:szCs w:val="20"/>
        </w:rPr>
        <w:t xml:space="preserve"> </w:t>
      </w:r>
      <w:r w:rsidR="00607014">
        <w:rPr>
          <w:rFonts w:ascii="Arial" w:hAnsi="Arial" w:cs="Arial"/>
          <w:sz w:val="20"/>
          <w:szCs w:val="20"/>
        </w:rPr>
        <w:t xml:space="preserve">Tentative treatment outcome measures to monitor progress include physical lab work (e.g., potassium levels) and the EPSI. </w:t>
      </w:r>
      <w:r w:rsidR="009C3BC5">
        <w:rPr>
          <w:rFonts w:ascii="Arial" w:hAnsi="Arial" w:cs="Arial"/>
          <w:sz w:val="20"/>
          <w:szCs w:val="20"/>
        </w:rPr>
        <w:t>Close c</w:t>
      </w:r>
      <w:r w:rsidR="002945FA">
        <w:rPr>
          <w:rFonts w:ascii="Arial" w:hAnsi="Arial" w:cs="Arial"/>
          <w:sz w:val="20"/>
          <w:szCs w:val="20"/>
        </w:rPr>
        <w:t xml:space="preserve">ollaboration with </w:t>
      </w:r>
      <w:r w:rsidR="00912820">
        <w:rPr>
          <w:rFonts w:ascii="Arial" w:hAnsi="Arial" w:cs="Arial"/>
          <w:sz w:val="20"/>
          <w:szCs w:val="20"/>
        </w:rPr>
        <w:t>Aimee</w:t>
      </w:r>
      <w:r w:rsidR="002945FA">
        <w:rPr>
          <w:rFonts w:ascii="Arial" w:hAnsi="Arial" w:cs="Arial"/>
          <w:sz w:val="20"/>
          <w:szCs w:val="20"/>
        </w:rPr>
        <w:t xml:space="preserve">’s other care providers (i.e., </w:t>
      </w:r>
      <w:r w:rsidR="009C3BC5">
        <w:rPr>
          <w:rFonts w:ascii="Arial" w:hAnsi="Arial" w:cs="Arial"/>
          <w:sz w:val="20"/>
          <w:szCs w:val="20"/>
        </w:rPr>
        <w:t>her</w:t>
      </w:r>
      <w:r w:rsidR="002945FA">
        <w:rPr>
          <w:rFonts w:ascii="Arial" w:hAnsi="Arial" w:cs="Arial"/>
          <w:sz w:val="20"/>
          <w:szCs w:val="20"/>
        </w:rPr>
        <w:t xml:space="preserve"> dietician </w:t>
      </w:r>
      <w:r w:rsidR="009C3BC5">
        <w:rPr>
          <w:rFonts w:ascii="Arial" w:hAnsi="Arial" w:cs="Arial"/>
          <w:sz w:val="20"/>
          <w:szCs w:val="20"/>
        </w:rPr>
        <w:t>and</w:t>
      </w:r>
      <w:r w:rsidR="002945FA">
        <w:rPr>
          <w:rFonts w:ascii="Arial" w:hAnsi="Arial" w:cs="Arial"/>
          <w:sz w:val="20"/>
          <w:szCs w:val="20"/>
        </w:rPr>
        <w:t xml:space="preserve"> </w:t>
      </w:r>
      <w:r w:rsidR="002945FA" w:rsidRPr="002945FA">
        <w:rPr>
          <w:rFonts w:ascii="Arial" w:hAnsi="Arial" w:cs="Arial"/>
          <w:sz w:val="20"/>
          <w:szCs w:val="20"/>
        </w:rPr>
        <w:t>primary care physician</w:t>
      </w:r>
      <w:r w:rsidR="002945FA">
        <w:rPr>
          <w:rFonts w:ascii="Arial" w:hAnsi="Arial" w:cs="Arial"/>
          <w:sz w:val="20"/>
          <w:szCs w:val="20"/>
        </w:rPr>
        <w:t xml:space="preserve"> who</w:t>
      </w:r>
      <w:r w:rsidR="002945FA" w:rsidRPr="002945FA">
        <w:rPr>
          <w:rFonts w:ascii="Arial" w:hAnsi="Arial" w:cs="Arial"/>
          <w:sz w:val="20"/>
          <w:szCs w:val="20"/>
        </w:rPr>
        <w:t xml:space="preserve"> specializ</w:t>
      </w:r>
      <w:r w:rsidR="002945FA">
        <w:rPr>
          <w:rFonts w:ascii="Arial" w:hAnsi="Arial" w:cs="Arial"/>
          <w:sz w:val="20"/>
          <w:szCs w:val="20"/>
        </w:rPr>
        <w:t>es</w:t>
      </w:r>
      <w:r w:rsidR="002945FA" w:rsidRPr="002945FA">
        <w:rPr>
          <w:rFonts w:ascii="Arial" w:hAnsi="Arial" w:cs="Arial"/>
          <w:sz w:val="20"/>
          <w:szCs w:val="20"/>
        </w:rPr>
        <w:t xml:space="preserve"> in the medical aspect of eating disorders</w:t>
      </w:r>
      <w:r w:rsidR="002945FA">
        <w:rPr>
          <w:rFonts w:ascii="Arial" w:hAnsi="Arial" w:cs="Arial"/>
          <w:sz w:val="20"/>
          <w:szCs w:val="20"/>
        </w:rPr>
        <w:t>)</w:t>
      </w:r>
      <w:r w:rsidR="009C3BC5">
        <w:rPr>
          <w:rFonts w:ascii="Arial" w:hAnsi="Arial" w:cs="Arial"/>
          <w:sz w:val="20"/>
          <w:szCs w:val="20"/>
        </w:rPr>
        <w:t xml:space="preserve"> is indicated, as well as family involvement in the treatment and recovery process.</w:t>
      </w:r>
    </w:p>
    <w:p w14:paraId="1EFCF236" w14:textId="68E4BFCE" w:rsidR="00607014" w:rsidRDefault="00607014" w:rsidP="00EF1383">
      <w:pPr>
        <w:spacing w:after="0"/>
        <w:jc w:val="both"/>
        <w:rPr>
          <w:rFonts w:ascii="Arial" w:hAnsi="Arial" w:cs="Arial"/>
          <w:sz w:val="20"/>
          <w:szCs w:val="20"/>
        </w:rPr>
      </w:pPr>
    </w:p>
    <w:p w14:paraId="2A9F38E6" w14:textId="3D6C74FA" w:rsidR="00607014" w:rsidRDefault="00607014" w:rsidP="00EF1383">
      <w:pPr>
        <w:spacing w:after="0"/>
        <w:jc w:val="both"/>
        <w:rPr>
          <w:rFonts w:ascii="Arial" w:hAnsi="Arial" w:cs="Arial"/>
          <w:sz w:val="20"/>
          <w:szCs w:val="20"/>
        </w:rPr>
      </w:pPr>
      <w:r>
        <w:rPr>
          <w:rFonts w:ascii="Arial" w:hAnsi="Arial" w:cs="Arial"/>
          <w:sz w:val="20"/>
          <w:szCs w:val="20"/>
        </w:rPr>
        <w:t xml:space="preserve">Lastly, as noted earlier, safety planning and regular risk assessment is warranted. Thus, clinician will discuss with </w:t>
      </w:r>
      <w:r w:rsidR="00720202">
        <w:rPr>
          <w:rFonts w:ascii="Arial" w:hAnsi="Arial" w:cs="Arial"/>
          <w:sz w:val="20"/>
          <w:szCs w:val="20"/>
        </w:rPr>
        <w:t>patient</w:t>
      </w:r>
      <w:r>
        <w:rPr>
          <w:rFonts w:ascii="Arial" w:hAnsi="Arial" w:cs="Arial"/>
          <w:sz w:val="20"/>
          <w:szCs w:val="20"/>
        </w:rPr>
        <w:t xml:space="preserve"> the need to develop a safety plan and complete a release of information to maintain regular contact with her primary care physician at </w:t>
      </w:r>
      <w:r w:rsidR="00720202">
        <w:rPr>
          <w:rFonts w:ascii="Arial" w:hAnsi="Arial" w:cs="Arial"/>
          <w:sz w:val="20"/>
          <w:szCs w:val="20"/>
        </w:rPr>
        <w:t xml:space="preserve">her university’s health center. </w:t>
      </w:r>
    </w:p>
    <w:p w14:paraId="7F2FC49C" w14:textId="77777777" w:rsidR="00EF1383" w:rsidRDefault="00EF1383" w:rsidP="00496317">
      <w:pPr>
        <w:spacing w:after="0"/>
        <w:rPr>
          <w:rFonts w:ascii="Arial" w:hAnsi="Arial" w:cs="Arial"/>
          <w:sz w:val="20"/>
          <w:szCs w:val="20"/>
        </w:rPr>
      </w:pPr>
    </w:p>
    <w:p w14:paraId="14738498" w14:textId="2EB27165" w:rsidR="00CB2288" w:rsidRPr="00496317" w:rsidRDefault="00CB2288" w:rsidP="000A0736">
      <w:pPr>
        <w:spacing w:after="0"/>
        <w:rPr>
          <w:rFonts w:ascii="Arial" w:hAnsi="Arial" w:cs="Arial"/>
          <w:b/>
          <w:sz w:val="20"/>
          <w:szCs w:val="20"/>
        </w:rPr>
      </w:pPr>
    </w:p>
    <w:p w14:paraId="0EB4EFAF" w14:textId="4E5BC4B2" w:rsidR="00CB2288" w:rsidRPr="00496317" w:rsidRDefault="00CB2288" w:rsidP="000A0736">
      <w:pPr>
        <w:spacing w:after="0"/>
        <w:rPr>
          <w:rFonts w:ascii="Arial" w:hAnsi="Arial" w:cs="Arial"/>
          <w:b/>
          <w:sz w:val="20"/>
          <w:szCs w:val="20"/>
        </w:rPr>
      </w:pPr>
    </w:p>
    <w:p w14:paraId="3195BC61" w14:textId="77777777" w:rsidR="00CB2288" w:rsidRPr="00496317" w:rsidRDefault="00CB2288" w:rsidP="000A0736">
      <w:pPr>
        <w:spacing w:after="0"/>
        <w:rPr>
          <w:rFonts w:ascii="Arial" w:hAnsi="Arial" w:cs="Arial"/>
          <w:b/>
          <w:sz w:val="20"/>
          <w:szCs w:val="20"/>
        </w:rPr>
      </w:pPr>
    </w:p>
    <w:p w14:paraId="2A3402F3" w14:textId="0F9E469C" w:rsidR="00B8092A" w:rsidRPr="00496317" w:rsidRDefault="00B8092A" w:rsidP="00B8092A">
      <w:pPr>
        <w:spacing w:after="0"/>
        <w:rPr>
          <w:rFonts w:ascii="Arial" w:hAnsi="Arial" w:cs="Arial"/>
          <w:sz w:val="20"/>
          <w:szCs w:val="20"/>
        </w:rPr>
      </w:pPr>
      <w:r w:rsidRPr="00496317">
        <w:rPr>
          <w:rFonts w:ascii="Arial" w:hAnsi="Arial" w:cs="Arial"/>
          <w:sz w:val="20"/>
          <w:szCs w:val="20"/>
        </w:rPr>
        <w:t>________________________________________</w:t>
      </w:r>
      <w:r w:rsidRPr="00496317">
        <w:rPr>
          <w:rFonts w:ascii="Arial" w:hAnsi="Arial" w:cs="Arial"/>
          <w:sz w:val="20"/>
          <w:szCs w:val="20"/>
        </w:rPr>
        <w:tab/>
      </w:r>
      <w:r w:rsidRPr="00496317">
        <w:rPr>
          <w:rFonts w:ascii="Arial" w:hAnsi="Arial" w:cs="Arial"/>
          <w:sz w:val="20"/>
          <w:szCs w:val="20"/>
        </w:rPr>
        <w:tab/>
        <w:t>__________________</w:t>
      </w:r>
    </w:p>
    <w:p w14:paraId="4DE3EA65" w14:textId="64265CFE" w:rsidR="00B8092A" w:rsidRPr="00496317" w:rsidRDefault="00607014" w:rsidP="00B8092A">
      <w:pPr>
        <w:spacing w:after="0"/>
        <w:rPr>
          <w:rFonts w:ascii="Arial" w:hAnsi="Arial" w:cs="Arial"/>
          <w:sz w:val="20"/>
          <w:szCs w:val="20"/>
        </w:rPr>
      </w:pPr>
      <w:r>
        <w:rPr>
          <w:rFonts w:ascii="Arial" w:hAnsi="Arial" w:cs="Arial"/>
          <w:sz w:val="20"/>
          <w:szCs w:val="20"/>
        </w:rPr>
        <w:t>Stephanie Ward, MS</w:t>
      </w:r>
      <w:r w:rsidR="00B8092A" w:rsidRPr="00496317">
        <w:rPr>
          <w:rFonts w:ascii="Arial" w:hAnsi="Arial" w:cs="Arial"/>
          <w:sz w:val="20"/>
          <w:szCs w:val="20"/>
        </w:rPr>
        <w:t xml:space="preserve"> </w:t>
      </w:r>
      <w:r w:rsidR="00B8092A" w:rsidRPr="00496317">
        <w:rPr>
          <w:rFonts w:ascii="Arial" w:hAnsi="Arial" w:cs="Arial"/>
          <w:sz w:val="20"/>
          <w:szCs w:val="20"/>
        </w:rPr>
        <w:tab/>
      </w:r>
      <w:r w:rsidR="00B8092A" w:rsidRPr="00496317">
        <w:rPr>
          <w:rFonts w:ascii="Arial" w:hAnsi="Arial" w:cs="Arial"/>
          <w:sz w:val="20"/>
          <w:szCs w:val="20"/>
        </w:rPr>
        <w:tab/>
        <w:t xml:space="preserve">    </w:t>
      </w:r>
      <w:r w:rsidR="00B8092A" w:rsidRPr="00496317">
        <w:rPr>
          <w:rFonts w:ascii="Arial" w:hAnsi="Arial" w:cs="Arial"/>
          <w:sz w:val="20"/>
          <w:szCs w:val="20"/>
        </w:rPr>
        <w:tab/>
      </w:r>
      <w:r w:rsidR="00B8092A" w:rsidRPr="00496317">
        <w:rPr>
          <w:rFonts w:ascii="Arial" w:hAnsi="Arial" w:cs="Arial"/>
          <w:sz w:val="20"/>
          <w:szCs w:val="20"/>
        </w:rPr>
        <w:tab/>
      </w:r>
      <w:r w:rsidR="00B8092A" w:rsidRPr="00496317">
        <w:rPr>
          <w:rFonts w:ascii="Arial" w:hAnsi="Arial" w:cs="Arial"/>
          <w:sz w:val="20"/>
          <w:szCs w:val="20"/>
        </w:rPr>
        <w:tab/>
      </w:r>
      <w:r w:rsidR="00B8092A" w:rsidRPr="00496317">
        <w:rPr>
          <w:rFonts w:ascii="Arial" w:hAnsi="Arial" w:cs="Arial"/>
          <w:sz w:val="20"/>
          <w:szCs w:val="20"/>
        </w:rPr>
        <w:tab/>
        <w:t>Date</w:t>
      </w:r>
    </w:p>
    <w:p w14:paraId="2DCFABD3" w14:textId="6DBAA41D" w:rsidR="0025303E" w:rsidRPr="00496317" w:rsidRDefault="0025303E" w:rsidP="00B8092A">
      <w:pPr>
        <w:spacing w:after="0"/>
        <w:rPr>
          <w:rFonts w:ascii="Arial" w:hAnsi="Arial" w:cs="Arial"/>
          <w:sz w:val="20"/>
          <w:szCs w:val="20"/>
        </w:rPr>
      </w:pPr>
    </w:p>
    <w:p w14:paraId="2C36DC2E" w14:textId="77777777" w:rsidR="0025303E" w:rsidRPr="00496317" w:rsidRDefault="0025303E" w:rsidP="00B8092A">
      <w:pPr>
        <w:spacing w:after="0"/>
        <w:rPr>
          <w:rFonts w:ascii="Arial" w:hAnsi="Arial" w:cs="Arial"/>
          <w:sz w:val="20"/>
          <w:szCs w:val="20"/>
        </w:rPr>
      </w:pPr>
    </w:p>
    <w:p w14:paraId="3BA40559" w14:textId="77777777" w:rsidR="00B8092A" w:rsidRPr="00496317" w:rsidRDefault="00B8092A" w:rsidP="00B8092A">
      <w:pPr>
        <w:spacing w:after="0"/>
        <w:rPr>
          <w:rFonts w:ascii="Arial" w:hAnsi="Arial" w:cs="Arial"/>
          <w:sz w:val="20"/>
          <w:szCs w:val="20"/>
        </w:rPr>
      </w:pPr>
      <w:r w:rsidRPr="00496317">
        <w:rPr>
          <w:rFonts w:ascii="Arial" w:hAnsi="Arial" w:cs="Arial"/>
          <w:sz w:val="20"/>
          <w:szCs w:val="20"/>
        </w:rPr>
        <w:t>________________________________________</w:t>
      </w:r>
      <w:r w:rsidRPr="00496317">
        <w:rPr>
          <w:rFonts w:ascii="Arial" w:hAnsi="Arial" w:cs="Arial"/>
          <w:sz w:val="20"/>
          <w:szCs w:val="20"/>
        </w:rPr>
        <w:tab/>
      </w:r>
      <w:r w:rsidRPr="00496317">
        <w:rPr>
          <w:rFonts w:ascii="Arial" w:hAnsi="Arial" w:cs="Arial"/>
          <w:sz w:val="20"/>
          <w:szCs w:val="20"/>
        </w:rPr>
        <w:tab/>
        <w:t>__________________</w:t>
      </w:r>
    </w:p>
    <w:p w14:paraId="080781B1" w14:textId="25E62412" w:rsidR="00203433" w:rsidRDefault="00203433" w:rsidP="00B8092A">
      <w:pPr>
        <w:spacing w:after="0"/>
        <w:rPr>
          <w:rFonts w:ascii="Arial" w:hAnsi="Arial" w:cs="Arial"/>
          <w:sz w:val="20"/>
          <w:szCs w:val="20"/>
        </w:rPr>
      </w:pPr>
      <w:r>
        <w:rPr>
          <w:rFonts w:ascii="Arial" w:hAnsi="Arial" w:cs="Arial"/>
          <w:sz w:val="20"/>
          <w:szCs w:val="20"/>
        </w:rPr>
        <w:t>Christopher J. Gioia, PhD</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Date</w:t>
      </w:r>
    </w:p>
    <w:p w14:paraId="44C33F13" w14:textId="6504D5A3" w:rsidR="00203433" w:rsidRPr="00496317" w:rsidRDefault="00203433" w:rsidP="00B8092A">
      <w:pPr>
        <w:spacing w:after="0"/>
        <w:rPr>
          <w:rFonts w:ascii="Arial" w:hAnsi="Arial" w:cs="Arial"/>
          <w:sz w:val="20"/>
          <w:szCs w:val="20"/>
        </w:rPr>
      </w:pPr>
      <w:r>
        <w:rPr>
          <w:rFonts w:ascii="Arial" w:hAnsi="Arial" w:cs="Arial"/>
          <w:sz w:val="20"/>
          <w:szCs w:val="20"/>
        </w:rPr>
        <w:t>Assistant Clinic Director</w:t>
      </w:r>
    </w:p>
    <w:p w14:paraId="7F0171B4" w14:textId="0584ADFA" w:rsidR="00B8092A" w:rsidRPr="00496317" w:rsidRDefault="00B8092A" w:rsidP="00203433">
      <w:pPr>
        <w:spacing w:after="0"/>
        <w:rPr>
          <w:rFonts w:ascii="Arial" w:hAnsi="Arial" w:cs="Arial"/>
          <w:sz w:val="20"/>
          <w:szCs w:val="20"/>
        </w:rPr>
      </w:pPr>
      <w:r w:rsidRPr="00496317">
        <w:rPr>
          <w:rFonts w:ascii="Arial" w:hAnsi="Arial" w:cs="Arial"/>
          <w:sz w:val="20"/>
          <w:szCs w:val="20"/>
        </w:rPr>
        <w:t>WI License #</w:t>
      </w:r>
      <w:r w:rsidR="00203433">
        <w:rPr>
          <w:rFonts w:ascii="Arial" w:hAnsi="Arial" w:cs="Arial"/>
          <w:sz w:val="20"/>
          <w:szCs w:val="20"/>
        </w:rPr>
        <w:t xml:space="preserve"> 3236-57</w:t>
      </w:r>
    </w:p>
    <w:p w14:paraId="45945A97" w14:textId="6D39AFB6" w:rsidR="00072664" w:rsidRPr="009C3BC5" w:rsidRDefault="00072664" w:rsidP="009C3BC5">
      <w:pPr>
        <w:spacing w:after="0" w:line="240" w:lineRule="auto"/>
        <w:rPr>
          <w:rFonts w:ascii="Arial" w:hAnsi="Arial" w:cs="Arial"/>
          <w:sz w:val="20"/>
          <w:szCs w:val="20"/>
        </w:rPr>
      </w:pPr>
    </w:p>
    <w:sectPr w:rsidR="00072664" w:rsidRPr="009C3BC5" w:rsidSect="00672210">
      <w:footerReference w:type="even" r:id="rId8"/>
      <w:footerReference w:type="default" r:id="rId9"/>
      <w:type w:val="continuous"/>
      <w:pgSz w:w="12240" w:h="15840"/>
      <w:pgMar w:top="1080" w:right="1080" w:bottom="1080" w:left="108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1EBD38" w14:textId="77777777" w:rsidR="009006E6" w:rsidRDefault="009006E6" w:rsidP="000A0736">
      <w:pPr>
        <w:spacing w:after="0" w:line="240" w:lineRule="auto"/>
      </w:pPr>
      <w:r>
        <w:separator/>
      </w:r>
    </w:p>
  </w:endnote>
  <w:endnote w:type="continuationSeparator" w:id="0">
    <w:p w14:paraId="497D77DB" w14:textId="77777777" w:rsidR="009006E6" w:rsidRDefault="009006E6" w:rsidP="000A0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27EC16" w14:textId="77777777" w:rsidR="009006E6" w:rsidRDefault="009006E6" w:rsidP="000A07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98FFCE" w14:textId="77777777" w:rsidR="009006E6" w:rsidRDefault="009006E6" w:rsidP="000A07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89261" w14:textId="5FB4DE57" w:rsidR="009006E6" w:rsidRDefault="009006E6" w:rsidP="000A07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77CDD">
      <w:rPr>
        <w:rStyle w:val="PageNumber"/>
        <w:noProof/>
      </w:rPr>
      <w:t>1</w:t>
    </w:r>
    <w:r>
      <w:rPr>
        <w:rStyle w:val="PageNumber"/>
      </w:rPr>
      <w:fldChar w:fldCharType="end"/>
    </w:r>
  </w:p>
  <w:p w14:paraId="0C645DDF" w14:textId="77777777" w:rsidR="009006E6" w:rsidRDefault="009006E6" w:rsidP="000F5055">
    <w:pPr>
      <w:pStyle w:val="Footer"/>
      <w:ind w:right="360"/>
      <w:jc w:val="center"/>
      <w:rPr>
        <w:sz w:val="16"/>
        <w:szCs w:val="16"/>
      </w:rPr>
    </w:pPr>
  </w:p>
  <w:p w14:paraId="0171E432" w14:textId="6350F0EA" w:rsidR="009006E6" w:rsidRPr="000F5055" w:rsidRDefault="009006E6" w:rsidP="000F5055">
    <w:pPr>
      <w:pStyle w:val="Footer"/>
      <w:ind w:right="360"/>
      <w:jc w:val="right"/>
      <w:rPr>
        <w:sz w:val="16"/>
        <w:szCs w:val="16"/>
      </w:rPr>
    </w:pPr>
    <w:r w:rsidRPr="000F5055">
      <w:rPr>
        <w:sz w:val="16"/>
        <w:szCs w:val="16"/>
      </w:rPr>
      <w:fldChar w:fldCharType="begin"/>
    </w:r>
    <w:r w:rsidRPr="000F5055">
      <w:rPr>
        <w:sz w:val="16"/>
        <w:szCs w:val="16"/>
      </w:rPr>
      <w:instrText xml:space="preserve"> DATE \@ "M/d/yyyy" </w:instrText>
    </w:r>
    <w:r w:rsidRPr="000F5055">
      <w:rPr>
        <w:sz w:val="16"/>
        <w:szCs w:val="16"/>
      </w:rPr>
      <w:fldChar w:fldCharType="separate"/>
    </w:r>
    <w:r w:rsidR="00E54A24">
      <w:rPr>
        <w:noProof/>
        <w:sz w:val="16"/>
        <w:szCs w:val="16"/>
      </w:rPr>
      <w:t>7/10/2024</w:t>
    </w:r>
    <w:r w:rsidRPr="000F5055">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E704A5" w14:textId="77777777" w:rsidR="009006E6" w:rsidRDefault="009006E6" w:rsidP="000A0736">
      <w:pPr>
        <w:spacing w:after="0" w:line="240" w:lineRule="auto"/>
      </w:pPr>
      <w:r>
        <w:separator/>
      </w:r>
    </w:p>
  </w:footnote>
  <w:footnote w:type="continuationSeparator" w:id="0">
    <w:p w14:paraId="55CB82E8" w14:textId="77777777" w:rsidR="009006E6" w:rsidRDefault="009006E6" w:rsidP="000A07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71AE8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38588D"/>
    <w:multiLevelType w:val="hybridMultilevel"/>
    <w:tmpl w:val="BD945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3976DC"/>
    <w:multiLevelType w:val="hybridMultilevel"/>
    <w:tmpl w:val="EE32767E"/>
    <w:lvl w:ilvl="0" w:tplc="1262B0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7E3CB5"/>
    <w:multiLevelType w:val="hybridMultilevel"/>
    <w:tmpl w:val="56F44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EB01BC"/>
    <w:multiLevelType w:val="hybridMultilevel"/>
    <w:tmpl w:val="F4805F76"/>
    <w:lvl w:ilvl="0" w:tplc="AEB24D1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39635A75"/>
    <w:multiLevelType w:val="hybridMultilevel"/>
    <w:tmpl w:val="AFB67346"/>
    <w:lvl w:ilvl="0" w:tplc="4B6CBDD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C0462F"/>
    <w:multiLevelType w:val="hybridMultilevel"/>
    <w:tmpl w:val="C11CC306"/>
    <w:lvl w:ilvl="0" w:tplc="2FE83A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960134"/>
    <w:multiLevelType w:val="hybridMultilevel"/>
    <w:tmpl w:val="B0ECDCFC"/>
    <w:lvl w:ilvl="0" w:tplc="8A7893C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638954A5"/>
    <w:multiLevelType w:val="hybridMultilevel"/>
    <w:tmpl w:val="15829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F82A67"/>
    <w:multiLevelType w:val="hybridMultilevel"/>
    <w:tmpl w:val="EE6C6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394E7A"/>
    <w:multiLevelType w:val="hybridMultilevel"/>
    <w:tmpl w:val="3EC0C9A6"/>
    <w:lvl w:ilvl="0" w:tplc="081A0A36">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EA3D3B"/>
    <w:multiLevelType w:val="hybridMultilevel"/>
    <w:tmpl w:val="022238B8"/>
    <w:lvl w:ilvl="0" w:tplc="78B66A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7"/>
  </w:num>
  <w:num w:numId="4">
    <w:abstractNumId w:val="2"/>
  </w:num>
  <w:num w:numId="5">
    <w:abstractNumId w:val="11"/>
  </w:num>
  <w:num w:numId="6">
    <w:abstractNumId w:val="6"/>
  </w:num>
  <w:num w:numId="7">
    <w:abstractNumId w:val="10"/>
  </w:num>
  <w:num w:numId="8">
    <w:abstractNumId w:val="9"/>
  </w:num>
  <w:num w:numId="9">
    <w:abstractNumId w:val="3"/>
  </w:num>
  <w:num w:numId="10">
    <w:abstractNumId w:val="8"/>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8C6"/>
    <w:rsid w:val="000026DF"/>
    <w:rsid w:val="00005FA8"/>
    <w:rsid w:val="0001180F"/>
    <w:rsid w:val="00012564"/>
    <w:rsid w:val="00012922"/>
    <w:rsid w:val="00014307"/>
    <w:rsid w:val="0001762A"/>
    <w:rsid w:val="0003089B"/>
    <w:rsid w:val="0003327A"/>
    <w:rsid w:val="00033A87"/>
    <w:rsid w:val="000347A5"/>
    <w:rsid w:val="00040D22"/>
    <w:rsid w:val="000433D4"/>
    <w:rsid w:val="00046F11"/>
    <w:rsid w:val="00053BF4"/>
    <w:rsid w:val="0005567C"/>
    <w:rsid w:val="00056751"/>
    <w:rsid w:val="0006211C"/>
    <w:rsid w:val="00065842"/>
    <w:rsid w:val="00066A4E"/>
    <w:rsid w:val="00072664"/>
    <w:rsid w:val="000736B6"/>
    <w:rsid w:val="00086849"/>
    <w:rsid w:val="00092C17"/>
    <w:rsid w:val="000A0736"/>
    <w:rsid w:val="000B070B"/>
    <w:rsid w:val="000B7415"/>
    <w:rsid w:val="000C2999"/>
    <w:rsid w:val="000D70EE"/>
    <w:rsid w:val="000E2556"/>
    <w:rsid w:val="000F43BA"/>
    <w:rsid w:val="000F4B83"/>
    <w:rsid w:val="000F5055"/>
    <w:rsid w:val="00104397"/>
    <w:rsid w:val="00105A87"/>
    <w:rsid w:val="0010764D"/>
    <w:rsid w:val="001134B1"/>
    <w:rsid w:val="00116F5B"/>
    <w:rsid w:val="001175BE"/>
    <w:rsid w:val="00133066"/>
    <w:rsid w:val="00140979"/>
    <w:rsid w:val="00142C0A"/>
    <w:rsid w:val="001458F0"/>
    <w:rsid w:val="00146CBC"/>
    <w:rsid w:val="00153494"/>
    <w:rsid w:val="0015377B"/>
    <w:rsid w:val="001677F6"/>
    <w:rsid w:val="00173C4B"/>
    <w:rsid w:val="00180E51"/>
    <w:rsid w:val="001865A1"/>
    <w:rsid w:val="00186C0C"/>
    <w:rsid w:val="001963EE"/>
    <w:rsid w:val="001A7D9D"/>
    <w:rsid w:val="001B1469"/>
    <w:rsid w:val="001C4CCC"/>
    <w:rsid w:val="001C5B19"/>
    <w:rsid w:val="001C7691"/>
    <w:rsid w:val="001D4EBF"/>
    <w:rsid w:val="001E37D7"/>
    <w:rsid w:val="00203433"/>
    <w:rsid w:val="00206097"/>
    <w:rsid w:val="00206180"/>
    <w:rsid w:val="00211201"/>
    <w:rsid w:val="002300A7"/>
    <w:rsid w:val="002451ED"/>
    <w:rsid w:val="0025303E"/>
    <w:rsid w:val="00254E6B"/>
    <w:rsid w:val="0025524A"/>
    <w:rsid w:val="00256647"/>
    <w:rsid w:val="0026073B"/>
    <w:rsid w:val="0026167A"/>
    <w:rsid w:val="00262D4D"/>
    <w:rsid w:val="00263DE5"/>
    <w:rsid w:val="00264B22"/>
    <w:rsid w:val="002656B5"/>
    <w:rsid w:val="00270EE3"/>
    <w:rsid w:val="002945FA"/>
    <w:rsid w:val="002B0197"/>
    <w:rsid w:val="002B260E"/>
    <w:rsid w:val="002B383F"/>
    <w:rsid w:val="002D157A"/>
    <w:rsid w:val="002D3025"/>
    <w:rsid w:val="002E11B1"/>
    <w:rsid w:val="003002EB"/>
    <w:rsid w:val="00300392"/>
    <w:rsid w:val="00303AD5"/>
    <w:rsid w:val="00310C45"/>
    <w:rsid w:val="00315188"/>
    <w:rsid w:val="00320BDC"/>
    <w:rsid w:val="00322391"/>
    <w:rsid w:val="00334A8B"/>
    <w:rsid w:val="00347F56"/>
    <w:rsid w:val="0035261A"/>
    <w:rsid w:val="00354E93"/>
    <w:rsid w:val="00374CA5"/>
    <w:rsid w:val="003828C8"/>
    <w:rsid w:val="00396135"/>
    <w:rsid w:val="003967DC"/>
    <w:rsid w:val="003A26CD"/>
    <w:rsid w:val="003A5EA6"/>
    <w:rsid w:val="003A7669"/>
    <w:rsid w:val="003A776F"/>
    <w:rsid w:val="003C2502"/>
    <w:rsid w:val="003C311C"/>
    <w:rsid w:val="003C516C"/>
    <w:rsid w:val="003E1814"/>
    <w:rsid w:val="003E39C8"/>
    <w:rsid w:val="003E3B7D"/>
    <w:rsid w:val="003E457C"/>
    <w:rsid w:val="003F1C37"/>
    <w:rsid w:val="00400198"/>
    <w:rsid w:val="0040343E"/>
    <w:rsid w:val="004155D6"/>
    <w:rsid w:val="00416ABB"/>
    <w:rsid w:val="00436EFF"/>
    <w:rsid w:val="00437652"/>
    <w:rsid w:val="0044061A"/>
    <w:rsid w:val="00445C30"/>
    <w:rsid w:val="00446A53"/>
    <w:rsid w:val="00447461"/>
    <w:rsid w:val="00466A28"/>
    <w:rsid w:val="00471F5F"/>
    <w:rsid w:val="00473DC8"/>
    <w:rsid w:val="00486122"/>
    <w:rsid w:val="00486250"/>
    <w:rsid w:val="00492785"/>
    <w:rsid w:val="0049630B"/>
    <w:rsid w:val="00496317"/>
    <w:rsid w:val="004976AE"/>
    <w:rsid w:val="00497992"/>
    <w:rsid w:val="004A7CC9"/>
    <w:rsid w:val="004B2D47"/>
    <w:rsid w:val="004B38B9"/>
    <w:rsid w:val="004B5DC2"/>
    <w:rsid w:val="004B75B7"/>
    <w:rsid w:val="004B7969"/>
    <w:rsid w:val="004D6996"/>
    <w:rsid w:val="004E0E53"/>
    <w:rsid w:val="004E206B"/>
    <w:rsid w:val="004E56AC"/>
    <w:rsid w:val="004F06AA"/>
    <w:rsid w:val="004F0F72"/>
    <w:rsid w:val="004F5EFC"/>
    <w:rsid w:val="00500719"/>
    <w:rsid w:val="005053C1"/>
    <w:rsid w:val="00512C56"/>
    <w:rsid w:val="00514FD4"/>
    <w:rsid w:val="00516C9F"/>
    <w:rsid w:val="00520376"/>
    <w:rsid w:val="00527612"/>
    <w:rsid w:val="005305AC"/>
    <w:rsid w:val="005436CF"/>
    <w:rsid w:val="0055053D"/>
    <w:rsid w:val="005571E6"/>
    <w:rsid w:val="00563304"/>
    <w:rsid w:val="0056398B"/>
    <w:rsid w:val="005654B5"/>
    <w:rsid w:val="00583FD7"/>
    <w:rsid w:val="00585291"/>
    <w:rsid w:val="0058680B"/>
    <w:rsid w:val="00587383"/>
    <w:rsid w:val="00593CFD"/>
    <w:rsid w:val="005958BE"/>
    <w:rsid w:val="005A1A70"/>
    <w:rsid w:val="005B1288"/>
    <w:rsid w:val="005B1F5A"/>
    <w:rsid w:val="005B7359"/>
    <w:rsid w:val="005C56A9"/>
    <w:rsid w:val="005E09B4"/>
    <w:rsid w:val="005E4FF5"/>
    <w:rsid w:val="005F27ED"/>
    <w:rsid w:val="00601E97"/>
    <w:rsid w:val="00607014"/>
    <w:rsid w:val="00627829"/>
    <w:rsid w:val="00630663"/>
    <w:rsid w:val="00631D6C"/>
    <w:rsid w:val="006412E8"/>
    <w:rsid w:val="006444B1"/>
    <w:rsid w:val="00647E5A"/>
    <w:rsid w:val="00652674"/>
    <w:rsid w:val="0066537E"/>
    <w:rsid w:val="00672210"/>
    <w:rsid w:val="00681078"/>
    <w:rsid w:val="00681280"/>
    <w:rsid w:val="00685687"/>
    <w:rsid w:val="00686AAA"/>
    <w:rsid w:val="00697FE4"/>
    <w:rsid w:val="006A10D2"/>
    <w:rsid w:val="006A1AE2"/>
    <w:rsid w:val="006A3520"/>
    <w:rsid w:val="006A3784"/>
    <w:rsid w:val="006A6A66"/>
    <w:rsid w:val="006A71EF"/>
    <w:rsid w:val="006B0712"/>
    <w:rsid w:val="006B0D33"/>
    <w:rsid w:val="006B47F5"/>
    <w:rsid w:val="006C3DC1"/>
    <w:rsid w:val="006D3C59"/>
    <w:rsid w:val="006E5594"/>
    <w:rsid w:val="00702A6F"/>
    <w:rsid w:val="007073BD"/>
    <w:rsid w:val="00714ED2"/>
    <w:rsid w:val="00720202"/>
    <w:rsid w:val="00721024"/>
    <w:rsid w:val="007307B3"/>
    <w:rsid w:val="00733B3A"/>
    <w:rsid w:val="00741C2D"/>
    <w:rsid w:val="00746732"/>
    <w:rsid w:val="00755F05"/>
    <w:rsid w:val="00755FA2"/>
    <w:rsid w:val="00756E70"/>
    <w:rsid w:val="00762949"/>
    <w:rsid w:val="00766D6B"/>
    <w:rsid w:val="00771740"/>
    <w:rsid w:val="0078234F"/>
    <w:rsid w:val="00783027"/>
    <w:rsid w:val="007A15F3"/>
    <w:rsid w:val="007A7424"/>
    <w:rsid w:val="007B08D4"/>
    <w:rsid w:val="007B097D"/>
    <w:rsid w:val="007B1722"/>
    <w:rsid w:val="007C0E0F"/>
    <w:rsid w:val="007D7213"/>
    <w:rsid w:val="007D7DCE"/>
    <w:rsid w:val="007F2952"/>
    <w:rsid w:val="00802E65"/>
    <w:rsid w:val="00804177"/>
    <w:rsid w:val="00810E54"/>
    <w:rsid w:val="00813CBD"/>
    <w:rsid w:val="0082067B"/>
    <w:rsid w:val="00825AB5"/>
    <w:rsid w:val="008375DB"/>
    <w:rsid w:val="00846795"/>
    <w:rsid w:val="00851DEA"/>
    <w:rsid w:val="00855F7A"/>
    <w:rsid w:val="00860ECD"/>
    <w:rsid w:val="00861285"/>
    <w:rsid w:val="00867250"/>
    <w:rsid w:val="008675E3"/>
    <w:rsid w:val="00874ECD"/>
    <w:rsid w:val="00875596"/>
    <w:rsid w:val="00877CDD"/>
    <w:rsid w:val="0088722C"/>
    <w:rsid w:val="008A190F"/>
    <w:rsid w:val="008A33FA"/>
    <w:rsid w:val="008A67C2"/>
    <w:rsid w:val="008A7D6E"/>
    <w:rsid w:val="008B7BEC"/>
    <w:rsid w:val="008C4F0C"/>
    <w:rsid w:val="008D450E"/>
    <w:rsid w:val="008D47B3"/>
    <w:rsid w:val="008D4F09"/>
    <w:rsid w:val="008D54AD"/>
    <w:rsid w:val="008E20A2"/>
    <w:rsid w:val="00900693"/>
    <w:rsid w:val="009006E6"/>
    <w:rsid w:val="00903B22"/>
    <w:rsid w:val="00912820"/>
    <w:rsid w:val="009313D4"/>
    <w:rsid w:val="009369E7"/>
    <w:rsid w:val="00944A2F"/>
    <w:rsid w:val="00955016"/>
    <w:rsid w:val="0096604A"/>
    <w:rsid w:val="0097341F"/>
    <w:rsid w:val="00977532"/>
    <w:rsid w:val="00986602"/>
    <w:rsid w:val="009979BE"/>
    <w:rsid w:val="009A3B85"/>
    <w:rsid w:val="009C05E6"/>
    <w:rsid w:val="009C3BC5"/>
    <w:rsid w:val="009C429B"/>
    <w:rsid w:val="009D19A5"/>
    <w:rsid w:val="009D2824"/>
    <w:rsid w:val="009E01BB"/>
    <w:rsid w:val="00A100F3"/>
    <w:rsid w:val="00A17572"/>
    <w:rsid w:val="00A22E49"/>
    <w:rsid w:val="00A25AE6"/>
    <w:rsid w:val="00A2729F"/>
    <w:rsid w:val="00A318DC"/>
    <w:rsid w:val="00A35FBA"/>
    <w:rsid w:val="00A46E66"/>
    <w:rsid w:val="00A53F6C"/>
    <w:rsid w:val="00A616F2"/>
    <w:rsid w:val="00A6596C"/>
    <w:rsid w:val="00A73BE0"/>
    <w:rsid w:val="00A7507B"/>
    <w:rsid w:val="00A81EFF"/>
    <w:rsid w:val="00A843E9"/>
    <w:rsid w:val="00A85191"/>
    <w:rsid w:val="00A86B1B"/>
    <w:rsid w:val="00A96D7C"/>
    <w:rsid w:val="00AA5308"/>
    <w:rsid w:val="00AA5CD2"/>
    <w:rsid w:val="00AC3100"/>
    <w:rsid w:val="00AC4222"/>
    <w:rsid w:val="00AD2611"/>
    <w:rsid w:val="00AD3341"/>
    <w:rsid w:val="00AD70BA"/>
    <w:rsid w:val="00AE6292"/>
    <w:rsid w:val="00AF4587"/>
    <w:rsid w:val="00B079C8"/>
    <w:rsid w:val="00B10AE0"/>
    <w:rsid w:val="00B12652"/>
    <w:rsid w:val="00B14DD4"/>
    <w:rsid w:val="00B25422"/>
    <w:rsid w:val="00B34CDF"/>
    <w:rsid w:val="00B36AEA"/>
    <w:rsid w:val="00B37960"/>
    <w:rsid w:val="00B54378"/>
    <w:rsid w:val="00B658E8"/>
    <w:rsid w:val="00B65AE5"/>
    <w:rsid w:val="00B660A7"/>
    <w:rsid w:val="00B8092A"/>
    <w:rsid w:val="00B80E6A"/>
    <w:rsid w:val="00B87D22"/>
    <w:rsid w:val="00B97407"/>
    <w:rsid w:val="00BA1DBC"/>
    <w:rsid w:val="00BA4CD7"/>
    <w:rsid w:val="00BA6A93"/>
    <w:rsid w:val="00BA7768"/>
    <w:rsid w:val="00BA7856"/>
    <w:rsid w:val="00BB021F"/>
    <w:rsid w:val="00BB5A1C"/>
    <w:rsid w:val="00BC0028"/>
    <w:rsid w:val="00BC067B"/>
    <w:rsid w:val="00BC3369"/>
    <w:rsid w:val="00BD698B"/>
    <w:rsid w:val="00BE0CF5"/>
    <w:rsid w:val="00BE2D94"/>
    <w:rsid w:val="00BF6C8E"/>
    <w:rsid w:val="00C05439"/>
    <w:rsid w:val="00C141EE"/>
    <w:rsid w:val="00C158A8"/>
    <w:rsid w:val="00C23173"/>
    <w:rsid w:val="00C40370"/>
    <w:rsid w:val="00C42CE7"/>
    <w:rsid w:val="00C44213"/>
    <w:rsid w:val="00C66843"/>
    <w:rsid w:val="00C6687E"/>
    <w:rsid w:val="00C84A01"/>
    <w:rsid w:val="00C91369"/>
    <w:rsid w:val="00C96529"/>
    <w:rsid w:val="00CA09F7"/>
    <w:rsid w:val="00CA1464"/>
    <w:rsid w:val="00CA5611"/>
    <w:rsid w:val="00CB08B3"/>
    <w:rsid w:val="00CB2288"/>
    <w:rsid w:val="00CB351F"/>
    <w:rsid w:val="00CB4344"/>
    <w:rsid w:val="00CB4564"/>
    <w:rsid w:val="00CB65BC"/>
    <w:rsid w:val="00CC549C"/>
    <w:rsid w:val="00CE40E1"/>
    <w:rsid w:val="00CE4D10"/>
    <w:rsid w:val="00D115E0"/>
    <w:rsid w:val="00D32704"/>
    <w:rsid w:val="00D36254"/>
    <w:rsid w:val="00D4177D"/>
    <w:rsid w:val="00D430A2"/>
    <w:rsid w:val="00D4563B"/>
    <w:rsid w:val="00D4632D"/>
    <w:rsid w:val="00D5531B"/>
    <w:rsid w:val="00D55977"/>
    <w:rsid w:val="00D62C88"/>
    <w:rsid w:val="00D66F8F"/>
    <w:rsid w:val="00D82E29"/>
    <w:rsid w:val="00D84F12"/>
    <w:rsid w:val="00D914FB"/>
    <w:rsid w:val="00DA305F"/>
    <w:rsid w:val="00DA6337"/>
    <w:rsid w:val="00DB2356"/>
    <w:rsid w:val="00DB2607"/>
    <w:rsid w:val="00DC14D3"/>
    <w:rsid w:val="00DD156B"/>
    <w:rsid w:val="00DD6348"/>
    <w:rsid w:val="00DE142F"/>
    <w:rsid w:val="00DF0619"/>
    <w:rsid w:val="00DF067E"/>
    <w:rsid w:val="00DF1CC0"/>
    <w:rsid w:val="00DF33E0"/>
    <w:rsid w:val="00DF42E9"/>
    <w:rsid w:val="00E0091E"/>
    <w:rsid w:val="00E05423"/>
    <w:rsid w:val="00E42096"/>
    <w:rsid w:val="00E47650"/>
    <w:rsid w:val="00E50195"/>
    <w:rsid w:val="00E51381"/>
    <w:rsid w:val="00E54A24"/>
    <w:rsid w:val="00E600D1"/>
    <w:rsid w:val="00E64A9D"/>
    <w:rsid w:val="00E75D9F"/>
    <w:rsid w:val="00E843CC"/>
    <w:rsid w:val="00EA3DB0"/>
    <w:rsid w:val="00EB4184"/>
    <w:rsid w:val="00EC56E5"/>
    <w:rsid w:val="00ED4D15"/>
    <w:rsid w:val="00EE4586"/>
    <w:rsid w:val="00EE7F20"/>
    <w:rsid w:val="00EF1383"/>
    <w:rsid w:val="00EF17B3"/>
    <w:rsid w:val="00EF1B4F"/>
    <w:rsid w:val="00EF1CD5"/>
    <w:rsid w:val="00EF2969"/>
    <w:rsid w:val="00EF3ACA"/>
    <w:rsid w:val="00F12E34"/>
    <w:rsid w:val="00F16131"/>
    <w:rsid w:val="00F16708"/>
    <w:rsid w:val="00F26C52"/>
    <w:rsid w:val="00F458C6"/>
    <w:rsid w:val="00F50404"/>
    <w:rsid w:val="00F633B2"/>
    <w:rsid w:val="00F72557"/>
    <w:rsid w:val="00F7573E"/>
    <w:rsid w:val="00F7741A"/>
    <w:rsid w:val="00F8789C"/>
    <w:rsid w:val="00F9561D"/>
    <w:rsid w:val="00FA184B"/>
    <w:rsid w:val="00FA3437"/>
    <w:rsid w:val="00FA5227"/>
    <w:rsid w:val="00FD2D14"/>
    <w:rsid w:val="00FD7715"/>
    <w:rsid w:val="00FE3FAD"/>
    <w:rsid w:val="00FE7AD4"/>
    <w:rsid w:val="00FF2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A9CE9F"/>
  <w15:docId w15:val="{47EFC078-FE30-4824-B0B0-96F3A9AB7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092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A0736"/>
    <w:pPr>
      <w:tabs>
        <w:tab w:val="center" w:pos="4320"/>
        <w:tab w:val="right" w:pos="8640"/>
      </w:tabs>
    </w:pPr>
  </w:style>
  <w:style w:type="character" w:customStyle="1" w:styleId="FooterChar">
    <w:name w:val="Footer Char"/>
    <w:link w:val="Footer"/>
    <w:uiPriority w:val="99"/>
    <w:rsid w:val="000A0736"/>
    <w:rPr>
      <w:sz w:val="22"/>
      <w:szCs w:val="22"/>
    </w:rPr>
  </w:style>
  <w:style w:type="character" w:styleId="PageNumber">
    <w:name w:val="page number"/>
    <w:uiPriority w:val="99"/>
    <w:semiHidden/>
    <w:unhideWhenUsed/>
    <w:rsid w:val="000A0736"/>
  </w:style>
  <w:style w:type="paragraph" w:styleId="Header">
    <w:name w:val="header"/>
    <w:basedOn w:val="Normal"/>
    <w:link w:val="HeaderChar"/>
    <w:uiPriority w:val="99"/>
    <w:unhideWhenUsed/>
    <w:rsid w:val="00955016"/>
    <w:pPr>
      <w:tabs>
        <w:tab w:val="center" w:pos="4680"/>
        <w:tab w:val="right" w:pos="9360"/>
      </w:tabs>
    </w:pPr>
  </w:style>
  <w:style w:type="character" w:customStyle="1" w:styleId="HeaderChar">
    <w:name w:val="Header Char"/>
    <w:link w:val="Header"/>
    <w:uiPriority w:val="99"/>
    <w:rsid w:val="00955016"/>
    <w:rPr>
      <w:sz w:val="22"/>
      <w:szCs w:val="22"/>
    </w:rPr>
  </w:style>
  <w:style w:type="paragraph" w:styleId="BalloonText">
    <w:name w:val="Balloon Text"/>
    <w:basedOn w:val="Normal"/>
    <w:link w:val="BalloonTextChar"/>
    <w:uiPriority w:val="99"/>
    <w:semiHidden/>
    <w:unhideWhenUsed/>
    <w:rsid w:val="00802E6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802E65"/>
    <w:rPr>
      <w:rFonts w:ascii="Tahoma" w:hAnsi="Tahoma" w:cs="Tahoma"/>
      <w:sz w:val="16"/>
      <w:szCs w:val="16"/>
    </w:rPr>
  </w:style>
  <w:style w:type="character" w:styleId="CommentReference">
    <w:name w:val="annotation reference"/>
    <w:uiPriority w:val="99"/>
    <w:semiHidden/>
    <w:unhideWhenUsed/>
    <w:rsid w:val="00630663"/>
    <w:rPr>
      <w:sz w:val="16"/>
      <w:szCs w:val="16"/>
    </w:rPr>
  </w:style>
  <w:style w:type="paragraph" w:styleId="CommentText">
    <w:name w:val="annotation text"/>
    <w:basedOn w:val="Normal"/>
    <w:link w:val="CommentTextChar"/>
    <w:uiPriority w:val="99"/>
    <w:semiHidden/>
    <w:unhideWhenUsed/>
    <w:rsid w:val="00630663"/>
    <w:rPr>
      <w:sz w:val="20"/>
      <w:szCs w:val="20"/>
    </w:rPr>
  </w:style>
  <w:style w:type="character" w:customStyle="1" w:styleId="CommentTextChar">
    <w:name w:val="Comment Text Char"/>
    <w:basedOn w:val="DefaultParagraphFont"/>
    <w:link w:val="CommentText"/>
    <w:uiPriority w:val="99"/>
    <w:semiHidden/>
    <w:rsid w:val="00630663"/>
  </w:style>
  <w:style w:type="paragraph" w:styleId="CommentSubject">
    <w:name w:val="annotation subject"/>
    <w:basedOn w:val="CommentText"/>
    <w:next w:val="CommentText"/>
    <w:link w:val="CommentSubjectChar"/>
    <w:uiPriority w:val="99"/>
    <w:semiHidden/>
    <w:unhideWhenUsed/>
    <w:rsid w:val="00630663"/>
    <w:rPr>
      <w:b/>
      <w:bCs/>
    </w:rPr>
  </w:style>
  <w:style w:type="character" w:customStyle="1" w:styleId="CommentSubjectChar">
    <w:name w:val="Comment Subject Char"/>
    <w:link w:val="CommentSubject"/>
    <w:uiPriority w:val="99"/>
    <w:semiHidden/>
    <w:rsid w:val="00630663"/>
    <w:rPr>
      <w:b/>
      <w:bCs/>
    </w:rPr>
  </w:style>
  <w:style w:type="paragraph" w:styleId="Revision">
    <w:name w:val="Revision"/>
    <w:hidden/>
    <w:uiPriority w:val="99"/>
    <w:semiHidden/>
    <w:rsid w:val="00D4632D"/>
    <w:rPr>
      <w:sz w:val="22"/>
      <w:szCs w:val="22"/>
    </w:rPr>
  </w:style>
  <w:style w:type="paragraph" w:styleId="ListParagraph">
    <w:name w:val="List Paragraph"/>
    <w:basedOn w:val="Normal"/>
    <w:uiPriority w:val="34"/>
    <w:qFormat/>
    <w:rsid w:val="00C44213"/>
    <w:pPr>
      <w:ind w:left="720"/>
      <w:contextualSpacing/>
    </w:pPr>
  </w:style>
  <w:style w:type="character" w:styleId="Hyperlink">
    <w:name w:val="Hyperlink"/>
    <w:basedOn w:val="DefaultParagraphFont"/>
    <w:uiPriority w:val="99"/>
    <w:unhideWhenUsed/>
    <w:rsid w:val="008B7BEC"/>
    <w:rPr>
      <w:color w:val="0000FF" w:themeColor="hyperlink"/>
      <w:u w:val="single"/>
    </w:rPr>
  </w:style>
  <w:style w:type="character" w:customStyle="1" w:styleId="UnresolvedMention1">
    <w:name w:val="Unresolved Mention1"/>
    <w:basedOn w:val="DefaultParagraphFont"/>
    <w:uiPriority w:val="99"/>
    <w:semiHidden/>
    <w:unhideWhenUsed/>
    <w:rsid w:val="008B7B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341587">
      <w:bodyDiv w:val="1"/>
      <w:marLeft w:val="0"/>
      <w:marRight w:val="0"/>
      <w:marTop w:val="0"/>
      <w:marBottom w:val="0"/>
      <w:divBdr>
        <w:top w:val="none" w:sz="0" w:space="0" w:color="auto"/>
        <w:left w:val="none" w:sz="0" w:space="0" w:color="auto"/>
        <w:bottom w:val="none" w:sz="0" w:space="0" w:color="auto"/>
        <w:right w:val="none" w:sz="0" w:space="0" w:color="auto"/>
      </w:divBdr>
    </w:div>
    <w:div w:id="1313214935">
      <w:bodyDiv w:val="1"/>
      <w:marLeft w:val="0"/>
      <w:marRight w:val="0"/>
      <w:marTop w:val="0"/>
      <w:marBottom w:val="0"/>
      <w:divBdr>
        <w:top w:val="none" w:sz="0" w:space="0" w:color="auto"/>
        <w:left w:val="none" w:sz="0" w:space="0" w:color="auto"/>
        <w:bottom w:val="none" w:sz="0" w:space="0" w:color="auto"/>
        <w:right w:val="none" w:sz="0" w:space="0" w:color="auto"/>
      </w:divBdr>
    </w:div>
    <w:div w:id="1645810128">
      <w:bodyDiv w:val="1"/>
      <w:marLeft w:val="0"/>
      <w:marRight w:val="0"/>
      <w:marTop w:val="0"/>
      <w:marBottom w:val="0"/>
      <w:divBdr>
        <w:top w:val="none" w:sz="0" w:space="0" w:color="auto"/>
        <w:left w:val="none" w:sz="0" w:space="0" w:color="auto"/>
        <w:bottom w:val="none" w:sz="0" w:space="0" w:color="auto"/>
        <w:right w:val="none" w:sz="0" w:space="0" w:color="auto"/>
      </w:divBdr>
    </w:div>
    <w:div w:id="185395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2839</Words>
  <Characters>16381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Ward</dc:creator>
  <cp:keywords/>
  <dc:description>Document was created by {applicationname}, version: {version}</dc:description>
  <cp:lastModifiedBy>Chris Gioia</cp:lastModifiedBy>
  <cp:revision>5</cp:revision>
  <cp:lastPrinted>2015-10-14T16:27:00Z</cp:lastPrinted>
  <dcterms:created xsi:type="dcterms:W3CDTF">2024-05-23T22:48:00Z</dcterms:created>
  <dcterms:modified xsi:type="dcterms:W3CDTF">2024-07-10T20:29:00Z</dcterms:modified>
</cp:coreProperties>
</file>