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56.png" ContentType="image/png"/>
  <Override PartName="/word/media/rId61.png" ContentType="image/png"/>
  <Override PartName="/word/media/rId5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Alcohol and sexual consent communication</w:t>
      </w:r>
    </w:p>
    <w:p>
      <w:pPr>
        <w:pStyle w:val="Subtitle"/>
      </w:pPr>
      <w:r>
        <w:t xml:space="preserve">A daily diary investigation of verbal and nonverbal cues</w:t>
      </w:r>
    </w:p>
    <w:p>
      <w:pPr>
        <w:pStyle w:val="Author"/>
      </w:pPr>
      <w:r>
        <w:t xml:space="preserve">Stephanie B. Ward</w:t>
      </w:r>
    </w:p>
    <w:p>
      <w:pPr>
        <w:pStyle w:val="Date"/>
      </w:pPr>
      <w:r>
        <w:t xml:space="preserve">2026-01-27</w:t>
      </w:r>
    </w:p>
    <w:bookmarkStart w:id="3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Sexual consent is a complex process involving thoughts, feelings, and</w:t>
      </w:r>
      <w:r>
        <w:t xml:space="preserve"> </w:t>
      </w:r>
      <w:r>
        <w:t xml:space="preserve">behaviors used to determine and express willingness to engage in sexual</w:t>
      </w:r>
      <w:r>
        <w:t xml:space="preserve"> </w:t>
      </w:r>
      <w:r>
        <w:t xml:space="preserve">activity.</w:t>
      </w:r>
      <w:r>
        <w:rPr>
          <w:vertAlign w:val="superscript"/>
        </w:rPr>
        <w:t xml:space="preserve">1</w:t>
      </w:r>
      <w:r>
        <w:t xml:space="preserve"> </w:t>
      </w:r>
      <w:r>
        <w:t xml:space="preserve">Specific behaviors</w:t>
      </w:r>
      <w:r>
        <w:t xml:space="preserve"> </w:t>
      </w:r>
      <w:r>
        <w:t xml:space="preserve">used to infer and communicate consent include verbal and nonverbal cues,</w:t>
      </w:r>
      <w:r>
        <w:t xml:space="preserve"> </w:t>
      </w:r>
      <w:r>
        <w:t xml:space="preserve">which can be explicit or implicit, ranging from clear spoken dialogue</w:t>
      </w:r>
      <w:r>
        <w:t xml:space="preserve"> </w:t>
      </w:r>
      <w:r>
        <w:t xml:space="preserve">(</w:t>
      </w:r>
      <w:r>
        <w:t xml:space="preserve">“Yes!”</w:t>
      </w:r>
      <w:r>
        <w:t xml:space="preserve">) to subtle body</w:t>
      </w:r>
      <w:r>
        <w:t xml:space="preserve"> </w:t>
      </w:r>
      <w:r>
        <w:t xml:space="preserve">language.</w:t>
      </w:r>
      <w:r>
        <w:rPr>
          <w:vertAlign w:val="superscript"/>
        </w:rPr>
        <w:t xml:space="preserve">2</w:t>
      </w:r>
      <w:r>
        <w:t xml:space="preserve"> </w:t>
      </w:r>
      <w:r>
        <w:t xml:space="preserve">The presence of</w:t>
      </w:r>
      <w:r>
        <w:t xml:space="preserve"> </w:t>
      </w:r>
      <w:r>
        <w:t xml:space="preserve">consent distinguishes wanted sexual experiences from sexual assault, so</w:t>
      </w:r>
      <w:r>
        <w:t xml:space="preserve"> </w:t>
      </w:r>
      <w:r>
        <w:t xml:space="preserve">programs aiming to prevent sexual assault often target consent</w:t>
      </w:r>
      <w:r>
        <w:t xml:space="preserve"> </w:t>
      </w:r>
      <w:r>
        <w:t xml:space="preserve">communication. A substantial gap exists between these programs’</w:t>
      </w:r>
      <w:r>
        <w:t xml:space="preserve"> </w:t>
      </w:r>
      <w:r>
        <w:t xml:space="preserve">curricula and the varied consent practices that young people use during</w:t>
      </w:r>
      <w:r>
        <w:t xml:space="preserve"> </w:t>
      </w:r>
      <w:r>
        <w:t xml:space="preserve">sexual encounters, particularly those involving alcohol</w:t>
      </w:r>
      <w:r>
        <w:t xml:space="preserve"> </w:t>
      </w:r>
      <w:r>
        <w:t xml:space="preserve">use.</w:t>
      </w:r>
      <w:r>
        <w:rPr>
          <w:vertAlign w:val="superscript"/>
        </w:rPr>
        <w:t xml:space="preserve">3</w:t>
      </w:r>
    </w:p>
    <w:p>
      <w:pPr>
        <w:pStyle w:val="BodyText"/>
      </w:pPr>
      <w:r>
        <w:t xml:space="preserve">Alcohol use frequently co-occurs with sexual assault and muddles</w:t>
      </w:r>
      <w:r>
        <w:t xml:space="preserve"> </w:t>
      </w:r>
      <w:r>
        <w:t xml:space="preserve">communication dynamics within young adults’ consensual sexual</w:t>
      </w:r>
      <w:r>
        <w:t xml:space="preserve"> </w:t>
      </w:r>
      <w:r>
        <w:t xml:space="preserve">encounters. A recent scoping review of the alcohol and sexual consent</w:t>
      </w:r>
      <w:r>
        <w:t xml:space="preserve"> </w:t>
      </w:r>
      <w:r>
        <w:t xml:space="preserve">literature highlighted the need for more quantitative research in this</w:t>
      </w:r>
      <w:r>
        <w:t xml:space="preserve"> </w:t>
      </w:r>
      <w:r>
        <w:t xml:space="preserve">area. The authors called for studies using methods that permit careful</w:t>
      </w:r>
      <w:r>
        <w:t xml:space="preserve"> </w:t>
      </w:r>
      <w:r>
        <w:t xml:space="preserve">evaluation of the contextual features of alcohol-involved consent by</w:t>
      </w:r>
      <w:r>
        <w:t xml:space="preserve"> </w:t>
      </w:r>
      <w:r>
        <w:t xml:space="preserve">facilitating event-level data collection on individual sexual encounters</w:t>
      </w:r>
      <w:r>
        <w:t xml:space="preserve"> </w:t>
      </w:r>
      <w:r>
        <w:t xml:space="preserve">and aspects within them that covary with cue use. This call to action is</w:t>
      </w:r>
      <w:r>
        <w:t xml:space="preserve"> </w:t>
      </w:r>
      <w:r>
        <w:t xml:space="preserve">important because contextual factors—such as co-occurring intoxication</w:t>
      </w:r>
      <w:r>
        <w:t xml:space="preserve"> </w:t>
      </w:r>
      <w:r>
        <w:t xml:space="preserve">and type of sexual activity—have been linked to within-person</w:t>
      </w:r>
      <w:r>
        <w:t xml:space="preserve"> </w:t>
      </w:r>
      <w:r>
        <w:t xml:space="preserve">differences in consent communication.</w:t>
      </w:r>
      <w:r>
        <w:rPr>
          <w:vertAlign w:val="superscript"/>
        </w:rPr>
        <w:t xml:space="preserve">5</w:t>
      </w:r>
    </w:p>
    <w:p>
      <w:pPr>
        <w:pStyle w:val="BodyText"/>
      </w:pPr>
      <w:r>
        <w:t xml:space="preserve">Researchers studying contextual factors linking alcohol to variance in</w:t>
      </w:r>
      <w:r>
        <w:t xml:space="preserve"> </w:t>
      </w:r>
      <w:r>
        <w:t xml:space="preserve">consent communication have done so by conducting systematic,</w:t>
      </w:r>
      <w:r>
        <w:t xml:space="preserve"> </w:t>
      </w:r>
      <w:r>
        <w:t xml:space="preserve">within-person comparisons of two matched events,</w:t>
      </w:r>
      <w:r>
        <w:rPr>
          <w:vertAlign w:val="superscript"/>
        </w:rPr>
        <w:t xml:space="preserve">6</w:t>
      </w:r>
      <w:r>
        <w:t xml:space="preserve"> </w:t>
      </w:r>
      <w:r>
        <w:t xml:space="preserve">or by grounding</w:t>
      </w:r>
      <w:r>
        <w:t xml:space="preserve"> </w:t>
      </w:r>
      <w:r>
        <w:t xml:space="preserve">responses to each person’s most recent sexual encounter, which could</w:t>
      </w:r>
      <w:r>
        <w:t xml:space="preserve"> </w:t>
      </w:r>
      <w:r>
        <w:t xml:space="preserve">have occurred weeks to months in the past. While informative, these</w:t>
      </w:r>
      <w:r>
        <w:t xml:space="preserve"> </w:t>
      </w:r>
      <w:r>
        <w:t xml:space="preserve">studies risk greater recall bias by asking people to remember past</w:t>
      </w:r>
      <w:r>
        <w:t xml:space="preserve"> </w:t>
      </w:r>
      <w:r>
        <w:t xml:space="preserve">events. In contrast, micro-longitudinal studies assess contextual</w:t>
      </w:r>
      <w:r>
        <w:t xml:space="preserve"> </w:t>
      </w:r>
      <w:r>
        <w:t xml:space="preserve">factors closer in time to when consent communication occurs. Although</w:t>
      </w:r>
      <w:r>
        <w:t xml:space="preserve"> </w:t>
      </w:r>
      <w:r>
        <w:t xml:space="preserve">ecological momentary assessment and electronic daily diaries have been</w:t>
      </w:r>
      <w:r>
        <w:t xml:space="preserve"> </w:t>
      </w:r>
      <w:r>
        <w:t xml:space="preserve">used extensively in other clinical science research to illuminate</w:t>
      </w:r>
      <w:r>
        <w:t xml:space="preserve"> </w:t>
      </w:r>
      <w:r>
        <w:t xml:space="preserve">important time-varying predictors of health risk behaviors,</w:t>
      </w:r>
      <w:r>
        <w:rPr>
          <w:vertAlign w:val="superscript"/>
        </w:rPr>
        <w:t xml:space="preserve">9</w:t>
      </w:r>
      <w:r>
        <w:t xml:space="preserve"> </w:t>
      </w:r>
      <w:r>
        <w:t xml:space="preserve">only one published investigation of this kind has been</w:t>
      </w:r>
      <w:r>
        <w:t xml:space="preserve"> </w:t>
      </w:r>
      <w:r>
        <w:t xml:space="preserve">examined alcohol and sexual consent communication.</w:t>
      </w:r>
    </w:p>
    <w:p>
      <w:pPr>
        <w:pStyle w:val="BodyText"/>
      </w:pPr>
      <w:r>
        <w:t xml:space="preserve">Willis and colleagues surveyed participants three times per day for 28</w:t>
      </w:r>
      <w:r>
        <w:t xml:space="preserve"> </w:t>
      </w:r>
      <w:r>
        <w:t xml:space="preserve">days and found that within-person variability accounted for more than</w:t>
      </w:r>
      <w:r>
        <w:t xml:space="preserve"> </w:t>
      </w:r>
      <w:r>
        <w:t xml:space="preserve">70% of the variance in sexual consent</w:t>
      </w:r>
      <w:r>
        <w:t xml:space="preserve"> </w:t>
      </w:r>
      <w:r>
        <w:t xml:space="preserve">communication.</w:t>
      </w:r>
      <w:r>
        <w:rPr>
          <w:vertAlign w:val="superscript"/>
        </w:rPr>
        <w:t xml:space="preserve">10</w:t>
      </w:r>
      <w:r>
        <w:t xml:space="preserve"> </w:t>
      </w:r>
      <w:r>
        <w:t xml:space="preserve">Participants</w:t>
      </w:r>
      <w:r>
        <w:t xml:space="preserve"> </w:t>
      </w:r>
      <w:r>
        <w:t xml:space="preserve">reported greater consent cue use for sexual encounters involving more</w:t>
      </w:r>
      <w:r>
        <w:t xml:space="preserve"> </w:t>
      </w:r>
      <w:r>
        <w:t xml:space="preserve">physically intimate sexual behaviors (i.e., vaginal or anal penetration)</w:t>
      </w:r>
      <w:r>
        <w:t xml:space="preserve"> </w:t>
      </w:r>
      <w:r>
        <w:t xml:space="preserve">than for encounters involving less intimate behaviors,</w:t>
      </w:r>
      <w:r>
        <w:rPr>
          <w:vertAlign w:val="superscript"/>
        </w:rPr>
        <w:t xml:space="preserve">10</w:t>
      </w:r>
      <w:r>
        <w:t xml:space="preserve"> </w:t>
      </w:r>
      <w:r>
        <w:t xml:space="preserve">but no significant</w:t>
      </w:r>
      <w:r>
        <w:t xml:space="preserve"> </w:t>
      </w:r>
      <w:r>
        <w:t xml:space="preserve">event-level associations between alcohol involvement and verbal or</w:t>
      </w:r>
      <w:r>
        <w:t xml:space="preserve"> </w:t>
      </w:r>
      <w:r>
        <w:t xml:space="preserve">nonverbal consent were observed in this</w:t>
      </w:r>
      <w:r>
        <w:t xml:space="preserve"> </w:t>
      </w:r>
      <w:r>
        <w:t xml:space="preserve">sample.</w:t>
      </w:r>
      <w:r>
        <w:rPr>
          <w:vertAlign w:val="superscript"/>
        </w:rPr>
        <w:t xml:space="preserve">5</w:t>
      </w:r>
      <w:r>
        <w:t xml:space="preserve"> </w:t>
      </w:r>
      <w:r>
        <w:t xml:space="preserve">The previous research</w:t>
      </w:r>
      <w:r>
        <w:t xml:space="preserve"> </w:t>
      </w:r>
      <w:r>
        <w:t xml:space="preserve">examined a limited set of predictors and reflected a specific</w:t>
      </w:r>
      <w:r>
        <w:t xml:space="preserve"> </w:t>
      </w:r>
      <w:r>
        <w:t xml:space="preserve">subpopulation of adults in committed relationships; the current project</w:t>
      </w:r>
      <w:r>
        <w:t xml:space="preserve"> </w:t>
      </w:r>
      <w:r>
        <w:t xml:space="preserve">builds on their findings by probing encounter- and person-level</w:t>
      </w:r>
      <w:r>
        <w:t xml:space="preserve"> </w:t>
      </w:r>
      <w:r>
        <w:t xml:space="preserve">associations with alcohol and consent cue use among university students</w:t>
      </w:r>
      <w:r>
        <w:t xml:space="preserve"> </w:t>
      </w:r>
      <w:r>
        <w:t xml:space="preserve">while expanding the range of possible predictors. Examining these</w:t>
      </w:r>
      <w:r>
        <w:t xml:space="preserve"> </w:t>
      </w:r>
      <w:r>
        <w:t xml:space="preserve">associations in different samples and in relation to a wider array of</w:t>
      </w:r>
      <w:r>
        <w:t xml:space="preserve"> </w:t>
      </w:r>
      <w:r>
        <w:t xml:space="preserve">variables is a crucial next step toward isolating more actionable</w:t>
      </w:r>
      <w:r>
        <w:t xml:space="preserve"> </w:t>
      </w:r>
      <w:r>
        <w:t xml:space="preserve">targets for sexual assault prevention efforts focused on changing</w:t>
      </w:r>
      <w:r>
        <w:t xml:space="preserve"> </w:t>
      </w:r>
      <w:r>
        <w:t xml:space="preserve">consent behavior.</w:t>
      </w:r>
    </w:p>
    <w:bookmarkStart w:id="20" w:name="X51b40007165735a8299760361344b8edbb1f9ae"/>
    <w:p>
      <w:pPr>
        <w:pStyle w:val="Heading3"/>
      </w:pPr>
      <w:r>
        <w:t xml:space="preserve">Between-person predictors of active consent cues</w:t>
      </w:r>
    </w:p>
    <w:p>
      <w:pPr>
        <w:pStyle w:val="FirstParagraph"/>
      </w:pPr>
      <w:r>
        <w:t xml:space="preserve">Rates of sexual assault on U.S. college campuses remain virtually</w:t>
      </w:r>
      <w:r>
        <w:t xml:space="preserve"> </w:t>
      </w:r>
      <w:r>
        <w:t xml:space="preserve">unchanged after more than 30 years of dedicated research and</w:t>
      </w:r>
      <w:r>
        <w:t xml:space="preserve"> </w:t>
      </w:r>
      <w:r>
        <w:t xml:space="preserve">intervention.</w:t>
      </w:r>
      <w:r>
        <w:rPr>
          <w:vertAlign w:val="superscript"/>
        </w:rPr>
        <w:t xml:space="preserve">12</w:t>
      </w:r>
      <w:r>
        <w:t xml:space="preserve"> </w:t>
      </w:r>
      <w:r>
        <w:t xml:space="preserve">Lack of consent is increasingly</w:t>
      </w:r>
      <w:r>
        <w:t xml:space="preserve"> </w:t>
      </w:r>
      <w:r>
        <w:t xml:space="preserve">recognized as defining characteristic of sexual assault, leading</w:t>
      </w:r>
      <w:r>
        <w:t xml:space="preserve"> </w:t>
      </w:r>
      <w:r>
        <w:t xml:space="preserve">institutions to incorporate consent-focused education into violence</w:t>
      </w:r>
      <w:r>
        <w:t xml:space="preserve"> </w:t>
      </w:r>
      <w:r>
        <w:t xml:space="preserve">prevention efforts.</w:t>
      </w:r>
      <w:r>
        <w:rPr>
          <w:vertAlign w:val="superscript"/>
        </w:rPr>
        <w:t xml:space="preserve">14</w:t>
      </w:r>
      <w:r>
        <w:t xml:space="preserve"> </w:t>
      </w:r>
      <w:r>
        <w:t xml:space="preserve">University policy and educational</w:t>
      </w:r>
      <w:r>
        <w:t xml:space="preserve"> </w:t>
      </w:r>
      <w:r>
        <w:t xml:space="preserve">initiatives promote explicit and enthusiastic consent communication</w:t>
      </w:r>
      <w:r>
        <w:t xml:space="preserve"> </w:t>
      </w:r>
      <w:r>
        <w:t xml:space="preserve">(</w:t>
      </w:r>
      <w:r>
        <w:t xml:space="preserve">“only yes means yes!”</w:t>
      </w:r>
      <w:r>
        <w:t xml:space="preserve">), while young people often rely instead on</w:t>
      </w:r>
      <w:r>
        <w:t xml:space="preserve"> </w:t>
      </w:r>
      <w:r>
        <w:t xml:space="preserve">passive cues (not resisting, not saying no) and assumptions (</w:t>
      </w:r>
      <w:r>
        <w:t xml:space="preserve">“We love</w:t>
      </w:r>
      <w:r>
        <w:t xml:space="preserve"> </w:t>
      </w:r>
      <w:r>
        <w:t xml:space="preserve">each other”</w:t>
      </w:r>
      <w:r>
        <w:t xml:space="preserve">)</w:t>
      </w:r>
      <w:r>
        <w:rPr>
          <w:vertAlign w:val="superscript"/>
        </w:rPr>
        <w:t xml:space="preserve">15</w:t>
      </w:r>
      <w:r>
        <w:t xml:space="preserve"> </w:t>
      </w:r>
      <w:r>
        <w:t xml:space="preserve">to determine consent.</w:t>
      </w:r>
      <w:r>
        <w:rPr>
          <w:vertAlign w:val="superscript"/>
        </w:rPr>
        <w:t xml:space="preserve">17</w:t>
      </w:r>
      <w:r>
        <w:t xml:space="preserve"> </w:t>
      </w:r>
      <w:r>
        <w:t xml:space="preserve">Sexual consent education</w:t>
      </w:r>
      <w:r>
        <w:t xml:space="preserve"> </w:t>
      </w:r>
      <w:r>
        <w:t xml:space="preserve">aims to promote the use of active cues by enhancing consent knowledge</w:t>
      </w:r>
      <w:r>
        <w:t xml:space="preserve"> </w:t>
      </w:r>
      <w:r>
        <w:t xml:space="preserve">and positive attitudes while decreasing rape-supportive attitudes,</w:t>
      </w:r>
      <w:r>
        <w:t xml:space="preserve"> </w:t>
      </w:r>
      <w:r>
        <w:t xml:space="preserve">presuming that attitudes shape consent behavior. However, these</w:t>
      </w:r>
      <w:r>
        <w:t xml:space="preserve"> </w:t>
      </w:r>
      <w:r>
        <w:t xml:space="preserve">interventions do not have a clear underlying mechanism of behavior</w:t>
      </w:r>
      <w:r>
        <w:t xml:space="preserve"> </w:t>
      </w:r>
      <w:r>
        <w:t xml:space="preserve">change, and they rarely assess behavioral outcomes.</w:t>
      </w:r>
      <w:r>
        <w:rPr>
          <w:vertAlign w:val="superscript"/>
        </w:rPr>
        <w:t xml:space="preserve">18</w:t>
      </w:r>
      <w:r>
        <w:t xml:space="preserve"> </w:t>
      </w:r>
      <w:r>
        <w:t xml:space="preserve">A prerequisite to improving upon the</w:t>
      </w:r>
      <w:r>
        <w:t xml:space="preserve"> </w:t>
      </w:r>
      <w:r>
        <w:t xml:space="preserve">value of consent education is testing whether these attitudinal</w:t>
      </w:r>
      <w:r>
        <w:t xml:space="preserve"> </w:t>
      </w:r>
      <w:r>
        <w:t xml:space="preserve">intervention targets predict actual in-the-moment cue use, and</w:t>
      </w:r>
      <w:r>
        <w:t xml:space="preserve"> </w:t>
      </w:r>
      <w:r>
        <w:t xml:space="preserve">contrasting their explanatory power with that of other predictors.</w:t>
      </w:r>
    </w:p>
    <w:bookmarkEnd w:id="20"/>
    <w:bookmarkStart w:id="23" w:name="attitudes-and-adherence-to-social-norms"/>
    <w:p>
      <w:pPr>
        <w:pStyle w:val="Heading3"/>
      </w:pPr>
      <w:r>
        <w:t xml:space="preserve">Attitudes and adherence to social norms</w:t>
      </w:r>
    </w:p>
    <w:bookmarkStart w:id="21" w:name="individual-differences"/>
    <w:p>
      <w:pPr>
        <w:pStyle w:val="Heading4"/>
      </w:pPr>
      <w:r>
        <w:t xml:space="preserve">Individual differences</w:t>
      </w:r>
    </w:p>
    <w:p>
      <w:pPr>
        <w:pStyle w:val="FirstParagraph"/>
      </w:pPr>
      <w:r>
        <w:t xml:space="preserve">Rape-supportive attitudes and beliefs have been theorized to explain</w:t>
      </w:r>
      <w:r>
        <w:t xml:space="preserve"> </w:t>
      </w:r>
      <w:r>
        <w:t xml:space="preserve">variability in how individuals approach consent communication.</w:t>
      </w:r>
      <w:r>
        <w:rPr>
          <w:vertAlign w:val="superscript"/>
        </w:rPr>
        <w:t xml:space="preserve">19</w:t>
      </w:r>
      <w:r>
        <w:t xml:space="preserve"> </w:t>
      </w:r>
      <w:r>
        <w:t xml:space="preserve">Perhaps the most prominent example in the</w:t>
      </w:r>
      <w:r>
        <w:t xml:space="preserve"> </w:t>
      </w:r>
      <w:r>
        <w:t xml:space="preserve">sexual assault and consent literatures concerns Rape Myth Acceptance</w:t>
      </w:r>
      <w:r>
        <w:t xml:space="preserve"> </w:t>
      </w:r>
      <w:r>
        <w:t xml:space="preserve">(RMA), the endorsement of widely-held false beliefs that justify sexual</w:t>
      </w:r>
      <w:r>
        <w:t xml:space="preserve"> </w:t>
      </w:r>
      <w:r>
        <w:t xml:space="preserve">aggression and place blame on victims.</w:t>
      </w:r>
      <w:r>
        <w:rPr>
          <w:vertAlign w:val="superscript"/>
        </w:rPr>
        <w:t xml:space="preserve">21</w:t>
      </w:r>
      <w:r>
        <w:t xml:space="preserve"> </w:t>
      </w:r>
      <w:r>
        <w:t xml:space="preserve">RMA is a robust predictor of sexual violence perpetration; it also has</w:t>
      </w:r>
      <w:r>
        <w:t xml:space="preserve"> </w:t>
      </w:r>
      <w:r>
        <w:t xml:space="preserve">been used as an outcome measure in several sexual consent interventions</w:t>
      </w:r>
      <w:r>
        <w:t xml:space="preserve"> </w:t>
      </w:r>
      <w:r>
        <w:t xml:space="preserve">delivered to young people in educational settings.</w:t>
      </w:r>
      <w:r>
        <w:rPr>
          <w:vertAlign w:val="superscript"/>
        </w:rPr>
        <w:t xml:space="preserve">22</w:t>
      </w:r>
      <w:r>
        <w:t xml:space="preserve"> </w:t>
      </w:r>
      <w:r>
        <w:t xml:space="preserve">Individuals with high</w:t>
      </w:r>
      <w:r>
        <w:t xml:space="preserve"> </w:t>
      </w:r>
      <w:r>
        <w:t xml:space="preserve">levels of RMA often hold the belief that victims of sexual assault</w:t>
      </w:r>
      <w:r>
        <w:t xml:space="preserve"> </w:t>
      </w:r>
      <w:r>
        <w:t xml:space="preserve">“led</w:t>
      </w:r>
      <w:r>
        <w:t xml:space="preserve"> </w:t>
      </w:r>
      <w:r>
        <w:t xml:space="preserve">the other person on”</w:t>
      </w:r>
      <w:r>
        <w:t xml:space="preserve"> </w:t>
      </w:r>
      <w:r>
        <w:t xml:space="preserve">(e.g., with what could be conceived through this</w:t>
      </w:r>
      <w:r>
        <w:t xml:space="preserve"> </w:t>
      </w:r>
      <w:r>
        <w:t xml:space="preserve">lens as nonverbal consent cues) or provided verbal agreement and</w:t>
      </w:r>
      <w:r>
        <w:t xml:space="preserve"> </w:t>
      </w:r>
      <w:r>
        <w:t xml:space="preserve">“later</w:t>
      </w:r>
      <w:r>
        <w:t xml:space="preserve"> </w:t>
      </w:r>
      <w:r>
        <w:t xml:space="preserve">regretted it.”</w:t>
      </w:r>
      <w:r>
        <w:t xml:space="preserve"> </w:t>
      </w:r>
      <w:r>
        <w:t xml:space="preserve">These pervasive schemas suggest individuals with high</w:t>
      </w:r>
      <w:r>
        <w:t xml:space="preserve"> </w:t>
      </w:r>
      <w:r>
        <w:t xml:space="preserve">levels of RMA may pursue sexual contact without first communicating</w:t>
      </w:r>
      <w:r>
        <w:t xml:space="preserve"> </w:t>
      </w:r>
      <w:r>
        <w:t xml:space="preserve">their willingness or looking for indications of the other person’s</w:t>
      </w:r>
      <w:r>
        <w:t xml:space="preserve"> </w:t>
      </w:r>
      <w:r>
        <w:t xml:space="preserve">openness to their advances.</w:t>
      </w:r>
      <w:r>
        <w:rPr>
          <w:vertAlign w:val="superscript"/>
        </w:rPr>
        <w:t xml:space="preserve">24</w:t>
      </w:r>
      <w:r>
        <w:t xml:space="preserve"> </w:t>
      </w:r>
      <w:r>
        <w:t xml:space="preserve">There also are rape myths that</w:t>
      </w:r>
      <w:r>
        <w:t xml:space="preserve"> </w:t>
      </w:r>
      <w:r>
        <w:t xml:space="preserve">specifically excuse perpetrator behavior in the context of alcohol</w:t>
      </w:r>
      <w:r>
        <w:t xml:space="preserve"> </w:t>
      </w:r>
      <w:r>
        <w:t xml:space="preserve">intoxication (e.g.,</w:t>
      </w:r>
      <w:r>
        <w:t xml:space="preserve"> </w:t>
      </w:r>
      <w:r>
        <w:t xml:space="preserve">“It shouldn’t be considered rape if the person is</w:t>
      </w:r>
      <w:r>
        <w:t xml:space="preserve"> </w:t>
      </w:r>
      <w:r>
        <w:t xml:space="preserve">drunk and didn’t know what they were doing”</w:t>
      </w:r>
      <w:r>
        <w:t xml:space="preserve">). Rape myths are distinct</w:t>
      </w:r>
      <w:r>
        <w:t xml:space="preserve"> </w:t>
      </w:r>
      <w:r>
        <w:t xml:space="preserve">from but related to permissive Alcohol and Sexual Consent (ASC)</w:t>
      </w:r>
      <w:r>
        <w:t xml:space="preserve"> </w:t>
      </w:r>
      <w:r>
        <w:t xml:space="preserve">attitudes,</w:t>
      </w:r>
      <w:r>
        <w:rPr>
          <w:vertAlign w:val="superscript"/>
        </w:rPr>
        <w:t xml:space="preserve">24</w:t>
      </w:r>
      <w:r>
        <w:t xml:space="preserve"> </w:t>
      </w:r>
      <w:r>
        <w:t xml:space="preserve">both of which</w:t>
      </w:r>
      <w:r>
        <w:t xml:space="preserve"> </w:t>
      </w:r>
      <w:r>
        <w:t xml:space="preserve">contradict sexual assault programming messages about, for example, how</w:t>
      </w:r>
      <w:r>
        <w:t xml:space="preserve"> </w:t>
      </w:r>
      <w:r>
        <w:t xml:space="preserve">communication signals are easily misinterpreted when alcohol is involved</w:t>
      </w:r>
      <w:r>
        <w:t xml:space="preserve"> </w:t>
      </w:r>
      <w:r>
        <w:t xml:space="preserve">in a sexual situation. Permissive ASC attitudes reflect social norms</w:t>
      </w:r>
      <w:r>
        <w:t xml:space="preserve"> </w:t>
      </w:r>
      <w:r>
        <w:t xml:space="preserve">that are prevalent on college campuses (e.g.,</w:t>
      </w:r>
      <w:r>
        <w:t xml:space="preserve"> </w:t>
      </w:r>
      <w:r>
        <w:t xml:space="preserve">“Consensual drunk sex is a</w:t>
      </w:r>
      <w:r>
        <w:t xml:space="preserve"> </w:t>
      </w:r>
      <w:r>
        <w:t xml:space="preserve">normal and harmless part of college life”</w:t>
      </w:r>
      <w:r>
        <w:t xml:space="preserve">) and reinforce approval of</w:t>
      </w:r>
      <w:r>
        <w:t xml:space="preserve"> </w:t>
      </w:r>
      <w:r>
        <w:t xml:space="preserve">intoxicated sexual activity without regard for the associated risks. Our</w:t>
      </w:r>
      <w:r>
        <w:t xml:space="preserve"> </w:t>
      </w:r>
      <w:r>
        <w:t xml:space="preserve">previous research found that permissive ASC attitudes were negatively</w:t>
      </w:r>
      <w:r>
        <w:t xml:space="preserve"> </w:t>
      </w:r>
      <w:r>
        <w:t xml:space="preserve">related to ongoing and communicative (i.e.,</w:t>
      </w:r>
      <w:r>
        <w:t xml:space="preserve"> </w:t>
      </w:r>
      <w:r>
        <w:t xml:space="preserve">“process-based”</w:t>
      </w:r>
      <w:r>
        <w:t xml:space="preserve">) consent</w:t>
      </w:r>
      <w:r>
        <w:t xml:space="preserve"> </w:t>
      </w:r>
      <w:r>
        <w:t xml:space="preserve">behavior among college men.</w:t>
      </w:r>
      <w:r>
        <w:rPr>
          <w:vertAlign w:val="superscript"/>
        </w:rPr>
        <w:t xml:space="preserve">26</w:t>
      </w:r>
    </w:p>
    <w:bookmarkEnd w:id="21"/>
    <w:bookmarkStart w:id="22" w:name="perceived-peer-differences"/>
    <w:p>
      <w:pPr>
        <w:pStyle w:val="Heading4"/>
      </w:pPr>
      <w:r>
        <w:t xml:space="preserve">Perceived-peer differences</w:t>
      </w:r>
    </w:p>
    <w:p>
      <w:pPr>
        <w:pStyle w:val="FirstParagraph"/>
      </w:pPr>
      <w:r>
        <w:t xml:space="preserve">Among college men, peer relationships can be critical to their risk of</w:t>
      </w:r>
      <w:r>
        <w:t xml:space="preserve"> </w:t>
      </w:r>
      <w:r>
        <w:t xml:space="preserve">perpetrating sexual aggression</w:t>
      </w:r>
      <w:r>
        <w:rPr>
          <w:vertAlign w:val="superscript"/>
        </w:rPr>
        <w:t xml:space="preserve">28</w:t>
      </w:r>
      <w:r>
        <w:t xml:space="preserve"> </w:t>
      </w:r>
      <w:r>
        <w:t xml:space="preserve">and male peer support for abuse</w:t>
      </w:r>
      <w:r>
        <w:t xml:space="preserve"> </w:t>
      </w:r>
      <w:r>
        <w:t xml:space="preserve">and coercion have been linked to lower comprehension of sexual consent</w:t>
      </w:r>
      <w:r>
        <w:t xml:space="preserve"> </w:t>
      </w:r>
      <w:r>
        <w:t xml:space="preserve">and less communicative sexuality.</w:t>
      </w:r>
      <w:r>
        <w:rPr>
          <w:vertAlign w:val="superscript"/>
        </w:rPr>
        <w:t xml:space="preserve">29</w:t>
      </w:r>
      <w:r>
        <w:t xml:space="preserve"> </w:t>
      </w:r>
      <w:r>
        <w:t xml:space="preserve">The relevance of a person’s</w:t>
      </w:r>
      <w:r>
        <w:t xml:space="preserve"> </w:t>
      </w:r>
      <w:r>
        <w:t xml:space="preserve">beliefs about their peers’ ideas of what is normal and acceptable is</w:t>
      </w:r>
      <w:r>
        <w:t xml:space="preserve"> </w:t>
      </w:r>
      <w:r>
        <w:t xml:space="preserve">best contextualized by the</w:t>
      </w:r>
      <w:r>
        <w:t xml:space="preserve"> </w:t>
      </w:r>
      <w:r>
        <w:t xml:space="preserve">“sociality of consent,”</w:t>
      </w:r>
      <w:r>
        <w:t xml:space="preserve"> </w:t>
      </w:r>
      <w:r>
        <w:t xml:space="preserve">which refers to a</w:t>
      </w:r>
      <w:r>
        <w:t xml:space="preserve"> </w:t>
      </w:r>
      <w:r>
        <w:t xml:space="preserve">phenomenon wherein sexual consent is not determined privately between</w:t>
      </w:r>
      <w:r>
        <w:t xml:space="preserve"> </w:t>
      </w:r>
      <w:r>
        <w:t xml:space="preserve">partners but rather extended into the peer group.</w:t>
      </w:r>
      <w:r>
        <w:rPr>
          <w:vertAlign w:val="superscript"/>
        </w:rPr>
        <w:t xml:space="preserve">30</w:t>
      </w:r>
      <w:r>
        <w:t xml:space="preserve"> </w:t>
      </w:r>
      <w:r>
        <w:t xml:space="preserve">Qualitative research assessing how young adults use relational and</w:t>
      </w:r>
      <w:r>
        <w:t xml:space="preserve"> </w:t>
      </w:r>
      <w:r>
        <w:t xml:space="preserve">social contexts to determine consent further underscores the salience of</w:t>
      </w:r>
      <w:r>
        <w:t xml:space="preserve"> </w:t>
      </w:r>
      <w:r>
        <w:t xml:space="preserve">peer influence, as participants–particularly college women–described</w:t>
      </w:r>
      <w:r>
        <w:t xml:space="preserve"> </w:t>
      </w:r>
      <w:r>
        <w:t xml:space="preserve">their friends asking them to help interpret and even make judgments</w:t>
      </w:r>
      <w:r>
        <w:t xml:space="preserve"> </w:t>
      </w:r>
      <w:r>
        <w:t xml:space="preserve">about consent on their behalf after consuming alcohol or other drugs.</w:t>
      </w:r>
      <w:r>
        <w:rPr>
          <w:vertAlign w:val="superscript"/>
        </w:rPr>
        <w:t xml:space="preserve">33</w:t>
      </w:r>
    </w:p>
    <w:bookmarkEnd w:id="22"/>
    <w:bookmarkEnd w:id="23"/>
    <w:bookmarkStart w:id="25" w:name="typical-and-historical-behavior"/>
    <w:p>
      <w:pPr>
        <w:pStyle w:val="Heading3"/>
      </w:pPr>
      <w:r>
        <w:t xml:space="preserve">Typical and historical behavior</w:t>
      </w:r>
    </w:p>
    <w:bookmarkStart w:id="24" w:name="Xbe19289827e504c7c345f28857dfc3248a499e8"/>
    <w:p>
      <w:pPr>
        <w:pStyle w:val="Heading4"/>
      </w:pPr>
      <w:r>
        <w:t xml:space="preserve">Hazardous alcohol use and sexual risk-taking</w:t>
      </w:r>
    </w:p>
    <w:p>
      <w:pPr>
        <w:pStyle w:val="FirstParagraph"/>
      </w:pPr>
      <w:r>
        <w:t xml:space="preserve">Alcohol is a salient factor in the context of both sexual assault and</w:t>
      </w:r>
      <w:r>
        <w:t xml:space="preserve"> </w:t>
      </w:r>
      <w:r>
        <w:t xml:space="preserve">consensual sex among college students, yet sexual assault prevention and</w:t>
      </w:r>
      <w:r>
        <w:t xml:space="preserve"> </w:t>
      </w:r>
      <w:r>
        <w:t xml:space="preserve">risk-reduction programs rarely include information about how alcohol can</w:t>
      </w:r>
      <w:r>
        <w:t xml:space="preserve"> </w:t>
      </w:r>
      <w:r>
        <w:t xml:space="preserve">affect consent communication.</w:t>
      </w:r>
      <w:r>
        <w:rPr>
          <w:vertAlign w:val="superscript"/>
        </w:rPr>
        <w:t xml:space="preserve">17</w:t>
      </w:r>
      <w:r>
        <w:t xml:space="preserve"> </w:t>
      </w:r>
      <w:r>
        <w:t xml:space="preserve">While scholars and</w:t>
      </w:r>
      <w:r>
        <w:t xml:space="preserve"> </w:t>
      </w:r>
      <w:r>
        <w:t xml:space="preserve">practitioners have started integrating alcohol and sexual assault</w:t>
      </w:r>
      <w:r>
        <w:t xml:space="preserve"> </w:t>
      </w:r>
      <w:r>
        <w:t xml:space="preserve">programming,</w:t>
      </w:r>
      <w:r>
        <w:rPr>
          <w:vertAlign w:val="superscript"/>
        </w:rPr>
        <w:t xml:space="preserve">35</w:t>
      </w:r>
      <w:r>
        <w:t xml:space="preserve"> </w:t>
      </w:r>
      <w:r>
        <w:t xml:space="preserve">there</w:t>
      </w:r>
      <w:r>
        <w:t xml:space="preserve"> </w:t>
      </w:r>
      <w:r>
        <w:t xml:space="preserve">is far more research on alcohol-related sexual assault compared to</w:t>
      </w:r>
      <w:r>
        <w:t xml:space="preserve"> </w:t>
      </w:r>
      <w:r>
        <w:t xml:space="preserve">consent involving alcohol use. Some research suggests that young adults</w:t>
      </w:r>
      <w:r>
        <w:t xml:space="preserve"> </w:t>
      </w:r>
      <w:r>
        <w:t xml:space="preserve">who engage in binge drinking generally use less active consent</w:t>
      </w:r>
      <w:r>
        <w:t xml:space="preserve"> </w:t>
      </w:r>
      <w:r>
        <w:t xml:space="preserve">communication than those who do not binge drink,</w:t>
      </w:r>
      <w:r>
        <w:rPr>
          <w:vertAlign w:val="superscript"/>
        </w:rPr>
        <w:t xml:space="preserve">16</w:t>
      </w:r>
      <w:r>
        <w:t xml:space="preserve"> </w:t>
      </w:r>
      <w:r>
        <w:t xml:space="preserve">but the intensity of alcohol</w:t>
      </w:r>
      <w:r>
        <w:t xml:space="preserve"> </w:t>
      </w:r>
      <w:r>
        <w:t xml:space="preserve">consumption at the encounter level may be more directly relevant to</w:t>
      </w:r>
      <w:r>
        <w:t xml:space="preserve"> </w:t>
      </w:r>
      <w:r>
        <w:t xml:space="preserve">in-the-moment. Still, cross-sectional surveys cannot establish whether</w:t>
      </w:r>
      <w:r>
        <w:t xml:space="preserve"> </w:t>
      </w:r>
      <w:r>
        <w:t xml:space="preserve">real-world drinking events decrease the incidence of active consent</w:t>
      </w:r>
      <w:r>
        <w:t xml:space="preserve"> </w:t>
      </w:r>
      <w:r>
        <w:t xml:space="preserve">cues, and few micro-longitudinal studies have explicitly investigated</w:t>
      </w:r>
      <w:r>
        <w:t xml:space="preserve"> </w:t>
      </w:r>
      <w:r>
        <w:t xml:space="preserve">situational factors linked to within-person differences in consent</w:t>
      </w:r>
      <w:r>
        <w:t xml:space="preserve"> </w:t>
      </w:r>
      <w:r>
        <w:t xml:space="preserve">communication.</w:t>
      </w:r>
    </w:p>
    <w:bookmarkEnd w:id="24"/>
    <w:bookmarkEnd w:id="25"/>
    <w:bookmarkStart w:id="29" w:name="X5bfddf3a36f0f0323614f1decde14ddef8bde32"/>
    <w:p>
      <w:pPr>
        <w:pStyle w:val="Heading3"/>
      </w:pPr>
      <w:r>
        <w:t xml:space="preserve">Situational correlates of consent cue use</w:t>
      </w:r>
    </w:p>
    <w:bookmarkStart w:id="26" w:name="event-level-alcohol-consumption"/>
    <w:p>
      <w:pPr>
        <w:pStyle w:val="Heading4"/>
      </w:pPr>
      <w:r>
        <w:t xml:space="preserve">Event-level alcohol consumption</w:t>
      </w:r>
    </w:p>
    <w:p>
      <w:pPr>
        <w:pStyle w:val="FirstParagraph"/>
      </w:pPr>
      <w:r>
        <w:t xml:space="preserve">As previously mentioned, Willis and colleagues found no significant</w:t>
      </w:r>
      <w:r>
        <w:t xml:space="preserve"> </w:t>
      </w:r>
      <w:r>
        <w:t xml:space="preserve">event-level associations between alcohol use and consent cues.</w:t>
      </w:r>
      <w:r>
        <w:rPr>
          <w:vertAlign w:val="superscript"/>
        </w:rPr>
        <w:t xml:space="preserve">5</w:t>
      </w:r>
      <w:r>
        <w:t xml:space="preserve"> </w:t>
      </w:r>
      <w:r>
        <w:t xml:space="preserve">A daily diary dissertation study</w:t>
      </w:r>
      <w:r>
        <w:t xml:space="preserve"> </w:t>
      </w:r>
      <w:r>
        <w:t xml:space="preserve">found that, among college women engaging in casual sex, Blood Alcohol</w:t>
      </w:r>
      <w:r>
        <w:t xml:space="preserve"> </w:t>
      </w:r>
      <w:r>
        <w:t xml:space="preserve">Estimate was negatively associated with consent expression, but this</w:t>
      </w:r>
      <w:r>
        <w:t xml:space="preserve"> </w:t>
      </w:r>
      <w:r>
        <w:t xml:space="preserve">relationship was no longer significant when the sexual behavior type was</w:t>
      </w:r>
      <w:r>
        <w:t xml:space="preserve"> </w:t>
      </w:r>
      <w:r>
        <w:t xml:space="preserve">included in the model.</w:t>
      </w:r>
      <w:r>
        <w:rPr>
          <w:vertAlign w:val="superscript"/>
        </w:rPr>
        <w:t xml:space="preserve">4</w:t>
      </w:r>
      <w:r>
        <w:t xml:space="preserve"> </w:t>
      </w:r>
      <w:r>
        <w:t xml:space="preserve">One potential</w:t>
      </w:r>
      <w:r>
        <w:t xml:space="preserve"> </w:t>
      </w:r>
      <w:r>
        <w:t xml:space="preserve">explanation is that an individual’s alcohol consumption is more likely</w:t>
      </w:r>
      <w:r>
        <w:t xml:space="preserve"> </w:t>
      </w:r>
      <w:r>
        <w:t xml:space="preserve">to result in them communicating consent differently than they typically</w:t>
      </w:r>
      <w:r>
        <w:t xml:space="preserve"> </w:t>
      </w:r>
      <w:r>
        <w:t xml:space="preserve">would on days when their alcohol use is also atypical–representing a</w:t>
      </w:r>
      <w:r>
        <w:t xml:space="preserve"> </w:t>
      </w:r>
      <w:r>
        <w:t xml:space="preserve">deviation from their own personal norm. This hypothesis is supported by</w:t>
      </w:r>
      <w:r>
        <w:t xml:space="preserve"> </w:t>
      </w:r>
      <w:r>
        <w:t xml:space="preserve">previous research which shows that, on days when women drink more than</w:t>
      </w:r>
      <w:r>
        <w:t xml:space="preserve"> </w:t>
      </w:r>
      <w:r>
        <w:t xml:space="preserve">their own average, they are more likely to experience negative sexual</w:t>
      </w:r>
      <w:r>
        <w:t xml:space="preserve"> </w:t>
      </w:r>
      <w:r>
        <w:t xml:space="preserve">consequences later that day.</w:t>
      </w:r>
      <w:r>
        <w:rPr>
          <w:vertAlign w:val="superscript"/>
        </w:rPr>
        <w:t xml:space="preserve">37</w:t>
      </w:r>
    </w:p>
    <w:bookmarkEnd w:id="26"/>
    <w:bookmarkStart w:id="27" w:name="event-level-perceived-intoxication"/>
    <w:p>
      <w:pPr>
        <w:pStyle w:val="Heading4"/>
      </w:pPr>
      <w:r>
        <w:t xml:space="preserve">Event-level perceived intoxication</w:t>
      </w:r>
    </w:p>
    <w:p>
      <w:pPr>
        <w:pStyle w:val="FirstParagraph"/>
      </w:pPr>
      <w:r>
        <w:t xml:space="preserve">Young adults also recognize and describe themselves adjusting the</w:t>
      </w:r>
      <w:r>
        <w:t xml:space="preserve"> </w:t>
      </w:r>
      <w:r>
        <w:t xml:space="preserve">strategies they use to communicate sexual consent based on their</w:t>
      </w:r>
      <w:r>
        <w:t xml:space="preserve"> </w:t>
      </w:r>
      <w:r>
        <w:t xml:space="preserve">perceptions of their own intoxication relative to that of a potential</w:t>
      </w:r>
      <w:r>
        <w:t xml:space="preserve"> </w:t>
      </w:r>
      <w:r>
        <w:t xml:space="preserve">partner, but this recurring theme in qualitative and vignette-based</w:t>
      </w:r>
      <w:r>
        <w:t xml:space="preserve"> </w:t>
      </w:r>
      <w:r>
        <w:t xml:space="preserve">research has proven difficult to explicate quantitatively.</w:t>
      </w:r>
      <w:r>
        <w:rPr>
          <w:vertAlign w:val="superscript"/>
        </w:rPr>
        <w:t xml:space="preserve">38</w:t>
      </w:r>
      <w:r>
        <w:t xml:space="preserve"> </w:t>
      </w:r>
      <w:r>
        <w:t xml:space="preserve">One</w:t>
      </w:r>
      <w:r>
        <w:t xml:space="preserve"> </w:t>
      </w:r>
      <w:r>
        <w:t xml:space="preserve">hypothesis is that the extent to which perceived differences between</w:t>
      </w:r>
      <w:r>
        <w:t xml:space="preserve"> </w:t>
      </w:r>
      <w:r>
        <w:t xml:space="preserve">one’s own and their partner’s intoxication relate to their use of verbal</w:t>
      </w:r>
      <w:r>
        <w:t xml:space="preserve"> </w:t>
      </w:r>
      <w:r>
        <w:t xml:space="preserve">consent cues depends on their level of familiarity with that partner.</w:t>
      </w:r>
      <w:r>
        <w:t xml:space="preserve"> </w:t>
      </w:r>
      <w:r>
        <w:t xml:space="preserve">For example, if someone knows the other person involved in a sexual</w:t>
      </w:r>
      <w:r>
        <w:t xml:space="preserve"> </w:t>
      </w:r>
      <w:r>
        <w:t xml:space="preserve">encounter well and is motivated to maintain a positive relationship with</w:t>
      </w:r>
      <w:r>
        <w:t xml:space="preserve"> </w:t>
      </w:r>
      <w:r>
        <w:t xml:space="preserve">them moving forward, they may be more motivated to voice their own</w:t>
      </w:r>
      <w:r>
        <w:t xml:space="preserve"> </w:t>
      </w:r>
      <w:r>
        <w:t xml:space="preserve">consent verbally and to check in with that other person about their</w:t>
      </w:r>
      <w:r>
        <w:t xml:space="preserve"> </w:t>
      </w:r>
      <w:r>
        <w:t xml:space="preserve">degree of intoxication and capacity to consent before proceeding with</w:t>
      </w:r>
      <w:r>
        <w:t xml:space="preserve"> </w:t>
      </w:r>
      <w:r>
        <w:t xml:space="preserve">sexual activity. This hypothesis is supported by the</w:t>
      </w:r>
      <w:r>
        <w:t xml:space="preserve"> </w:t>
      </w:r>
      <w:r>
        <w:t xml:space="preserve">‘date rape’</w:t>
      </w:r>
      <w:r>
        <w:t xml:space="preserve"> </w:t>
      </w:r>
      <w:r>
        <w:t xml:space="preserve">literature, which indicates that sexual assaults involving mutual</w:t>
      </w:r>
      <w:r>
        <w:t xml:space="preserve"> </w:t>
      </w:r>
      <w:r>
        <w:t xml:space="preserve">alcohol consumption are more likely to take place outside the home and</w:t>
      </w:r>
      <w:r>
        <w:t xml:space="preserve"> </w:t>
      </w:r>
      <w:r>
        <w:t xml:space="preserve">involve someone less well known to the victim.</w:t>
      </w:r>
      <w:r>
        <w:rPr>
          <w:vertAlign w:val="superscript"/>
        </w:rPr>
        <w:t xml:space="preserve">39</w:t>
      </w:r>
    </w:p>
    <w:bookmarkEnd w:id="27"/>
    <w:bookmarkStart w:id="28" w:name="partner-familiarity-and-sexual-precedent"/>
    <w:p>
      <w:pPr>
        <w:pStyle w:val="Heading4"/>
      </w:pPr>
      <w:r>
        <w:t xml:space="preserve">Partner familiarity and sexual precedent</w:t>
      </w:r>
    </w:p>
    <w:p>
      <w:pPr>
        <w:pStyle w:val="FirstParagraph"/>
      </w:pPr>
      <w:r>
        <w:t xml:space="preserve">The relationship or degree of familiarity between two people involved in</w:t>
      </w:r>
      <w:r>
        <w:t xml:space="preserve"> </w:t>
      </w:r>
      <w:r>
        <w:t xml:space="preserve">a sexual encounter has been related to differences in consent</w:t>
      </w:r>
      <w:r>
        <w:t xml:space="preserve"> </w:t>
      </w:r>
      <w:r>
        <w:t xml:space="preserve">communication, though existing research has produced paradoxical</w:t>
      </w:r>
      <w:r>
        <w:t xml:space="preserve"> </w:t>
      </w:r>
      <w:r>
        <w:t xml:space="preserve">conclusions regarding the nature of these associations. Sexual</w:t>
      </w:r>
      <w:r>
        <w:t xml:space="preserve"> </w:t>
      </w:r>
      <w:r>
        <w:t xml:space="preserve">precedence–the idea that engaging in consensual sex at one point in time</w:t>
      </w:r>
      <w:r>
        <w:t xml:space="preserve"> </w:t>
      </w:r>
      <w:r>
        <w:t xml:space="preserve">implies consent can be assumed for future encounters with that same</w:t>
      </w:r>
      <w:r>
        <w:t xml:space="preserve"> </w:t>
      </w:r>
      <w:r>
        <w:t xml:space="preserve">person–is supported by research showing people perceive a greater need</w:t>
      </w:r>
      <w:r>
        <w:t xml:space="preserve"> </w:t>
      </w:r>
      <w:r>
        <w:t xml:space="preserve">to directly communicate about consent when partners are not in a</w:t>
      </w:r>
      <w:r>
        <w:t xml:space="preserve"> </w:t>
      </w:r>
      <w:r>
        <w:t xml:space="preserve">committed relationship.</w:t>
      </w:r>
      <w:r>
        <w:rPr>
          <w:vertAlign w:val="superscript"/>
        </w:rPr>
        <w:t xml:space="preserve">40</w:t>
      </w:r>
      <w:r>
        <w:t xml:space="preserve"> </w:t>
      </w:r>
      <w:r>
        <w:t xml:space="preserve">Yet,</w:t>
      </w:r>
      <w:r>
        <w:t xml:space="preserve"> </w:t>
      </w:r>
      <w:r>
        <w:t xml:space="preserve">cross-sectional survey research among U.S. college students indicates</w:t>
      </w:r>
      <w:r>
        <w:t xml:space="preserve"> </w:t>
      </w:r>
      <w:r>
        <w:t xml:space="preserve">that explicit verbal consent cues are less likely to be used when the</w:t>
      </w:r>
      <w:r>
        <w:t xml:space="preserve"> </w:t>
      </w:r>
      <w:r>
        <w:t xml:space="preserve">sexual relationship is casual. Internal consent feelings (safety,</w:t>
      </w:r>
      <w:r>
        <w:t xml:space="preserve"> </w:t>
      </w:r>
      <w:r>
        <w:t xml:space="preserve">comfort) tend to be higher for encounters with committed dating partners</w:t>
      </w:r>
      <w:r>
        <w:t xml:space="preserve"> </w:t>
      </w:r>
      <w:r>
        <w:t xml:space="preserve">and lower for one-time partners,</w:t>
      </w:r>
      <w:r>
        <w:rPr>
          <w:vertAlign w:val="superscript"/>
        </w:rPr>
        <w:t xml:space="preserve">41</w:t>
      </w:r>
      <w:r>
        <w:t xml:space="preserve"> </w:t>
      </w:r>
      <w:r>
        <w:t xml:space="preserve">and</w:t>
      </w:r>
      <w:r>
        <w:t xml:space="preserve"> </w:t>
      </w:r>
      <w:r>
        <w:t xml:space="preserve">internal consent feelings are strong predictors of consent cue use, but</w:t>
      </w:r>
      <w:r>
        <w:t xml:space="preserve"> </w:t>
      </w:r>
      <w:r>
        <w:t xml:space="preserve">patterns observed over time within relationships suggest a complex</w:t>
      </w:r>
      <w:r>
        <w:t xml:space="preserve"> </w:t>
      </w:r>
      <w:r>
        <w:t xml:space="preserve">relationship between shared sexual history and consent communication</w:t>
      </w:r>
      <w:r>
        <w:t xml:space="preserve"> </w:t>
      </w:r>
      <w:r>
        <w:t xml:space="preserve">that warrants further evaluation.</w:t>
      </w:r>
      <w:r>
        <w:rPr>
          <w:vertAlign w:val="superscript"/>
        </w:rPr>
        <w:t xml:space="preserve">42</w:t>
      </w:r>
    </w:p>
    <w:bookmarkEnd w:id="28"/>
    <w:bookmarkEnd w:id="29"/>
    <w:bookmarkStart w:id="30" w:name="significance-of-the-current-research"/>
    <w:p>
      <w:pPr>
        <w:pStyle w:val="Heading3"/>
      </w:pPr>
      <w:r>
        <w:t xml:space="preserve">Significance of the current research</w:t>
      </w:r>
    </w:p>
    <w:p>
      <w:pPr>
        <w:pStyle w:val="FirstParagraph"/>
      </w:pPr>
      <w:r>
        <w:t xml:space="preserve">Conflicting findings and gaps in the literature highlight a pressing</w:t>
      </w:r>
      <w:r>
        <w:t xml:space="preserve"> </w:t>
      </w:r>
      <w:r>
        <w:t xml:space="preserve">need for research grounded in real-time lived experiences that can help</w:t>
      </w:r>
      <w:r>
        <w:t xml:space="preserve"> </w:t>
      </w:r>
      <w:r>
        <w:t xml:space="preserve">to explain what relational and situational factors are linked to</w:t>
      </w:r>
      <w:r>
        <w:t xml:space="preserve"> </w:t>
      </w:r>
      <w:r>
        <w:t xml:space="preserve">differences in the degree to which university students’ use different</w:t>
      </w:r>
      <w:r>
        <w:t xml:space="preserve"> </w:t>
      </w:r>
      <w:r>
        <w:t xml:space="preserve">consent cues. Experiential sampling via daily reports can facilitate a</w:t>
      </w:r>
      <w:r>
        <w:t xml:space="preserve"> </w:t>
      </w:r>
      <w:r>
        <w:t xml:space="preserve">more nuanced understanding of the types of alcohol involvement that</w:t>
      </w:r>
      <w:r>
        <w:t xml:space="preserve"> </w:t>
      </w:r>
      <w:r>
        <w:t xml:space="preserve">weaken verbal and nonverbal consent communication during students’</w:t>
      </w:r>
      <w:r>
        <w:t xml:space="preserve"> </w:t>
      </w:r>
      <w:r>
        <w:t xml:space="preserve">sexual encounters. Knowledge of these contextual factors can then be</w:t>
      </w:r>
      <w:r>
        <w:t xml:space="preserve"> </w:t>
      </w:r>
      <w:r>
        <w:t xml:space="preserve">used to inform ecological momentary interventions designed to be</w:t>
      </w:r>
      <w:r>
        <w:t xml:space="preserve"> </w:t>
      </w:r>
      <w:r>
        <w:t xml:space="preserve">delivered when and where the evidence suggests they will be most</w:t>
      </w:r>
      <w:r>
        <w:t xml:space="preserve"> </w:t>
      </w:r>
      <w:r>
        <w:t xml:space="preserve">effective–an approach that has shown promise for reducing risk of sexual</w:t>
      </w:r>
      <w:r>
        <w:t xml:space="preserve"> </w:t>
      </w:r>
      <w:r>
        <w:t xml:space="preserve">revictimization among college women.</w:t>
      </w:r>
      <w:r>
        <w:rPr>
          <w:vertAlign w:val="superscript"/>
        </w:rPr>
        <w:t xml:space="preserve">43</w:t>
      </w:r>
    </w:p>
    <w:bookmarkEnd w:id="30"/>
    <w:bookmarkStart w:id="31" w:name="research-aims-and-hypotheses"/>
    <w:p>
      <w:pPr>
        <w:pStyle w:val="Heading3"/>
      </w:pPr>
      <w:r>
        <w:t xml:space="preserve">Research aims and hypotheses</w:t>
      </w:r>
    </w:p>
    <w:p>
      <w:pPr>
        <w:pStyle w:val="FirstParagraph"/>
      </w:pPr>
      <w:r>
        <w:t xml:space="preserve">Before addressing primary study aims, our preliminary goal was to</w:t>
      </w:r>
      <w:r>
        <w:t xml:space="preserve"> </w:t>
      </w:r>
      <w:r>
        <w:t xml:space="preserve">evaluate relationships between sexual event contextual characteristics</w:t>
      </w:r>
      <w:r>
        <w:t xml:space="preserve"> </w:t>
      </w:r>
      <w:r>
        <w:t xml:space="preserve">and cue use for communicating about consent during sexual encounters.</w:t>
      </w:r>
      <w:r>
        <w:t xml:space="preserve"> </w:t>
      </w:r>
      <w:r>
        <w:t xml:space="preserve">Gender, for instance, is a significant factor,</w:t>
      </w:r>
      <w:r>
        <w:rPr>
          <w:vertAlign w:val="superscript"/>
        </w:rPr>
        <w:t xml:space="preserve">44</w:t>
      </w:r>
      <w:r>
        <w:t xml:space="preserve"> </w:t>
      </w:r>
      <w:r>
        <w:t xml:space="preserve">but there is inconsistent</w:t>
      </w:r>
      <w:r>
        <w:t xml:space="preserve"> </w:t>
      </w:r>
      <w:r>
        <w:t xml:space="preserve">evidence regarding its associations with consent cues. Some research</w:t>
      </w:r>
      <w:r>
        <w:t xml:space="preserve"> </w:t>
      </w:r>
      <w:r>
        <w:t xml:space="preserve">suggests men are less likely to use nonverbal cues and more likely to</w:t>
      </w:r>
      <w:r>
        <w:t xml:space="preserve"> </w:t>
      </w:r>
      <w:r>
        <w:t xml:space="preserve">use verbal cues when compared to women or queer individuals, yet other</w:t>
      </w:r>
      <w:r>
        <w:t xml:space="preserve"> </w:t>
      </w:r>
      <w:r>
        <w:t xml:space="preserve">studies observe interactions or trends that imply gender differences</w:t>
      </w:r>
      <w:r>
        <w:t xml:space="preserve"> </w:t>
      </w:r>
      <w:r>
        <w:t xml:space="preserve">hinge on context.</w:t>
      </w:r>
      <w:r>
        <w:rPr>
          <w:vertAlign w:val="superscript"/>
        </w:rPr>
        <w:t xml:space="preserve">15</w:t>
      </w:r>
      <w:r>
        <w:t xml:space="preserve"> </w:t>
      </w:r>
      <w:r>
        <w:t xml:space="preserve">Previous research also has identified</w:t>
      </w:r>
      <w:r>
        <w:t xml:space="preserve"> </w:t>
      </w:r>
      <w:r>
        <w:t xml:space="preserve">relational factors with theorized links to alcohol and sexual consent</w:t>
      </w:r>
      <w:r>
        <w:t xml:space="preserve"> </w:t>
      </w:r>
      <w:r>
        <w:t xml:space="preserve">communication,</w:t>
      </w:r>
      <w:r>
        <w:rPr>
          <w:vertAlign w:val="superscript"/>
        </w:rPr>
        <w:t xml:space="preserve">45</w:t>
      </w:r>
      <w:r>
        <w:t xml:space="preserve"> </w:t>
      </w:r>
      <w:r>
        <w:t xml:space="preserve">but results characterizing the</w:t>
      </w:r>
      <w:r>
        <w:t xml:space="preserve"> </w:t>
      </w:r>
      <w:r>
        <w:t xml:space="preserve">magnitude and direction of these associations has been mixed. Unpacking</w:t>
      </w:r>
      <w:r>
        <w:t xml:space="preserve"> </w:t>
      </w:r>
      <w:r>
        <w:t xml:space="preserve">complexity around these person-level and situational factors could yield</w:t>
      </w:r>
      <w:r>
        <w:t xml:space="preserve"> </w:t>
      </w:r>
      <w:r>
        <w:t xml:space="preserve">valuable information about the conditions under which particular</w:t>
      </w:r>
      <w:r>
        <w:t xml:space="preserve"> </w:t>
      </w:r>
      <w:r>
        <w:t xml:space="preserve">individuals are more or less likely to use certain types of consent</w:t>
      </w:r>
      <w:r>
        <w:t xml:space="preserve"> </w:t>
      </w:r>
      <w:r>
        <w:t xml:space="preserve">cues.</w:t>
      </w:r>
    </w:p>
    <w:p>
      <w:pPr>
        <w:pStyle w:val="BodyText"/>
      </w:pPr>
      <w:r>
        <w:rPr>
          <w:b/>
          <w:bCs/>
        </w:rPr>
        <w:t xml:space="preserve">We tested the following preliminary hypotheses to clarify whether</w:t>
      </w:r>
      <w:r>
        <w:rPr>
          <w:b/>
          <w:bCs/>
        </w:rPr>
        <w:t xml:space="preserve"> </w:t>
      </w:r>
      <w:r>
        <w:rPr>
          <w:b/>
          <w:bCs/>
        </w:rPr>
        <w:t xml:space="preserve">sexual event contextual factors covary with cue use in the current</w:t>
      </w:r>
      <w:r>
        <w:rPr>
          <w:b/>
          <w:bCs/>
        </w:rPr>
        <w:t xml:space="preserve"> </w:t>
      </w:r>
      <w:r>
        <w:rPr>
          <w:b/>
          <w:bCs/>
        </w:rPr>
        <w:t xml:space="preserve">sample.</w:t>
      </w:r>
    </w:p>
    <w:p>
      <w:pPr>
        <w:numPr>
          <w:ilvl w:val="0"/>
          <w:numId w:val="1001"/>
        </w:numPr>
      </w:pPr>
      <w:r>
        <w:t xml:space="preserve">H0a: Verbal consent cue use will be greater for encounters involving</w:t>
      </w:r>
      <w:r>
        <w:t xml:space="preserve"> </w:t>
      </w:r>
      <w:r>
        <w:t xml:space="preserve">penetrative sexual behaviors when compared to encounters that did</w:t>
      </w:r>
      <w:r>
        <w:t xml:space="preserve"> </w:t>
      </w:r>
      <w:r>
        <w:t xml:space="preserve">not advance beyond kissing/touching.</w:t>
      </w:r>
    </w:p>
    <w:p>
      <w:pPr>
        <w:numPr>
          <w:ilvl w:val="0"/>
          <w:numId w:val="1001"/>
        </w:numPr>
      </w:pPr>
      <w:r>
        <w:t xml:space="preserve">H0b: Nonverbal consent cue use will be greater for encounters</w:t>
      </w:r>
      <w:r>
        <w:t xml:space="preserve"> </w:t>
      </w:r>
      <w:r>
        <w:t xml:space="preserve">involving more familiar partners when compared to encounters</w:t>
      </w:r>
      <w:r>
        <w:t xml:space="preserve"> </w:t>
      </w:r>
      <w:r>
        <w:t xml:space="preserve">involving partners with less familiarity.</w:t>
      </w:r>
    </w:p>
    <w:p>
      <w:pPr>
        <w:numPr>
          <w:ilvl w:val="0"/>
          <w:numId w:val="1001"/>
        </w:numPr>
      </w:pPr>
      <w:r>
        <w:t xml:space="preserve">H0c: Nonverbal consent cue use will be greater for women and gender</w:t>
      </w:r>
      <w:r>
        <w:t xml:space="preserve"> </w:t>
      </w:r>
      <w:r>
        <w:t xml:space="preserve">nonconforming (GNC) individuals when compared to men.</w:t>
      </w:r>
    </w:p>
    <w:p>
      <w:pPr>
        <w:pStyle w:val="FirstParagraph"/>
      </w:pPr>
      <w:r>
        <w:rPr>
          <w:b/>
          <w:bCs/>
        </w:rPr>
        <w:t xml:space="preserve">Aim 1: To examine associations between situational alcohol involvement</w:t>
      </w:r>
      <w:r>
        <w:rPr>
          <w:b/>
          <w:bCs/>
        </w:rPr>
        <w:t xml:space="preserve"> </w:t>
      </w:r>
      <w:r>
        <w:rPr>
          <w:b/>
          <w:bCs/>
        </w:rPr>
        <w:t xml:space="preserve">and consent cue use during sexual encounters.</w:t>
      </w:r>
    </w:p>
    <w:p>
      <w:pPr>
        <w:numPr>
          <w:ilvl w:val="0"/>
          <w:numId w:val="1002"/>
        </w:numPr>
      </w:pPr>
      <w:r>
        <w:t xml:space="preserve">H1a: Alcohol consumption (# of drinks) will be significantly,</w:t>
      </w:r>
      <w:r>
        <w:t xml:space="preserve"> </w:t>
      </w:r>
      <w:r>
        <w:t xml:space="preserve">negatively associated with both verbal and nonverbal consent cue</w:t>
      </w:r>
      <w:r>
        <w:t xml:space="preserve"> </w:t>
      </w:r>
      <w:r>
        <w:t xml:space="preserve">use.</w:t>
      </w:r>
    </w:p>
    <w:p>
      <w:pPr>
        <w:numPr>
          <w:ilvl w:val="0"/>
          <w:numId w:val="1002"/>
        </w:numPr>
      </w:pPr>
      <w:r>
        <w:t xml:space="preserve">H1b: The continuous absolute difference between subjective</w:t>
      </w:r>
      <w:r>
        <w:t xml:space="preserve"> </w:t>
      </w:r>
      <w:r>
        <w:t xml:space="preserve">participant and perceived partner intoxication (</w:t>
      </w:r>
      <w:r>
        <w:t xml:space="preserve">“intoxication</w:t>
      </w:r>
      <w:r>
        <w:t xml:space="preserve"> </w:t>
      </w:r>
      <w:r>
        <w:t xml:space="preserve">disparity”</w:t>
      </w:r>
      <w:r>
        <w:t xml:space="preserve">) will be significantly, negatively associated with verbal</w:t>
      </w:r>
      <w:r>
        <w:t xml:space="preserve"> </w:t>
      </w:r>
      <w:r>
        <w:t xml:space="preserve">cue use.</w:t>
      </w:r>
    </w:p>
    <w:p>
      <w:pPr>
        <w:numPr>
          <w:ilvl w:val="0"/>
          <w:numId w:val="1002"/>
        </w:numPr>
      </w:pPr>
      <w:r>
        <w:t xml:space="preserve">H1c: Drinking venue attendance will be significantly, negatively</w:t>
      </w:r>
      <w:r>
        <w:t xml:space="preserve"> </w:t>
      </w:r>
      <w:r>
        <w:t xml:space="preserve">associated with both nonverbal and verbal cue use. We expect this</w:t>
      </w:r>
      <w:r>
        <w:t xml:space="preserve"> </w:t>
      </w:r>
      <w:r>
        <w:t xml:space="preserve">negative effect will be more pronounced for nonverbal cues.</w:t>
      </w:r>
    </w:p>
    <w:p>
      <w:pPr>
        <w:numPr>
          <w:ilvl w:val="0"/>
          <w:numId w:val="1002"/>
        </w:numPr>
      </w:pPr>
      <w:r>
        <w:t xml:space="preserve">H1d: Among alcohol-involved encounters, there will be an inverted-U</w:t>
      </w:r>
      <w:r>
        <w:t xml:space="preserve"> </w:t>
      </w:r>
      <w:r>
        <w:t xml:space="preserve">relationship between both alcohol consumption and subjective</w:t>
      </w:r>
      <w:r>
        <w:t xml:space="preserve"> </w:t>
      </w:r>
      <w:r>
        <w:t xml:space="preserve">intoxication and verbal cue use: low → moderate = verbal consent</w:t>
      </w:r>
      <w:r>
        <w:t xml:space="preserve"> </w:t>
      </w:r>
      <w:r>
        <w:t xml:space="preserve">increases; moderate → high = verbal consent decreases.</w:t>
      </w:r>
    </w:p>
    <w:p>
      <w:pPr>
        <w:pStyle w:val="FirstParagraph"/>
      </w:pPr>
      <w:r>
        <w:rPr>
          <w:b/>
          <w:bCs/>
        </w:rPr>
        <w:t xml:space="preserve">Aim 2: To investigate the moderating role of sexual event contextual</w:t>
      </w:r>
      <w:r>
        <w:rPr>
          <w:b/>
          <w:bCs/>
        </w:rPr>
        <w:t xml:space="preserve"> </w:t>
      </w:r>
      <w:r>
        <w:rPr>
          <w:b/>
          <w:bCs/>
        </w:rPr>
        <w:t xml:space="preserve">factors in the associations between alcohol involvement and consent cue</w:t>
      </w:r>
      <w:r>
        <w:rPr>
          <w:b/>
          <w:bCs/>
        </w:rPr>
        <w:t xml:space="preserve"> </w:t>
      </w:r>
      <w:r>
        <w:rPr>
          <w:b/>
          <w:bCs/>
        </w:rPr>
        <w:t xml:space="preserve">use.</w:t>
      </w:r>
    </w:p>
    <w:p>
      <w:pPr>
        <w:numPr>
          <w:ilvl w:val="0"/>
          <w:numId w:val="1003"/>
        </w:numPr>
      </w:pPr>
      <w:r>
        <w:t xml:space="preserve">H2a: The negative association between alcohol consumption and verbal</w:t>
      </w:r>
      <w:r>
        <w:t xml:space="preserve"> </w:t>
      </w:r>
      <w:r>
        <w:t xml:space="preserve">cue use will be weaker for penetrative behaviors and stronger for</w:t>
      </w:r>
      <w:r>
        <w:t xml:space="preserve"> </w:t>
      </w:r>
      <w:r>
        <w:t xml:space="preserve">encounters involving kissing/touching.</w:t>
      </w:r>
    </w:p>
    <w:p>
      <w:pPr>
        <w:numPr>
          <w:ilvl w:val="0"/>
          <w:numId w:val="1003"/>
        </w:numPr>
      </w:pPr>
      <w:r>
        <w:t xml:space="preserve">H2b: The negative association between drinking venue attendance and</w:t>
      </w:r>
      <w:r>
        <w:t xml:space="preserve"> </w:t>
      </w:r>
      <w:r>
        <w:t xml:space="preserve">nonverbal cue use will be stronger among less familiar partners.</w:t>
      </w:r>
    </w:p>
    <w:p>
      <w:pPr>
        <w:numPr>
          <w:ilvl w:val="0"/>
          <w:numId w:val="1003"/>
        </w:numPr>
      </w:pPr>
      <w:r>
        <w:t xml:space="preserve">H2c: The negative association between intoxication disparity and</w:t>
      </w:r>
      <w:r>
        <w:t xml:space="preserve"> </w:t>
      </w:r>
      <w:r>
        <w:t xml:space="preserve">verbal cue use will be stronger among men compared to women and GNC</w:t>
      </w:r>
      <w:r>
        <w:t xml:space="preserve"> </w:t>
      </w:r>
      <w:r>
        <w:t xml:space="preserve">individuals.</w:t>
      </w:r>
    </w:p>
    <w:p>
      <w:pPr>
        <w:pStyle w:val="FirstParagraph"/>
      </w:pPr>
      <w:r>
        <w:rPr>
          <w:b/>
          <w:bCs/>
        </w:rPr>
        <w:t xml:space="preserve">Aim 3: To evaluate the extent to which distal individual factors</w:t>
      </w:r>
      <w:r>
        <w:rPr>
          <w:b/>
          <w:bCs/>
        </w:rPr>
        <w:t xml:space="preserve"> </w:t>
      </w:r>
      <w:r>
        <w:rPr>
          <w:b/>
          <w:bCs/>
        </w:rPr>
        <w:t xml:space="preserve">predict consent cue use after controlling for partner familiarity and</w:t>
      </w:r>
      <w:r>
        <w:rPr>
          <w:b/>
          <w:bCs/>
        </w:rPr>
        <w:t xml:space="preserve"> </w:t>
      </w:r>
      <w:r>
        <w:rPr>
          <w:b/>
          <w:bCs/>
        </w:rPr>
        <w:t xml:space="preserve">sexual behavior.</w:t>
      </w:r>
    </w:p>
    <w:p>
      <w:pPr>
        <w:numPr>
          <w:ilvl w:val="0"/>
          <w:numId w:val="1004"/>
        </w:numPr>
      </w:pPr>
      <w:r>
        <w:t xml:space="preserve">H3a: Social desirability bias and rape myth rejection will be</w:t>
      </w:r>
      <w:r>
        <w:t xml:space="preserve"> </w:t>
      </w:r>
      <w:r>
        <w:t xml:space="preserve">positively associated with verbal cues after controlling for partner</w:t>
      </w:r>
      <w:r>
        <w:t xml:space="preserve"> </w:t>
      </w:r>
      <w:r>
        <w:t xml:space="preserve">familiarity and behavior type.</w:t>
      </w:r>
    </w:p>
    <w:p>
      <w:pPr>
        <w:numPr>
          <w:ilvl w:val="0"/>
          <w:numId w:val="1004"/>
        </w:numPr>
      </w:pPr>
      <w:r>
        <w:t xml:space="preserve">H3b: Permissive individual and perceived peer attitudes toward</w:t>
      </w:r>
      <w:r>
        <w:t xml:space="preserve"> </w:t>
      </w:r>
      <w:r>
        <w:t xml:space="preserve">alcohol and coercion will be negatively associated with verbal cues</w:t>
      </w:r>
      <w:r>
        <w:t xml:space="preserve"> </w:t>
      </w:r>
      <w:r>
        <w:t xml:space="preserve">after controlling for partner familiarity and behavior type.</w:t>
      </w:r>
    </w:p>
    <w:p>
      <w:pPr>
        <w:numPr>
          <w:ilvl w:val="0"/>
          <w:numId w:val="1004"/>
        </w:numPr>
      </w:pPr>
      <w:r>
        <w:t xml:space="preserve">H3c: Hazardous alcohol consumption will be negatively associated</w:t>
      </w:r>
      <w:r>
        <w:t xml:space="preserve"> </w:t>
      </w:r>
      <w:r>
        <w:t xml:space="preserve">with both verbal and nonverbal cues after controlling for partner</w:t>
      </w:r>
      <w:r>
        <w:t xml:space="preserve"> </w:t>
      </w:r>
      <w:r>
        <w:t xml:space="preserve">familiarity and behavior type.</w:t>
      </w:r>
    </w:p>
    <w:p>
      <w:pPr>
        <w:numPr>
          <w:ilvl w:val="0"/>
          <w:numId w:val="1004"/>
        </w:numPr>
      </w:pPr>
      <w:r>
        <w:t xml:space="preserve">H3d: Permissive attitudes toward alcohol and coercion will</w:t>
      </w:r>
      <w:r>
        <w:t xml:space="preserve"> </w:t>
      </w:r>
      <w:r>
        <w:t xml:space="preserve">strengthen the negative association between intoxication disparity</w:t>
      </w:r>
      <w:r>
        <w:t xml:space="preserve"> </w:t>
      </w:r>
      <w:r>
        <w:t xml:space="preserve">and verbal cue use after controlling for partner familiarity and</w:t>
      </w:r>
      <w:r>
        <w:t xml:space="preserve"> </w:t>
      </w:r>
      <w:r>
        <w:t xml:space="preserve">behavior type.</w:t>
      </w:r>
    </w:p>
    <w:bookmarkEnd w:id="31"/>
    <w:bookmarkEnd w:id="32"/>
    <w:bookmarkStart w:id="35" w:name="method"/>
    <w:p>
      <w:pPr>
        <w:pStyle w:val="Heading2"/>
      </w:pPr>
      <w:r>
        <w:t xml:space="preserve">Method</w:t>
      </w:r>
    </w:p>
    <w:p>
      <w:pPr>
        <w:pStyle w:val="FirstParagraph"/>
      </w:pPr>
      <w:r>
        <w:t xml:space="preserve">The current research used baseline and 28-day daily diary data to move</w:t>
      </w:r>
      <w:r>
        <w:t xml:space="preserve"> </w:t>
      </w:r>
      <w:r>
        <w:t xml:space="preserve">beyond the limitations of prior studies, allowing us to consider</w:t>
      </w:r>
      <w:r>
        <w:t xml:space="preserve"> </w:t>
      </w:r>
      <w:r>
        <w:t xml:space="preserve">different forms of alcohol involvement in relation to sexual event</w:t>
      </w:r>
      <w:r>
        <w:t xml:space="preserve"> </w:t>
      </w:r>
      <w:r>
        <w:t xml:space="preserve">context, individual difference factors, and verbal and nonverbal sexual</w:t>
      </w:r>
      <w:r>
        <w:t xml:space="preserve"> </w:t>
      </w:r>
      <w:r>
        <w:t xml:space="preserve">consent cue use. Any distal, person-level predictors identified as</w:t>
      </w:r>
      <w:r>
        <w:t xml:space="preserve"> </w:t>
      </w:r>
      <w:r>
        <w:t xml:space="preserve">important will have their relative contributions verified in a model</w:t>
      </w:r>
      <w:r>
        <w:t xml:space="preserve"> </w:t>
      </w:r>
      <w:r>
        <w:t xml:space="preserve">that also includes proximal situational factors, increasing confidence</w:t>
      </w:r>
      <w:r>
        <w:t xml:space="preserve"> </w:t>
      </w:r>
      <w:r>
        <w:t xml:space="preserve">that these are reliable targets for intervention or further theory</w:t>
      </w:r>
      <w:r>
        <w:t xml:space="preserve"> </w:t>
      </w:r>
      <w:r>
        <w:t xml:space="preserve">development. Our lab collected these data from undergraduates at a large</w:t>
      </w:r>
      <w:r>
        <w:t xml:space="preserve"> </w:t>
      </w:r>
      <w:r>
        <w:t xml:space="preserve">public university in the midwestern U.S. during the Fall 2022 semester.</w:t>
      </w:r>
    </w:p>
    <w:bookmarkStart w:id="33" w:name="participants"/>
    <w:p>
      <w:pPr>
        <w:pStyle w:val="Heading3"/>
      </w:pPr>
      <w:r>
        <w:t xml:space="preserve">Participants</w:t>
      </w:r>
    </w:p>
    <w:p>
      <w:pPr>
        <w:pStyle w:val="FirstParagraph"/>
      </w:pPr>
      <w:r>
        <w:t xml:space="preserve">We used Sona Systems to recruit participants from an online subject pool</w:t>
      </w:r>
      <w:r>
        <w:t xml:space="preserve"> </w:t>
      </w:r>
      <w:r>
        <w:t xml:space="preserve">of undergraduates taking introductory psychology courses. We invited</w:t>
      </w:r>
      <w:r>
        <w:t xml:space="preserve"> </w:t>
      </w:r>
      <w:r>
        <w:t xml:space="preserve">eligible students to participate via email. Participants were made aware</w:t>
      </w:r>
      <w:r>
        <w:t xml:space="preserve"> </w:t>
      </w:r>
      <w:r>
        <w:t xml:space="preserve">that the study had two parts: a 30-minute baseline survey, and up to 28</w:t>
      </w:r>
      <w:r>
        <w:t xml:space="preserve"> </w:t>
      </w:r>
      <w:r>
        <w:t xml:space="preserve">daily diary surveys. At the end of the baseline survey, students were</w:t>
      </w:r>
      <w:r>
        <w:t xml:space="preserve"> </w:t>
      </w:r>
      <w:r>
        <w:t xml:space="preserve">asked whether they had a smartphone AND whether they wanted to opt into</w:t>
      </w:r>
      <w:r>
        <w:t xml:space="preserve"> </w:t>
      </w:r>
      <w:r>
        <w:t xml:space="preserve">the daily diary portion of the study. Those who responded affirmatively</w:t>
      </w:r>
      <w:r>
        <w:t xml:space="preserve"> </w:t>
      </w:r>
      <w:r>
        <w:t xml:space="preserve">to both were enrolled in and pushed daily survey links through SMS for</w:t>
      </w:r>
      <w:r>
        <w:t xml:space="preserve"> </w:t>
      </w:r>
      <w:r>
        <w:t xml:space="preserve">28 days. </w:t>
      </w:r>
    </w:p>
    <w:p>
      <w:pPr>
        <w:pStyle w:val="BodyText"/>
      </w:pPr>
      <w:r>
        <w:t xml:space="preserve">Eligible participants were those 18 years or older who owned a</w:t>
      </w:r>
      <w:r>
        <w:t xml:space="preserve"> </w:t>
      </w:r>
      <w:r>
        <w:t xml:space="preserve">smartphone and reported consuming at least one alcoholic beverage in the</w:t>
      </w:r>
      <w:r>
        <w:t xml:space="preserve"> </w:t>
      </w:r>
      <w:r>
        <w:t xml:space="preserve">past year. A total of 386 students met eligibility criteria and</w:t>
      </w:r>
      <w:r>
        <w:t xml:space="preserve"> </w:t>
      </w:r>
      <w:r>
        <w:t xml:space="preserve">completed at least 20% of the baseline assessment. Of these, 278</w:t>
      </w:r>
      <w:r>
        <w:t xml:space="preserve"> </w:t>
      </w:r>
      <w:r>
        <w:t xml:space="preserve">students participated in the daily diary portion of the study.</w:t>
      </w:r>
      <w:r>
        <w:t xml:space="preserve"> </w:t>
      </w:r>
      <w:r>
        <w:t xml:space="preserve">Participant ages ranged from 18 - 23.</w:t>
      </w:r>
    </w:p>
    <w:bookmarkEnd w:id="33"/>
    <w:bookmarkStart w:id="34" w:name="procedures"/>
    <w:p>
      <w:pPr>
        <w:pStyle w:val="Heading3"/>
      </w:pPr>
      <w:r>
        <w:t xml:space="preserve">Procedures</w:t>
      </w:r>
    </w:p>
    <w:p>
      <w:pPr>
        <w:pStyle w:val="FirstParagraph"/>
      </w:pPr>
      <w:r>
        <w:t xml:space="preserve">The research team used Qualtrics to construct a series of data</w:t>
      </w:r>
      <w:r>
        <w:t xml:space="preserve"> </w:t>
      </w:r>
      <w:r>
        <w:t xml:space="preserve">collection instruments for web-administration, and SurveySignal to send</w:t>
      </w:r>
      <w:r>
        <w:t xml:space="preserve"> </w:t>
      </w:r>
      <w:r>
        <w:t xml:space="preserve">daily text messages with links to each daily diary survey. After</w:t>
      </w:r>
      <w:r>
        <w:t xml:space="preserve"> </w:t>
      </w:r>
      <w:r>
        <w:t xml:space="preserve">providing informed consent, participants gained access to the baseline</w:t>
      </w:r>
      <w:r>
        <w:t xml:space="preserve"> </w:t>
      </w:r>
      <w:r>
        <w:t xml:space="preserve">assessment via Qualtrics. After completing the baseline, each</w:t>
      </w:r>
      <w:r>
        <w:t xml:space="preserve"> </w:t>
      </w:r>
      <w:r>
        <w:t xml:space="preserve">participant received (1.0) class credit as compensation, which</w:t>
      </w:r>
      <w:r>
        <w:t xml:space="preserve"> </w:t>
      </w:r>
      <w:r>
        <w:t xml:space="preserve">translates to an additional percentage point on their final grade in</w:t>
      </w:r>
      <w:r>
        <w:t xml:space="preserve"> </w:t>
      </w:r>
      <w:r>
        <w:t xml:space="preserve">their introductory psychology course. Students with a smartphone were</w:t>
      </w:r>
      <w:r>
        <w:t xml:space="preserve"> </w:t>
      </w:r>
      <w:r>
        <w:t xml:space="preserve">then given the option to participate in the daily diary portion of the</w:t>
      </w:r>
      <w:r>
        <w:t xml:space="preserve"> </w:t>
      </w:r>
      <w:r>
        <w:t xml:space="preserve">study. Every day for 28 days, each participant who opted in received a</w:t>
      </w:r>
      <w:r>
        <w:t xml:space="preserve"> </w:t>
      </w:r>
      <w:r>
        <w:t xml:space="preserve">text message between 11:00 AM and 2:00 PM with a link to that day’s</w:t>
      </w:r>
      <w:r>
        <w:t xml:space="preserve"> </w:t>
      </w:r>
      <w:r>
        <w:t xml:space="preserve">survey. Each day, those who had not yet opened the survey link also</w:t>
      </w:r>
      <w:r>
        <w:t xml:space="preserve"> </w:t>
      </w:r>
      <w:r>
        <w:t xml:space="preserve">received a reminder text message two hours after the initial text was</w:t>
      </w:r>
      <w:r>
        <w:t xml:space="preserve"> </w:t>
      </w:r>
      <w:r>
        <w:t xml:space="preserve">sent. For each complete daily diary, participants received 0.25 class</w:t>
      </w:r>
      <w:r>
        <w:t xml:space="preserve"> </w:t>
      </w:r>
      <w:r>
        <w:t xml:space="preserve">credits as compensation. To incentivize responding, participants who</w:t>
      </w:r>
      <w:r>
        <w:t xml:space="preserve"> </w:t>
      </w:r>
      <w:r>
        <w:t xml:space="preserve">completed all 28 daily diary surveys received a $20 Amazon.com gift</w:t>
      </w:r>
      <w:r>
        <w:t xml:space="preserve"> </w:t>
      </w:r>
      <w:r>
        <w:t xml:space="preserve">card in addition to the 7.0 extra credit percentage points (28 x 0.25</w:t>
      </w:r>
      <w:r>
        <w:t xml:space="preserve"> </w:t>
      </w:r>
      <w:r>
        <w:t xml:space="preserve">class credits).</w:t>
      </w:r>
    </w:p>
    <w:p>
      <w:pPr>
        <w:pStyle w:val="BodyText"/>
      </w:pPr>
      <w:r>
        <w:t xml:space="preserve">The baseline and daily diary surveys were designed to capture</w:t>
      </w:r>
      <w:r>
        <w:t xml:space="preserve"> </w:t>
      </w:r>
      <w:r>
        <w:t xml:space="preserve">theoretically and empirically supported personal and situational</w:t>
      </w:r>
      <w:r>
        <w:t xml:space="preserve"> </w:t>
      </w:r>
      <w:r>
        <w:t xml:space="preserve">factors, respectively. The measures we selected were drawn from</w:t>
      </w:r>
      <w:r>
        <w:t xml:space="preserve"> </w:t>
      </w:r>
      <w:r>
        <w:t xml:space="preserve">peer-reviewed research examining sexual consent and assault.</w:t>
      </w:r>
    </w:p>
    <w:bookmarkEnd w:id="34"/>
    <w:bookmarkEnd w:id="35"/>
    <w:bookmarkStart w:id="48" w:name="measures"/>
    <w:p>
      <w:pPr>
        <w:pStyle w:val="Heading2"/>
      </w:pPr>
      <w:r>
        <w:t xml:space="preserve">Measures</w:t>
      </w:r>
    </w:p>
    <w:bookmarkStart w:id="36" w:name="baseline"/>
    <w:p>
      <w:pPr>
        <w:pStyle w:val="Heading3"/>
      </w:pPr>
      <w:r>
        <w:t xml:space="preserve">Baseline</w:t>
      </w:r>
    </w:p>
    <w:p>
      <w:pPr>
        <w:pStyle w:val="FirstParagraph"/>
      </w:pPr>
      <w:r>
        <w:t xml:space="preserve">Demographic measures assessed gender, age, race, sexual orientation,</w:t>
      </w:r>
      <w:r>
        <w:t xml:space="preserve"> </w:t>
      </w:r>
      <w:r>
        <w:t xml:space="preserve">year in school, relationship status, campus involvement (e.g., Greek</w:t>
      </w:r>
      <w:r>
        <w:t xml:space="preserve"> </w:t>
      </w:r>
      <w:r>
        <w:t xml:space="preserve">life, athletics), residence (e.g., dormitories), disability status, and</w:t>
      </w:r>
      <w:r>
        <w:t xml:space="preserve"> </w:t>
      </w:r>
      <w:r>
        <w:t xml:space="preserve">socioeconomic status indicators (e.g., Pell grant recipient). Rape myth</w:t>
      </w:r>
      <w:r>
        <w:t xml:space="preserve"> </w:t>
      </w:r>
      <w:r>
        <w:t xml:space="preserve">rejection was assessed with the Illinois Rape Myths Acceptance scale</w:t>
      </w:r>
      <w:r>
        <w:rPr>
          <w:vertAlign w:val="superscript"/>
        </w:rPr>
        <w:t xml:space="preserve">24</w:t>
      </w:r>
      <w:r>
        <w:t xml:space="preserve">. Items from the Alcohol and Sexual</w:t>
      </w:r>
      <w:r>
        <w:t xml:space="preserve"> </w:t>
      </w:r>
      <w:r>
        <w:t xml:space="preserve">Consent scale,</w:t>
      </w:r>
      <w:r>
        <w:rPr>
          <w:vertAlign w:val="superscript"/>
        </w:rPr>
        <w:t xml:space="preserve">26</w:t>
      </w:r>
      <w:r>
        <w:t xml:space="preserve"> </w:t>
      </w:r>
      <w:r>
        <w:t xml:space="preserve">the Process-Based Consent</w:t>
      </w:r>
      <w:r>
        <w:t xml:space="preserve"> </w:t>
      </w:r>
      <w:r>
        <w:t xml:space="preserve">Scale (subtle coercion sub-scale),</w:t>
      </w:r>
      <w:r>
        <w:rPr>
          <w:vertAlign w:val="superscript"/>
        </w:rPr>
        <w:t xml:space="preserve">46</w:t>
      </w:r>
      <w:r>
        <w:t xml:space="preserve"> </w:t>
      </w:r>
      <w:r>
        <w:t xml:space="preserve">and the</w:t>
      </w:r>
      <w:r>
        <w:t xml:space="preserve"> </w:t>
      </w:r>
      <w:r>
        <w:t xml:space="preserve">Rape Attitudes and Beliefs Scale</w:t>
      </w:r>
      <w:r>
        <w:rPr>
          <w:vertAlign w:val="superscript"/>
        </w:rPr>
        <w:t xml:space="preserve">47</w:t>
      </w:r>
      <w:r>
        <w:t xml:space="preserve"> </w:t>
      </w:r>
      <w:r>
        <w:t xml:space="preserve">were used to assess</w:t>
      </w:r>
      <w:r>
        <w:t xml:space="preserve"> </w:t>
      </w:r>
      <w:r>
        <w:t xml:space="preserve">individual and perceived peer attitudes toward alcohol and sexual</w:t>
      </w:r>
      <w:r>
        <w:t xml:space="preserve"> </w:t>
      </w:r>
      <w:r>
        <w:t xml:space="preserve">coercion. Hazardous alcohol use was assessed with the Alcohol Use</w:t>
      </w:r>
      <w:r>
        <w:t xml:space="preserve"> </w:t>
      </w:r>
      <w:r>
        <w:t xml:space="preserve">Disorders Identification Test</w:t>
      </w:r>
      <w:r>
        <w:rPr>
          <w:vertAlign w:val="superscript"/>
        </w:rPr>
        <w:t xml:space="preserve">48</w:t>
      </w:r>
      <w:r>
        <w:t xml:space="preserve"> </w:t>
      </w:r>
      <w:r>
        <w:t xml:space="preserve">and</w:t>
      </w:r>
      <w:r>
        <w:t xml:space="preserve"> </w:t>
      </w:r>
      <w:r>
        <w:t xml:space="preserve">typical consent behavior was assessed with the Sexual Consent</w:t>
      </w:r>
      <w:r>
        <w:t xml:space="preserve"> </w:t>
      </w:r>
      <w:r>
        <w:t xml:space="preserve">Scale-Revised.</w:t>
      </w:r>
      <w:r>
        <w:rPr>
          <w:vertAlign w:val="superscript"/>
        </w:rPr>
        <w:t xml:space="preserve">49</w:t>
      </w:r>
    </w:p>
    <w:bookmarkEnd w:id="36"/>
    <w:bookmarkStart w:id="39" w:name="daily-diary"/>
    <w:p>
      <w:pPr>
        <w:pStyle w:val="Heading3"/>
      </w:pPr>
      <w:r>
        <w:t xml:space="preserve">Daily Diary</w:t>
      </w:r>
    </w:p>
    <w:p>
      <w:pPr>
        <w:pStyle w:val="FirstParagraph"/>
      </w:pPr>
      <w:r>
        <w:t xml:space="preserve">Each daily diary prompted participants to report on behaviors and</w:t>
      </w:r>
      <w:r>
        <w:t xml:space="preserve"> </w:t>
      </w:r>
      <w:r>
        <w:t xml:space="preserve">experiences since their last survey and began with five behavioral</w:t>
      </w:r>
      <w:r>
        <w:t xml:space="preserve"> </w:t>
      </w:r>
      <w:r>
        <w:t xml:space="preserve">screening items assessing (1) partnered sexual behavior, (2) alcohol use</w:t>
      </w:r>
      <w:r>
        <w:t xml:space="preserve"> </w:t>
      </w:r>
      <w:r>
        <w:t xml:space="preserve">behavior, (3) online sexual behavior, (4) solitary sexual behavior, and</w:t>
      </w:r>
      <w:r>
        <w:t xml:space="preserve"> </w:t>
      </w:r>
      <w:r>
        <w:t xml:space="preserve">(5) drug use behavior. We designed the daily surveys so that each</w:t>
      </w:r>
      <w:r>
        <w:t xml:space="preserve"> </w:t>
      </w:r>
      <w:r>
        <w:t xml:space="preserve">participant would complete 1-2 survey blocks per day assigned based on</w:t>
      </w:r>
      <w:r>
        <w:t xml:space="preserve"> </w:t>
      </w:r>
      <w:r>
        <w:t xml:space="preserve">their responses to the screening items. When a participant responded</w:t>
      </w:r>
      <w:r>
        <w:t xml:space="preserve"> </w:t>
      </w:r>
      <w:r>
        <w:t xml:space="preserve">“No”</w:t>
      </w:r>
      <w:r>
        <w:t xml:space="preserve"> </w:t>
      </w:r>
      <w:r>
        <w:t xml:space="preserve">or</w:t>
      </w:r>
      <w:r>
        <w:t xml:space="preserve"> </w:t>
      </w:r>
      <w:r>
        <w:t xml:space="preserve">“Prefer not to respond”</w:t>
      </w:r>
      <w:r>
        <w:t xml:space="preserve"> </w:t>
      </w:r>
      <w:r>
        <w:t xml:space="preserve">to all five screening items with</w:t>
      </w:r>
      <w:r>
        <w:t xml:space="preserve"> </w:t>
      </w:r>
      <w:r>
        <w:t xml:space="preserve">corresponding behavior blocks, they were assigned to a general mental</w:t>
      </w:r>
      <w:r>
        <w:t xml:space="preserve"> </w:t>
      </w:r>
      <w:r>
        <w:t xml:space="preserve">health block. Survey blocks were all comparable in length and focused on</w:t>
      </w:r>
      <w:r>
        <w:t xml:space="preserve"> </w:t>
      </w:r>
      <w:r>
        <w:t xml:space="preserve">sensitive topics to discourage selective responding and ensure that each</w:t>
      </w:r>
      <w:r>
        <w:t xml:space="preserve"> </w:t>
      </w:r>
      <w:r>
        <w:t xml:space="preserve">person received roughly the same number of follow-up questions per day,</w:t>
      </w:r>
      <w:r>
        <w:t xml:space="preserve"> </w:t>
      </w:r>
      <w:r>
        <w:t xml:space="preserve">regardless of the experiences they endorsed on the screening items.</w:t>
      </w:r>
    </w:p>
    <w:p>
      <w:pPr>
        <w:pStyle w:val="BodyText"/>
      </w:pPr>
      <w:r>
        <w:t xml:space="preserve">Survey blocks were rank-ordered from 1-5 and prioritized partnered</w:t>
      </w:r>
      <w:r>
        <w:t xml:space="preserve"> </w:t>
      </w:r>
      <w:r>
        <w:t xml:space="preserve">sexual behavior and alcohol use behavior data, such that, whenever a</w:t>
      </w:r>
      <w:r>
        <w:t xml:space="preserve"> </w:t>
      </w:r>
      <w:r>
        <w:t xml:space="preserve">participant responded</w:t>
      </w:r>
      <w:r>
        <w:t xml:space="preserve"> </w:t>
      </w:r>
      <w:r>
        <w:t xml:space="preserve">“Yes”</w:t>
      </w:r>
      <w:r>
        <w:t xml:space="preserve"> </w:t>
      </w:r>
      <w:r>
        <w:t xml:space="preserve">to more than two screening items, branching</w:t>
      </w:r>
      <w:r>
        <w:t xml:space="preserve"> </w:t>
      </w:r>
      <w:r>
        <w:t xml:space="preserve">logic directed them to the two-highest ranked survey blocks. The</w:t>
      </w:r>
      <w:r>
        <w:t xml:space="preserve"> </w:t>
      </w:r>
      <w:r>
        <w:t xml:space="preserve">screening item for partnered sexual behavior read,</w:t>
      </w:r>
      <w:r>
        <w:t xml:space="preserve"> </w:t>
      </w:r>
      <w:r>
        <w:t xml:space="preserve">“Since the last</w:t>
      </w:r>
      <w:r>
        <w:t xml:space="preserve"> </w:t>
      </w:r>
      <w:r>
        <w:t xml:space="preserve">survey, have you hooked up, engaged in any sexual activity, or tried to</w:t>
      </w:r>
      <w:r>
        <w:t xml:space="preserve"> </w:t>
      </w:r>
      <w:r>
        <w:t xml:space="preserve">engage in any sexual activity with another person (including flirting,</w:t>
      </w:r>
      <w:r>
        <w:t xml:space="preserve"> </w:t>
      </w:r>
      <w:r>
        <w:t xml:space="preserve">kissing, touching, or intercourse)?”</w:t>
      </w:r>
      <w:r>
        <w:t xml:space="preserve"> </w:t>
      </w:r>
      <w:r>
        <w:t xml:space="preserve">Response options were: Yes (= 1),</w:t>
      </w:r>
      <w:r>
        <w:t xml:space="preserve"> </w:t>
      </w:r>
      <w:r>
        <w:t xml:space="preserve">No (= 0), Prefer not to respond (= 3). </w:t>
      </w:r>
    </w:p>
    <w:bookmarkStart w:id="37" w:name="sexual-event-context"/>
    <w:p>
      <w:pPr>
        <w:pStyle w:val="Heading4"/>
      </w:pPr>
      <w:r>
        <w:t xml:space="preserve">Sexual event context</w:t>
      </w:r>
    </w:p>
    <w:p>
      <w:pPr>
        <w:pStyle w:val="FirstParagraph"/>
      </w:pPr>
      <w:r>
        <w:rPr>
          <w:b/>
          <w:bCs/>
        </w:rPr>
        <w:t xml:space="preserve">Partner familiarity:</w:t>
      </w:r>
      <w:r>
        <w:t xml:space="preserve"> </w:t>
      </w:r>
      <w:r>
        <w:t xml:space="preserve">Participants responded to the question,</w:t>
      </w:r>
      <w:r>
        <w:t xml:space="preserve"> </w:t>
      </w:r>
      <w:r>
        <w:t xml:space="preserve">“How</w:t>
      </w:r>
      <w:r>
        <w:t xml:space="preserve"> </w:t>
      </w:r>
      <w:r>
        <w:t xml:space="preserve">did you know this other person?”</w:t>
      </w:r>
      <w:r>
        <w:t xml:space="preserve"> </w:t>
      </w:r>
      <w:r>
        <w:t xml:space="preserve">by selecting one of the following</w:t>
      </w:r>
      <w:r>
        <w:t xml:space="preserve"> </w:t>
      </w:r>
      <w:r>
        <w:t xml:space="preserve">familiarity levels from a list of response options:</w:t>
      </w:r>
      <w:r>
        <w:t xml:space="preserve"> </w:t>
      </w:r>
      <w:r>
        <w:t xml:space="preserve">“I didn’t, we just</w:t>
      </w:r>
      <w:r>
        <w:t xml:space="preserve"> </w:t>
      </w:r>
      <w:r>
        <w:t xml:space="preserve">met that day;”</w:t>
      </w:r>
      <w:r>
        <w:t xml:space="preserve"> </w:t>
      </w:r>
      <w:r>
        <w:t xml:space="preserve">“They are an acquaintance;”</w:t>
      </w:r>
      <w:r>
        <w:t xml:space="preserve"> </w:t>
      </w:r>
      <w:r>
        <w:t xml:space="preserve">“They are a friend;”</w:t>
      </w:r>
      <w:r>
        <w:t xml:space="preserve"> </w:t>
      </w:r>
      <w:r>
        <w:t xml:space="preserve">and</w:t>
      </w:r>
      <w:r>
        <w:t xml:space="preserve"> </w:t>
      </w:r>
      <w:r>
        <w:t xml:space="preserve">“They are my current or past dating/intimate partner.”</w:t>
      </w:r>
      <w:r>
        <w:t xml:space="preserve"> </w:t>
      </w:r>
      <w:r>
        <w:t xml:space="preserve">We collapsed the</w:t>
      </w:r>
      <w:r>
        <w:t xml:space="preserve"> </w:t>
      </w:r>
      <w:r>
        <w:t xml:space="preserve">‘acquaintance’</w:t>
      </w:r>
      <w:r>
        <w:t xml:space="preserve"> </w:t>
      </w:r>
      <w:r>
        <w:t xml:space="preserve">and</w:t>
      </w:r>
      <w:r>
        <w:t xml:space="preserve"> </w:t>
      </w:r>
      <w:r>
        <w:t xml:space="preserve">‘friend’</w:t>
      </w:r>
      <w:r>
        <w:t xml:space="preserve"> </w:t>
      </w:r>
      <w:r>
        <w:t xml:space="preserve">response categories into one level, which</w:t>
      </w:r>
      <w:r>
        <w:t xml:space="preserve"> </w:t>
      </w:r>
      <w:r>
        <w:t xml:space="preserve">was compared against dating/intimate partners and people who just met</w:t>
      </w:r>
      <w:r>
        <w:t xml:space="preserve"> </w:t>
      </w:r>
      <w:r>
        <w:t xml:space="preserve">via factor variable</w:t>
      </w:r>
      <w:r>
        <w:t xml:space="preserve"> </w:t>
      </w:r>
      <w:r>
        <w:rPr>
          <w:rStyle w:val="VerbatimChar"/>
        </w:rPr>
        <w:t xml:space="preserve">fam_lev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Sexual precedent:</w:t>
      </w:r>
      <w:r>
        <w:t xml:space="preserve"> </w:t>
      </w:r>
      <w:r>
        <w:t xml:space="preserve">Participants responded to the question,</w:t>
      </w:r>
      <w:r>
        <w:t xml:space="preserve"> </w:t>
      </w:r>
      <w:r>
        <w:t xml:space="preserve">“Had you</w:t>
      </w:r>
      <w:r>
        <w:t xml:space="preserve"> </w:t>
      </w:r>
      <w:r>
        <w:t xml:space="preserve">ever had sexual contact with this person in the past?”</w:t>
      </w:r>
      <w:r>
        <w:t xml:space="preserve"> </w:t>
      </w:r>
      <w:r>
        <w:t xml:space="preserve">with response</w:t>
      </w:r>
      <w:r>
        <w:t xml:space="preserve"> </w:t>
      </w:r>
      <w:r>
        <w:t xml:space="preserve">options Yes (=1) and No (=0). </w:t>
      </w:r>
    </w:p>
    <w:p>
      <w:pPr>
        <w:pStyle w:val="BodyText"/>
      </w:pPr>
      <w:r>
        <w:rPr>
          <w:b/>
          <w:bCs/>
        </w:rPr>
        <w:t xml:space="preserve">Sexual behavior type:</w:t>
      </w:r>
      <w:r>
        <w:t xml:space="preserve"> </w:t>
      </w:r>
      <w:r>
        <w:t xml:space="preserve">Participants were instructed to select all</w:t>
      </w:r>
      <w:r>
        <w:t xml:space="preserve"> </w:t>
      </w:r>
      <w:r>
        <w:t xml:space="preserve">that apply from a list of specific behaviors that captures escalating</w:t>
      </w:r>
      <w:r>
        <w:t xml:space="preserve"> </w:t>
      </w:r>
      <w:r>
        <w:t xml:space="preserve">levels of physical intimacy aligned with previously established sexual</w:t>
      </w:r>
      <w:r>
        <w:t xml:space="preserve"> </w:t>
      </w:r>
      <w:r>
        <w:t xml:space="preserve">hierarchies: Kissing (=1); Touching (=2); Penetration with fingers or</w:t>
      </w:r>
      <w:r>
        <w:t xml:space="preserve"> </w:t>
      </w:r>
      <w:r>
        <w:t xml:space="preserve">fingering (=3); Oral sex (=4); Vaginal sex (=5); and Anal sex</w:t>
      </w:r>
      <w:r>
        <w:t xml:space="preserve"> </w:t>
      </w:r>
      <w:r>
        <w:t xml:space="preserve">(=6).</w:t>
      </w:r>
      <w:r>
        <w:rPr>
          <w:vertAlign w:val="superscript"/>
        </w:rPr>
        <w:t xml:space="preserve">50</w:t>
      </w:r>
      <w:r>
        <w:t xml:space="preserve"> </w:t>
      </w:r>
      <w:r>
        <w:t xml:space="preserve">An additional response option read,</w:t>
      </w:r>
      <w:r>
        <w:t xml:space="preserve"> </w:t>
      </w:r>
      <w:r>
        <w:t xml:space="preserve">“I tried but no</w:t>
      </w:r>
      <w:r>
        <w:t xml:space="preserve"> </w:t>
      </w:r>
      <w:r>
        <w:t xml:space="preserve">sexual contact happened,”</w:t>
      </w:r>
      <w:r>
        <w:t xml:space="preserve"> </w:t>
      </w:r>
      <w:r>
        <w:t xml:space="preserve">and encounters for which this was the only</w:t>
      </w:r>
      <w:r>
        <w:t xml:space="preserve"> </w:t>
      </w:r>
      <w:r>
        <w:t xml:space="preserve">response will not be included in the present analysis. A dichotomous</w:t>
      </w:r>
      <w:r>
        <w:t xml:space="preserve"> </w:t>
      </w:r>
      <w:r>
        <w:t xml:space="preserve">variable comparing events involving Contact (kissing, touching) with</w:t>
      </w:r>
      <w:r>
        <w:t xml:space="preserve"> </w:t>
      </w:r>
      <w:r>
        <w:t xml:space="preserve">those involving Penetration was created; the Contact v. Penetration</w:t>
      </w:r>
      <w:r>
        <w:t xml:space="preserve"> </w:t>
      </w:r>
      <w:r>
        <w:t xml:space="preserve">distinction is what differentiates Sexual Assault from Rape in policy</w:t>
      </w:r>
      <w:r>
        <w:t xml:space="preserve"> </w:t>
      </w:r>
      <w:r>
        <w:t xml:space="preserve">and criminal justice contexts as well as within the scientific</w:t>
      </w:r>
      <w:r>
        <w:t xml:space="preserve"> </w:t>
      </w:r>
      <w:r>
        <w:t xml:space="preserve">literature. Limited representation across sexual behavior types</w:t>
      </w:r>
      <w:r>
        <w:t xml:space="preserve"> </w:t>
      </w:r>
      <w:r>
        <w:t xml:space="preserve">precluded the use of an ordinal event-level variable during hypothesis</w:t>
      </w:r>
      <w:r>
        <w:t xml:space="preserve"> </w:t>
      </w:r>
      <w:r>
        <w:t xml:space="preserve">testing.</w:t>
      </w:r>
    </w:p>
    <w:bookmarkEnd w:id="37"/>
    <w:bookmarkStart w:id="38" w:name="alcohol-involvement"/>
    <w:p>
      <w:pPr>
        <w:pStyle w:val="Heading4"/>
      </w:pPr>
      <w:r>
        <w:t xml:space="preserve">Alcohol involvement</w:t>
      </w:r>
    </w:p>
    <w:p>
      <w:pPr>
        <w:pStyle w:val="FirstParagraph"/>
      </w:pPr>
      <w:r>
        <w:rPr>
          <w:b/>
          <w:bCs/>
        </w:rPr>
        <w:t xml:space="preserve">Perceived intoxication:</w:t>
      </w:r>
      <w:r>
        <w:t xml:space="preserve"> </w:t>
      </w:r>
      <w:r>
        <w:t xml:space="preserve">Participants rated their own intoxication</w:t>
      </w:r>
      <w:r>
        <w:t xml:space="preserve"> </w:t>
      </w:r>
      <w:r>
        <w:t xml:space="preserve">(</w:t>
      </w:r>
      <w:r>
        <w:t xml:space="preserve">“How intoxicated did you feel right before or during this sexual</w:t>
      </w:r>
      <w:r>
        <w:t xml:space="preserve"> </w:t>
      </w:r>
      <w:r>
        <w:t xml:space="preserve">activity?”</w:t>
      </w:r>
      <w:r>
        <w:t xml:space="preserve">) and their perception of their partner’s intoxication (</w:t>
      </w:r>
      <w:r>
        <w:t xml:space="preserve">“How</w:t>
      </w:r>
      <w:r>
        <w:t xml:space="preserve"> </w:t>
      </w:r>
      <w:r>
        <w:t xml:space="preserve">intoxicated do you think the other person felt right before or during</w:t>
      </w:r>
      <w:r>
        <w:t xml:space="preserve"> </w:t>
      </w:r>
      <w:r>
        <w:t xml:space="preserve">this sexual activity?”</w:t>
      </w:r>
      <w:r>
        <w:t xml:space="preserve">) using a sliding scale from</w:t>
      </w:r>
      <w:r>
        <w:t xml:space="preserve"> </w:t>
      </w:r>
      <w:r>
        <w:t xml:space="preserve">“Least intoxicated</w:t>
      </w:r>
      <w:r>
        <w:t xml:space="preserve"> </w:t>
      </w:r>
      <w:r>
        <w:t xml:space="preserve">ever felt”</w:t>
      </w:r>
      <w:r>
        <w:t xml:space="preserve"> </w:t>
      </w:r>
      <w:r>
        <w:t xml:space="preserve">(=0) to</w:t>
      </w:r>
      <w:r>
        <w:t xml:space="preserve"> </w:t>
      </w:r>
      <w:r>
        <w:t xml:space="preserve">“Most most intoxicated ever felt”</w:t>
      </w:r>
      <w:r>
        <w:t xml:space="preserve"> </w:t>
      </w:r>
      <w:r>
        <w:t xml:space="preserve">(=100). </w:t>
      </w:r>
    </w:p>
    <w:p>
      <w:pPr>
        <w:pStyle w:val="BodyText"/>
      </w:pPr>
      <w:r>
        <w:rPr>
          <w:b/>
          <w:bCs/>
        </w:rPr>
        <w:t xml:space="preserve">Intoxication disparity:</w:t>
      </w:r>
      <w:r>
        <w:t xml:space="preserve"> </w:t>
      </w:r>
      <w:r>
        <w:t xml:space="preserve">A continuous intoxication</w:t>
      </w:r>
      <w:r>
        <w:t xml:space="preserve"> </w:t>
      </w:r>
      <w:r>
        <w:t xml:space="preserve">“disparity”</w:t>
      </w:r>
      <w:r>
        <w:t xml:space="preserve"> </w:t>
      </w:r>
      <w:r>
        <w:t xml:space="preserve">variable was calculated as the absolute difference between self-reported</w:t>
      </w:r>
      <w:r>
        <w:t xml:space="preserve"> </w:t>
      </w:r>
      <w:r>
        <w:t xml:space="preserve">intoxication and perceived partner intoxication. Larger values indicate</w:t>
      </w:r>
      <w:r>
        <w:t xml:space="preserve"> </w:t>
      </w:r>
      <w:r>
        <w:t xml:space="preserve">lower perceived alignment between self- and partner- intoxication. We</w:t>
      </w:r>
      <w:r>
        <w:t xml:space="preserve"> </w:t>
      </w:r>
      <w:r>
        <w:t xml:space="preserve">also created a factor variable with categories for equal intoxication</w:t>
      </w:r>
      <w:r>
        <w:t xml:space="preserve"> </w:t>
      </w:r>
      <w:r>
        <w:t xml:space="preserve">(Parity), for when the participant perceived themselves as more</w:t>
      </w:r>
      <w:r>
        <w:t xml:space="preserve"> </w:t>
      </w:r>
      <w:r>
        <w:t xml:space="preserve">intoxicated (Self-Higher), and for when the participant perceived the</w:t>
      </w:r>
      <w:r>
        <w:t xml:space="preserve"> </w:t>
      </w:r>
      <w:r>
        <w:t xml:space="preserve">other person as more intoxicated (Partner-Higher). </w:t>
      </w:r>
    </w:p>
    <w:p>
      <w:pPr>
        <w:pStyle w:val="BodyText"/>
      </w:pPr>
      <w:r>
        <w:rPr>
          <w:b/>
          <w:bCs/>
        </w:rPr>
        <w:t xml:space="preserve">Pre-encounter alcohol consumption:</w:t>
      </w:r>
      <w:r>
        <w:t xml:space="preserve"> </w:t>
      </w:r>
      <w:r>
        <w:t xml:space="preserve">Participants were asked,</w:t>
      </w:r>
      <w:r>
        <w:t xml:space="preserve"> </w:t>
      </w:r>
      <w:r>
        <w:t xml:space="preserve">“How</w:t>
      </w:r>
      <w:r>
        <w:t xml:space="preserve"> </w:t>
      </w:r>
      <w:r>
        <w:t xml:space="preserve">many drinks did you consume prior to or during this activity?”</w:t>
      </w:r>
      <w:r>
        <w:t xml:space="preserve"> </w:t>
      </w:r>
      <w:r>
        <w:t xml:space="preserve">with</w:t>
      </w:r>
      <w:r>
        <w:t xml:space="preserve"> </w:t>
      </w:r>
      <w:r>
        <w:t xml:space="preserve">response options for the following drink counts: 0; 1-2; 3-4; 5-6; 7-9;</w:t>
      </w:r>
      <w:r>
        <w:t xml:space="preserve"> </w:t>
      </w:r>
      <w:r>
        <w:t xml:space="preserve">and 10+ drinks. A continuous</w:t>
      </w:r>
      <w:r>
        <w:t xml:space="preserve"> </w:t>
      </w:r>
      <w:r>
        <w:rPr>
          <w:rStyle w:val="VerbatimChar"/>
        </w:rPr>
        <w:t xml:space="preserve">drink</w:t>
      </w:r>
      <w:r>
        <w:t xml:space="preserve"> </w:t>
      </w:r>
      <w:r>
        <w:t xml:space="preserve">variable was created from this</w:t>
      </w:r>
      <w:r>
        <w:t xml:space="preserve"> </w:t>
      </w:r>
      <w:r>
        <w:t xml:space="preserve">item, ranging from 0-5.</w:t>
      </w:r>
    </w:p>
    <w:p>
      <w:pPr>
        <w:pStyle w:val="BodyText"/>
      </w:pPr>
      <w:r>
        <w:rPr>
          <w:b/>
          <w:bCs/>
        </w:rPr>
        <w:t xml:space="preserve">Drinking venue attendance:</w:t>
      </w:r>
      <w:r>
        <w:t xml:space="preserve"> </w:t>
      </w:r>
      <w:r>
        <w:t xml:space="preserve">Participants were asked,</w:t>
      </w:r>
      <w:r>
        <w:t xml:space="preserve"> </w:t>
      </w:r>
      <w:r>
        <w:t xml:space="preserve">“Since the last</w:t>
      </w:r>
      <w:r>
        <w:t xml:space="preserve"> </w:t>
      </w:r>
      <w:r>
        <w:t xml:space="preserve">survey, have you been to a bar, club, or party?”</w:t>
      </w:r>
      <w:r>
        <w:t xml:space="preserve"> </w:t>
      </w:r>
      <w:r>
        <w:t xml:space="preserve">with response options</w:t>
      </w:r>
      <w:r>
        <w:t xml:space="preserve"> </w:t>
      </w:r>
      <w:r>
        <w:t xml:space="preserve">for</w:t>
      </w:r>
      <w:r>
        <w:t xml:space="preserve"> </w:t>
      </w:r>
      <w:r>
        <w:t xml:space="preserve">“Yes”</w:t>
      </w:r>
      <w:r>
        <w:t xml:space="preserve"> </w:t>
      </w:r>
      <w:r>
        <w:t xml:space="preserve">(=1) and</w:t>
      </w:r>
      <w:r>
        <w:t xml:space="preserve"> </w:t>
      </w:r>
      <w:r>
        <w:t xml:space="preserve">“No”</w:t>
      </w:r>
      <w:r>
        <w:t xml:space="preserve"> </w:t>
      </w:r>
      <w:r>
        <w:t xml:space="preserve">(=0). This item was included in the first survey</w:t>
      </w:r>
      <w:r>
        <w:t xml:space="preserve"> </w:t>
      </w:r>
      <w:r>
        <w:t xml:space="preserve">block and presented to participants after they completed the five</w:t>
      </w:r>
      <w:r>
        <w:t xml:space="preserve"> </w:t>
      </w:r>
      <w:r>
        <w:t xml:space="preserve">behavioral screeners, but before branching logic routed them to their</w:t>
      </w:r>
      <w:r>
        <w:t xml:space="preserve"> </w:t>
      </w:r>
      <w:r>
        <w:t xml:space="preserve">behavior-specific blocks for that daily report.</w:t>
      </w:r>
    </w:p>
    <w:bookmarkEnd w:id="38"/>
    <w:bookmarkEnd w:id="39"/>
    <w:bookmarkStart w:id="47" w:name="outcomes"/>
    <w:p>
      <w:pPr>
        <w:pStyle w:val="Heading3"/>
      </w:pPr>
      <w:r>
        <w:t xml:space="preserve">Outcomes</w:t>
      </w:r>
    </w:p>
    <w:p>
      <w:pPr>
        <w:pStyle w:val="FirstParagraph"/>
      </w:pPr>
      <w:r>
        <w:rPr>
          <w:b/>
          <w:bCs/>
        </w:rPr>
        <w:t xml:space="preserve">Consent cue use:</w:t>
      </w:r>
      <w:r>
        <w:t xml:space="preserve"> </w:t>
      </w:r>
      <w:r>
        <w:t xml:space="preserve">After reading the question stem,</w:t>
      </w:r>
      <w:r>
        <w:t xml:space="preserve"> </w:t>
      </w:r>
      <w:r>
        <w:t xml:space="preserve">“To what extent</w:t>
      </w:r>
      <w:r>
        <w:t xml:space="preserve"> </w:t>
      </w:r>
      <w:r>
        <w:t xml:space="preserve">did you do the following during the sexual activity?”</w:t>
      </w:r>
      <w:r>
        <w:t xml:space="preserve"> </w:t>
      </w:r>
      <w:r>
        <w:t xml:space="preserve">participants rated</w:t>
      </w:r>
      <w:r>
        <w:t xml:space="preserve"> </w:t>
      </w:r>
      <w:r>
        <w:t xml:space="preserve">the following three items on a unipolar, 11-point sliding scale ranging</w:t>
      </w:r>
      <w:r>
        <w:t xml:space="preserve"> </w:t>
      </w:r>
      <w:r>
        <w:t xml:space="preserve">from 0 (</w:t>
      </w:r>
      <w:r>
        <w:t xml:space="preserve">“Not at all”</w:t>
      </w:r>
      <w:r>
        <w:t xml:space="preserve">) to 10 (</w:t>
      </w:r>
      <w:r>
        <w:t xml:space="preserve">“Very much”</w:t>
      </w:r>
      <w:r>
        <w:t xml:space="preserve">).</w:t>
      </w:r>
      <w:r>
        <w:rPr>
          <w:vertAlign w:val="superscript"/>
        </w:rPr>
        <w:t xml:space="preserve">51</w:t>
      </w:r>
    </w:p>
    <w:p>
      <w:pPr>
        <w:pStyle w:val="CaptionedFigure"/>
      </w:pPr>
      <w:r>
        <w:drawing>
          <wp:inline>
            <wp:extent cx="3000375" cy="6317412"/>
            <wp:effectExtent b="0" l="0" r="0" t="0"/>
            <wp:docPr descr="Mobile view of consent cue items in daily survey." title="" id="41" name="Picture"/>
            <a:graphic>
              <a:graphicData uri="http://schemas.openxmlformats.org/drawingml/2006/picture">
                <pic:pic>
                  <pic:nvPicPr>
                    <pic:cNvPr descr="images/cues_mobil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317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Mobile view of consent cue items in daily</w:t>
      </w:r>
      <w:r>
        <w:t xml:space="preserve"> </w:t>
      </w:r>
      <w:r>
        <w:t xml:space="preserve">survey.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Verbal:</w:t>
      </w:r>
      <w:r>
        <w:t xml:space="preserve"> </w:t>
      </w:r>
      <w:r>
        <w:t xml:space="preserve">“Directly asked your partner or communicated verbally</w:t>
      </w:r>
      <w:r>
        <w:t xml:space="preserve"> </w:t>
      </w:r>
      <w:r>
        <w:t xml:space="preserve">with your partner about consent.”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Nonverbal, Direct:</w:t>
      </w:r>
      <w:r>
        <w:t xml:space="preserve"> </w:t>
      </w:r>
      <w:r>
        <w:t xml:space="preserve">“Used direct nonverbal signals to communicate</w:t>
      </w:r>
      <w:r>
        <w:t xml:space="preserve"> </w:t>
      </w:r>
      <w:r>
        <w:t xml:space="preserve">with your partner about consent for the sexual activity.”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Nonverbal, Indirect:</w:t>
      </w:r>
      <w:r>
        <w:t xml:space="preserve"> </w:t>
      </w:r>
      <w:r>
        <w:t xml:space="preserve">“Used subtle signals to communicate with</w:t>
      </w:r>
      <w:r>
        <w:t xml:space="preserve"> </w:t>
      </w:r>
      <w:r>
        <w:t xml:space="preserve">your partner about consent for the sexual activity.”</w:t>
      </w:r>
    </w:p>
    <w:bookmarkStart w:id="46" w:name="validity-of-outcome-measures"/>
    <w:p>
      <w:pPr>
        <w:pStyle w:val="Heading4"/>
      </w:pPr>
      <w:r>
        <w:t xml:space="preserve">Validity of outcome measures</w:t>
      </w:r>
    </w:p>
    <w:p>
      <w:pPr>
        <w:pStyle w:val="FirstParagraph"/>
      </w:pPr>
      <w:r>
        <w:t xml:space="preserve">Despite the need for and potential benefits of using experience sampling</w:t>
      </w:r>
      <w:r>
        <w:t xml:space="preserve"> </w:t>
      </w:r>
      <w:r>
        <w:t xml:space="preserve">methods (ESM) to examine alcohol-involved sexual consent experiences,</w:t>
      </w:r>
      <w:r>
        <w:t xml:space="preserve"> </w:t>
      </w:r>
      <w:r>
        <w:t xml:space="preserve">there also are unique challenges associated with this approach. One such</w:t>
      </w:r>
      <w:r>
        <w:t xml:space="preserve"> </w:t>
      </w:r>
      <w:r>
        <w:t xml:space="preserve">challenge is the increased commitment and investment of effort that</w:t>
      </w:r>
      <w:r>
        <w:t xml:space="preserve"> </w:t>
      </w:r>
      <w:r>
        <w:t xml:space="preserve">repeatedly completing assessments requires from</w:t>
      </w:r>
      <w:r>
        <w:t xml:space="preserve"> </w:t>
      </w:r>
      <w:r>
        <w:t xml:space="preserve">participants.</w:t>
      </w:r>
      <w:r>
        <w:rPr>
          <w:vertAlign w:val="superscript"/>
        </w:rPr>
        <w:t xml:space="preserve">52</w:t>
      </w:r>
      <w:r>
        <w:t xml:space="preserve"> </w:t>
      </w:r>
      <w:r>
        <w:t xml:space="preserve">ESM researchers can mitigate participant</w:t>
      </w:r>
      <w:r>
        <w:t xml:space="preserve"> </w:t>
      </w:r>
      <w:r>
        <w:t xml:space="preserve">burden by making surveys brief, a common but imperfect solution that</w:t>
      </w:r>
      <w:r>
        <w:t xml:space="preserve"> </w:t>
      </w:r>
      <w:r>
        <w:t xml:space="preserve">frequently necessitates measuring variables with one or just a few items</w:t>
      </w:r>
      <w:r>
        <w:t xml:space="preserve"> </w:t>
      </w:r>
      <w:r>
        <w:t xml:space="preserve">per construct.</w:t>
      </w:r>
      <w:r>
        <w:rPr>
          <w:vertAlign w:val="superscript"/>
        </w:rPr>
        <w:t xml:space="preserve">53</w:t>
      </w:r>
      <w:r>
        <w:t xml:space="preserve"> </w:t>
      </w:r>
      <w:r>
        <w:t xml:space="preserve">Measures composed of only one or two items</w:t>
      </w:r>
      <w:r>
        <w:t xml:space="preserve"> </w:t>
      </w:r>
      <w:r>
        <w:t xml:space="preserve">are often criticized by researchers with well-founded concerns that they</w:t>
      </w:r>
      <w:r>
        <w:t xml:space="preserve"> </w:t>
      </w:r>
      <w:r>
        <w:t xml:space="preserve">might be unreliable, more susceptible to measurement error, or fail to</w:t>
      </w:r>
      <w:r>
        <w:t xml:space="preserve"> </w:t>
      </w:r>
      <w:r>
        <w:t xml:space="preserve">capture complex constructs.</w:t>
      </w:r>
      <w:r>
        <w:rPr>
          <w:vertAlign w:val="superscript"/>
        </w:rPr>
        <w:t xml:space="preserve">54</w:t>
      </w:r>
      <w:r>
        <w:t xml:space="preserve"> </w:t>
      </w:r>
      <w:r>
        <w:t xml:space="preserve">Still, other researchers argue</w:t>
      </w:r>
      <w:r>
        <w:t xml:space="preserve"> </w:t>
      </w:r>
      <w:r>
        <w:t xml:space="preserve">that relying on single-item measures is acceptable when these items are</w:t>
      </w:r>
      <w:r>
        <w:t xml:space="preserve"> </w:t>
      </w:r>
      <w:r>
        <w:t xml:space="preserve">carefully developed and evaluated for multiple sources of measurement</w:t>
      </w:r>
      <w:r>
        <w:t xml:space="preserve"> </w:t>
      </w:r>
      <w:r>
        <w:t xml:space="preserve">validity.</w:t>
      </w:r>
      <w:r>
        <w:rPr>
          <w:vertAlign w:val="superscript"/>
        </w:rPr>
        <w:t xml:space="preserve">55</w:t>
      </w:r>
    </w:p>
    <w:p>
      <w:pPr>
        <w:pStyle w:val="BodyText"/>
      </w:pPr>
      <w:r>
        <w:t xml:space="preserve">Recent recommendations from the field of communication science propose</w:t>
      </w:r>
      <w:r>
        <w:t xml:space="preserve"> </w:t>
      </w:r>
      <w:r>
        <w:t xml:space="preserve">three central criteria for validating single-item measures in an ESM</w:t>
      </w:r>
      <w:r>
        <w:t xml:space="preserve"> </w:t>
      </w:r>
      <w:r>
        <w:t xml:space="preserve">context.</w:t>
      </w:r>
    </w:p>
    <w:p>
      <w:pPr>
        <w:pStyle w:val="BodyText"/>
      </w:pPr>
      <w:r>
        <w:t xml:space="preserve">The item must:</w:t>
      </w:r>
    </w:p>
    <w:p>
      <w:pPr>
        <w:pStyle w:val="Compact"/>
        <w:numPr>
          <w:ilvl w:val="0"/>
          <w:numId w:val="1006"/>
        </w:numPr>
      </w:pPr>
      <w:r>
        <w:t xml:space="preserve">Fit the core of a construct’s definition to ensure that it reflects</w:t>
      </w:r>
      <w:r>
        <w:t xml:space="preserve"> </w:t>
      </w:r>
      <w:r>
        <w:t xml:space="preserve">the construct well.</w:t>
      </w:r>
    </w:p>
    <w:p>
      <w:pPr>
        <w:pStyle w:val="Compact"/>
        <w:numPr>
          <w:ilvl w:val="0"/>
          <w:numId w:val="1006"/>
        </w:numPr>
      </w:pPr>
      <w:r>
        <w:t xml:space="preserve">Be sensitive to situational changes that demonstrate predictable</w:t>
      </w:r>
      <w:r>
        <w:t xml:space="preserve"> </w:t>
      </w:r>
      <w:r>
        <w:t xml:space="preserve">within-person variability</w:t>
      </w:r>
    </w:p>
    <w:p>
      <w:pPr>
        <w:pStyle w:val="Compact"/>
        <w:numPr>
          <w:ilvl w:val="0"/>
          <w:numId w:val="1006"/>
        </w:numPr>
      </w:pPr>
      <w:r>
        <w:t xml:space="preserve">Be sensitive to differences between groups at the between-person</w:t>
      </w:r>
      <w:r>
        <w:t xml:space="preserve"> </w:t>
      </w:r>
      <w:r>
        <w:t xml:space="preserve">level</w:t>
      </w:r>
    </w:p>
    <w:p>
      <w:pPr>
        <w:pStyle w:val="FirstParagraph"/>
      </w:pPr>
      <w:r>
        <w:t xml:space="preserve">In the sections that follow, I present findings aligned with these</w:t>
      </w:r>
      <w:r>
        <w:t xml:space="preserve"> </w:t>
      </w:r>
      <w:r>
        <w:t xml:space="preserve">criteria that offer support for the validity of the brief outcome</w:t>
      </w:r>
      <w:r>
        <w:t xml:space="preserve"> </w:t>
      </w:r>
      <w:r>
        <w:t xml:space="preserve">measures used in the current research.</w:t>
      </w:r>
    </w:p>
    <w:bookmarkStart w:id="43" w:name="definitional-correspondence"/>
    <w:p>
      <w:pPr>
        <w:pStyle w:val="Heading5"/>
      </w:pPr>
      <w:r>
        <w:t xml:space="preserve">1) Definitional correspondence</w:t>
      </w:r>
    </w:p>
    <w:p>
      <w:pPr>
        <w:pStyle w:val="FirstParagraph"/>
      </w:pPr>
      <w:r>
        <w:t xml:space="preserve">Active consent communication is the use of words or behaviors (i.e.,</w:t>
      </w:r>
      <w:r>
        <w:t xml:space="preserve"> </w:t>
      </w:r>
      <w:r>
        <w:t xml:space="preserve">cues) to communicate to another person agreement to engage in sexual</w:t>
      </w:r>
      <w:r>
        <w:t xml:space="preserve"> </w:t>
      </w:r>
      <w:r>
        <w:t xml:space="preserve">activity. It is also referred to as</w:t>
      </w:r>
      <w:r>
        <w:t xml:space="preserve"> </w:t>
      </w:r>
      <w:r>
        <w:t xml:space="preserve">“external”</w:t>
      </w:r>
      <w:r>
        <w:t xml:space="preserve"> </w:t>
      </w:r>
      <w:r>
        <w:t xml:space="preserve">consent communication</w:t>
      </w:r>
      <w:r>
        <w:t xml:space="preserve"> </w:t>
      </w:r>
      <w:r>
        <w:t xml:space="preserve">because these words and behaviors are used to outwardly express one’s</w:t>
      </w:r>
      <w:r>
        <w:t xml:space="preserve"> </w:t>
      </w:r>
      <w:r>
        <w:t xml:space="preserve">internal feelings of willingness to participate in the sexual behavior.</w:t>
      </w:r>
      <w:r>
        <w:t xml:space="preserve"> </w:t>
      </w:r>
      <w:r>
        <w:t xml:space="preserve">The only validated external consent measure that existed until recently</w:t>
      </w:r>
      <w:r>
        <w:t xml:space="preserve"> </w:t>
      </w:r>
      <w:r>
        <w:t xml:space="preserve">was the 18-item External Consent Scale, which was developed for</w:t>
      </w:r>
      <w:r>
        <w:t xml:space="preserve"> </w:t>
      </w:r>
      <w:r>
        <w:t xml:space="preserve">cross-sectional research to ask about the respondent’s most recent</w:t>
      </w:r>
      <w:r>
        <w:t xml:space="preserve"> </w:t>
      </w:r>
      <w:r>
        <w:t xml:space="preserve">sexual encounter (which could have been days to weeks in the</w:t>
      </w:r>
      <w:r>
        <w:t xml:space="preserve"> </w:t>
      </w:r>
      <w:r>
        <w:t xml:space="preserve">past).</w:t>
      </w:r>
      <w:r>
        <w:rPr>
          <w:vertAlign w:val="superscript"/>
        </w:rPr>
        <w:t xml:space="preserve">41</w:t>
      </w:r>
      <w:r>
        <w:t xml:space="preserve"> </w:t>
      </w:r>
      <w:r>
        <w:t xml:space="preserve">Because including 18 items in ESM studies</w:t>
      </w:r>
      <w:r>
        <w:t xml:space="preserve"> </w:t>
      </w:r>
      <w:r>
        <w:t xml:space="preserve">would be time-intensive and burdensome, Willis and colleagues used a</w:t>
      </w:r>
      <w:r>
        <w:t xml:space="preserve"> </w:t>
      </w:r>
      <w:r>
        <w:t xml:space="preserve">two-phase procedure to develop and evaluate brief measures of external</w:t>
      </w:r>
      <w:r>
        <w:t xml:space="preserve"> </w:t>
      </w:r>
      <w:r>
        <w:t xml:space="preserve">consent cues specifically designed for use in ESM</w:t>
      </w:r>
      <w:r>
        <w:t xml:space="preserve"> </w:t>
      </w:r>
      <w:r>
        <w:t xml:space="preserve">studies.</w:t>
      </w:r>
      <w:r>
        <w:rPr>
          <w:vertAlign w:val="superscript"/>
        </w:rPr>
        <w:t xml:space="preserve">51</w:t>
      </w:r>
    </w:p>
    <w:p>
      <w:pPr>
        <w:pStyle w:val="BodyText"/>
      </w:pPr>
      <w:r>
        <w:t xml:space="preserve">In Phase I, the research team sought to develop items that best</w:t>
      </w:r>
      <w:r>
        <w:t xml:space="preserve"> </w:t>
      </w:r>
      <w:r>
        <w:t xml:space="preserve">represented the constructs of interest while demonstrating both face</w:t>
      </w:r>
      <w:r>
        <w:t xml:space="preserve"> </w:t>
      </w:r>
      <w:r>
        <w:t xml:space="preserve">validity and content validity. To do so, operational definitions for the</w:t>
      </w:r>
      <w:r>
        <w:t xml:space="preserve"> </w:t>
      </w:r>
      <w:r>
        <w:t xml:space="preserve">external and internal consent constructs were derived from seminal</w:t>
      </w:r>
      <w:r>
        <w:t xml:space="preserve"> </w:t>
      </w:r>
      <w:r>
        <w:t xml:space="preserve">theoretical research and systematic reviews of the sexual consent</w:t>
      </w:r>
      <w:r>
        <w:t xml:space="preserve"> </w:t>
      </w:r>
      <w:r>
        <w:t xml:space="preserve">literature. Cognitive interviews were then conducted with sexually</w:t>
      </w:r>
      <w:r>
        <w:t xml:space="preserve"> </w:t>
      </w:r>
      <w:r>
        <w:t xml:space="preserve">active adults (n = 10) using concurrent probing to assess sample item</w:t>
      </w:r>
      <w:r>
        <w:t xml:space="preserve"> </w:t>
      </w:r>
      <w:r>
        <w:t xml:space="preserve">comprehension, preferred wording, and interpretation. Three</w:t>
      </w:r>
      <w:r>
        <w:t xml:space="preserve"> </w:t>
      </w:r>
      <w:r>
        <w:t xml:space="preserve">content-matter experts from the field of sexual consent research and</w:t>
      </w:r>
      <w:r>
        <w:t xml:space="preserve"> </w:t>
      </w:r>
      <w:r>
        <w:t xml:space="preserve">three measurement experts with doctoral training in psychometrics also</w:t>
      </w:r>
      <w:r>
        <w:t xml:space="preserve"> </w:t>
      </w:r>
      <w:r>
        <w:t xml:space="preserve">provided ratings to determine the degree to which sample items captured</w:t>
      </w:r>
      <w:r>
        <w:t xml:space="preserve"> </w:t>
      </w:r>
      <w:r>
        <w:t xml:space="preserve">their corresponding operational definitions. The research team then</w:t>
      </w:r>
      <w:r>
        <w:t xml:space="preserve"> </w:t>
      </w:r>
      <w:r>
        <w:t xml:space="preserve">calculated item-objective congruence (IIOC) values for content alignment</w:t>
      </w:r>
      <w:r>
        <w:t xml:space="preserve"> </w:t>
      </w:r>
      <w:r>
        <w:t xml:space="preserve">(cutoff .75) to establish which prospective items had higher content</w:t>
      </w:r>
      <w:r>
        <w:t xml:space="preserve"> </w:t>
      </w:r>
      <w:r>
        <w:t xml:space="preserve">validity.</w:t>
      </w:r>
      <w:r>
        <w:rPr>
          <w:vertAlign w:val="superscript"/>
        </w:rPr>
        <w:t xml:space="preserve">57</w:t>
      </w:r>
      <w:r>
        <w:t xml:space="preserve"> </w:t>
      </w:r>
      <w:r>
        <w:t xml:space="preserve">Items were selected for Phase II by balancing</w:t>
      </w:r>
      <w:r>
        <w:t xml:space="preserve"> </w:t>
      </w:r>
      <w:r>
        <w:t xml:space="preserve">participants’ judgments and experts’ IIIOC</w:t>
      </w:r>
      <w:r>
        <w:t xml:space="preserve"> </w:t>
      </w:r>
      <w:r>
        <w:t xml:space="preserve">ratings.</w:t>
      </w:r>
      <w:r>
        <w:rPr>
          <w:vertAlign w:val="superscript"/>
        </w:rPr>
        <w:t xml:space="preserve">51</w:t>
      </w:r>
    </w:p>
    <w:p>
      <w:pPr>
        <w:pStyle w:val="BodyText"/>
      </w:pPr>
      <w:r>
        <w:t xml:space="preserve">The brief measure of external</w:t>
      </w:r>
      <w:r>
        <w:t xml:space="preserve"> </w:t>
      </w:r>
      <w:r>
        <w:t xml:space="preserve">consent</w:t>
      </w:r>
      <w:r>
        <w:rPr>
          <w:vertAlign w:val="superscript"/>
        </w:rPr>
        <w:t xml:space="preserve">51</w:t>
      </w:r>
      <w:r>
        <w:t xml:space="preserve"> </w:t>
      </w:r>
      <w:r>
        <w:t xml:space="preserve">consists of four items that</w:t>
      </w:r>
      <w:r>
        <w:t xml:space="preserve"> </w:t>
      </w:r>
      <w:r>
        <w:t xml:space="preserve">were developed to measure four types of active consent cues identified</w:t>
      </w:r>
      <w:r>
        <w:t xml:space="preserve"> </w:t>
      </w:r>
      <w:r>
        <w:t xml:space="preserve">through previous research: verbal (</w:t>
      </w:r>
      <w:r>
        <w:t xml:space="preserve">“I verbally communicated…”</w:t>
      </w:r>
      <w:r>
        <w:t xml:space="preserve">),</w:t>
      </w:r>
      <w:r>
        <w:t xml:space="preserve"> </w:t>
      </w:r>
      <w:r>
        <w:t xml:space="preserve">nonverbal (</w:t>
      </w:r>
      <w:r>
        <w:t xml:space="preserve">“I nonverbally communicated…”</w:t>
      </w:r>
      <w:r>
        <w:t xml:space="preserve">), explicit (i.e., direct;</w:t>
      </w:r>
      <w:r>
        <w:t xml:space="preserve"> </w:t>
      </w:r>
      <w:r>
        <w:t xml:space="preserve">“I</w:t>
      </w:r>
      <w:r>
        <w:t xml:space="preserve"> </w:t>
      </w:r>
      <w:r>
        <w:t xml:space="preserve">used straightforward signals to communicate…”</w:t>
      </w:r>
      <w:r>
        <w:t xml:space="preserve">) and implicit (ie.,</w:t>
      </w:r>
      <w:r>
        <w:t xml:space="preserve"> </w:t>
      </w:r>
      <w:r>
        <w:t xml:space="preserve">indirect;</w:t>
      </w:r>
      <w:r>
        <w:t xml:space="preserve"> </w:t>
      </w:r>
      <w:r>
        <w:t xml:space="preserve">“I used subtle signals to communicate…”</w:t>
      </w:r>
      <w:r>
        <w:t xml:space="preserve">). Researchers using</w:t>
      </w:r>
      <w:r>
        <w:t xml:space="preserve"> </w:t>
      </w:r>
      <w:r>
        <w:t xml:space="preserve">the measure have tried to operationalize active external consent using a</w:t>
      </w:r>
      <w:r>
        <w:t xml:space="preserve"> </w:t>
      </w:r>
      <w:r>
        <w:t xml:space="preserve">composite score derived from participants’ responses to these four</w:t>
      </w:r>
      <w:r>
        <w:t xml:space="preserve"> </w:t>
      </w:r>
      <w:r>
        <w:t xml:space="preserve">items, with variable success. Across three studies by Shi and colleagues</w:t>
      </w:r>
      <w:r>
        <w:t xml:space="preserve"> </w:t>
      </w:r>
      <w:r>
        <w:t xml:space="preserve">using three separate datasets, their team found that the four-item</w:t>
      </w:r>
      <w:r>
        <w:t xml:space="preserve"> </w:t>
      </w:r>
      <w:r>
        <w:t xml:space="preserve">composites consistently had poor reliability (αs &lt;</w:t>
      </w:r>
      <w:r>
        <w:t xml:space="preserve"> </w:t>
      </w:r>
      <w:r>
        <w:t xml:space="preserve">.60).</w:t>
      </w:r>
      <w:r>
        <w:rPr>
          <w:vertAlign w:val="superscript"/>
        </w:rPr>
        <w:t xml:space="preserve">58</w:t>
      </w:r>
      <w:r>
        <w:t xml:space="preserve"> </w:t>
      </w:r>
      <w:r>
        <w:t xml:space="preserve">This pattern of findings aligned with</w:t>
      </w:r>
      <w:r>
        <w:t xml:space="preserve"> </w:t>
      </w:r>
      <w:r>
        <w:t xml:space="preserve">that of another study by Willis and colleagues, wherein internal</w:t>
      </w:r>
      <w:r>
        <w:t xml:space="preserve"> </w:t>
      </w:r>
      <w:r>
        <w:t xml:space="preserve">reliability was not strong for a composite including verbal, nonverbal,</w:t>
      </w:r>
      <w:r>
        <w:t xml:space="preserve"> </w:t>
      </w:r>
      <w:r>
        <w:t xml:space="preserve">explicit, and implicit consent cues.</w:t>
      </w:r>
      <w:r>
        <w:rPr>
          <w:vertAlign w:val="superscript"/>
        </w:rPr>
        <w:t xml:space="preserve">10</w:t>
      </w:r>
      <w:r>
        <w:t xml:space="preserve"> </w:t>
      </w:r>
      <w:r>
        <w:t xml:space="preserve">Moreover, across the</w:t>
      </w:r>
      <w:r>
        <w:t xml:space="preserve"> </w:t>
      </w:r>
      <w:r>
        <w:t xml:space="preserve">Shi</w:t>
      </w:r>
      <w:r>
        <w:rPr>
          <w:vertAlign w:val="superscript"/>
        </w:rPr>
        <w:t xml:space="preserve">58</w:t>
      </w:r>
      <w:r>
        <w:t xml:space="preserve"> </w:t>
      </w:r>
      <w:r>
        <w:t xml:space="preserve">and</w:t>
      </w:r>
      <w:r>
        <w:t xml:space="preserve"> </w:t>
      </w:r>
      <w:r>
        <w:t xml:space="preserve">Willis</w:t>
      </w:r>
      <w:r>
        <w:rPr>
          <w:vertAlign w:val="superscript"/>
        </w:rPr>
        <w:t xml:space="preserve">10</w:t>
      </w:r>
      <w:r>
        <w:t xml:space="preserve"> </w:t>
      </w:r>
      <w:r>
        <w:t xml:space="preserve">studies, verbal cues</w:t>
      </w:r>
      <w:r>
        <w:t xml:space="preserve"> </w:t>
      </w:r>
      <w:r>
        <w:t xml:space="preserve">were highly positively correlated with explicit cues, and nonverbal cues</w:t>
      </w:r>
      <w:r>
        <w:t xml:space="preserve"> </w:t>
      </w:r>
      <w:r>
        <w:t xml:space="preserve">were highly positively correlated with implicit cues.</w:t>
      </w:r>
    </w:p>
    <w:p>
      <w:pPr>
        <w:pStyle w:val="BodyText"/>
      </w:pPr>
      <w:r>
        <w:t xml:space="preserve">In the pilot study that was initially conducted to validate the external</w:t>
      </w:r>
      <w:r>
        <w:t xml:space="preserve"> </w:t>
      </w:r>
      <w:r>
        <w:t xml:space="preserve">consent measure, the research team solicited open-ended feedback from</w:t>
      </w:r>
      <w:r>
        <w:t xml:space="preserve"> </w:t>
      </w:r>
      <w:r>
        <w:t xml:space="preserve">participants. When queried about whether any of the survey questions</w:t>
      </w:r>
      <w:r>
        <w:t xml:space="preserve"> </w:t>
      </w:r>
      <w:r>
        <w:t xml:space="preserve">sounded awkward or lacked clarity, a few participants expressed</w:t>
      </w:r>
      <w:r>
        <w:t xml:space="preserve"> </w:t>
      </w:r>
      <w:r>
        <w:t xml:space="preserve">confusion regarding the explicit item’s phrasing (e.g.,</w:t>
      </w:r>
      <w:r>
        <w:t xml:space="preserve"> </w:t>
      </w:r>
      <w:r>
        <w:t xml:space="preserve">“It is unclear</w:t>
      </w:r>
      <w:r>
        <w:t xml:space="preserve"> </w:t>
      </w:r>
      <w:r>
        <w:t xml:space="preserve">to me what this question (on straightforward signals) means”</w:t>
      </w:r>
      <w:r>
        <w:t xml:space="preserve">), as well</w:t>
      </w:r>
      <w:r>
        <w:t xml:space="preserve"> </w:t>
      </w:r>
      <w:r>
        <w:t xml:space="preserve">as uncertainty about the distinction between</w:t>
      </w:r>
      <w:r>
        <w:t xml:space="preserve"> </w:t>
      </w:r>
      <w:r>
        <w:t xml:space="preserve">‘nonverbal’</w:t>
      </w:r>
      <w:r>
        <w:t xml:space="preserve"> </w:t>
      </w:r>
      <w:r>
        <w:t xml:space="preserve">and</w:t>
      </w:r>
      <w:r>
        <w:t xml:space="preserve"> </w:t>
      </w:r>
      <w:r>
        <w:t xml:space="preserve">‘subtle’</w:t>
      </w:r>
      <w:r>
        <w:t xml:space="preserve"> </w:t>
      </w:r>
      <w:r>
        <w:t xml:space="preserve">communication (e.g.,</w:t>
      </w:r>
      <w:r>
        <w:t xml:space="preserve"> </w:t>
      </w:r>
      <w:r>
        <w:t xml:space="preserve">“how is nonverbal different than</w:t>
      </w:r>
      <w:r>
        <w:t xml:space="preserve"> </w:t>
      </w:r>
      <w:r>
        <w:t xml:space="preserve">‘subtle’</w:t>
      </w:r>
      <w:r>
        <w:t xml:space="preserve"> </w:t>
      </w:r>
      <w:r>
        <w:t xml:space="preserve">communication?”</w:t>
      </w:r>
      <w:r>
        <w:t xml:space="preserve">,</w:t>
      </w:r>
      <w:r>
        <w:t xml:space="preserve"> </w:t>
      </w:r>
      <w:r>
        <w:t xml:space="preserve">“What differentiates the</w:t>
      </w:r>
      <w:r>
        <w:t xml:space="preserve"> </w:t>
      </w:r>
      <w:r>
        <w:t xml:space="preserve">two?”</w:t>
      </w:r>
      <w:r>
        <w:t xml:space="preserve">).</w:t>
      </w:r>
      <w:r>
        <w:rPr>
          <w:vertAlign w:val="superscript"/>
        </w:rPr>
        <w:t xml:space="preserve">51</w:t>
      </w:r>
      <w:r>
        <w:t xml:space="preserve"> </w:t>
      </w:r>
      <w:r>
        <w:t xml:space="preserve">Considering pilot</w:t>
      </w:r>
      <w:r>
        <w:t xml:space="preserve"> </w:t>
      </w:r>
      <w:r>
        <w:t xml:space="preserve">participant feedback, strong positive correlations between verbal and</w:t>
      </w:r>
      <w:r>
        <w:t xml:space="preserve"> </w:t>
      </w:r>
      <w:r>
        <w:t xml:space="preserve">explicit cues reported in previous studies,</w:t>
      </w:r>
      <w:r>
        <w:rPr>
          <w:vertAlign w:val="superscript"/>
        </w:rPr>
        <w:t xml:space="preserve">10</w:t>
      </w:r>
      <w:r>
        <w:t xml:space="preserve"> </w:t>
      </w:r>
      <w:r>
        <w:t xml:space="preserve">and the goals of the</w:t>
      </w:r>
      <w:r>
        <w:t xml:space="preserve"> </w:t>
      </w:r>
      <w:r>
        <w:t xml:space="preserve">current research, we decided against including the</w:t>
      </w:r>
      <w:r>
        <w:t xml:space="preserve"> </w:t>
      </w:r>
      <w:r>
        <w:t xml:space="preserve">explicit/</w:t>
      </w:r>
      <w:r>
        <w:t xml:space="preserve">“straightforward”</w:t>
      </w:r>
      <w:r>
        <w:t xml:space="preserve"> </w:t>
      </w:r>
      <w:r>
        <w:t xml:space="preserve">cue item in our daily diary. We did include</w:t>
      </w:r>
      <w:r>
        <w:t xml:space="preserve"> </w:t>
      </w:r>
      <w:r>
        <w:t xml:space="preserve">both the nonverbal and implicit cue items, but we observed the same</w:t>
      </w:r>
      <w:r>
        <w:t xml:space="preserve"> </w:t>
      </w:r>
      <w:r>
        <w:t xml:space="preserve">pattern described in previous research. Specifically, nonverbal cues</w:t>
      </w:r>
      <w:r>
        <w:t xml:space="preserve"> </w:t>
      </w:r>
      <w:r>
        <w:t xml:space="preserve">were highly positively correlated with implicit cues (r = .73).</w:t>
      </w:r>
      <w:r>
        <w:t xml:space="preserve"> </w:t>
      </w:r>
      <w:r>
        <w:t xml:space="preserve">Considering this strong correlation and the preregistered strategy for</w:t>
      </w:r>
      <w:r>
        <w:t xml:space="preserve"> </w:t>
      </w:r>
      <w:r>
        <w:t xml:space="preserve">addressing it reported in prior work,</w:t>
      </w:r>
      <w:r>
        <w:rPr>
          <w:vertAlign w:val="superscript"/>
        </w:rPr>
        <w:t xml:space="preserve">58</w:t>
      </w:r>
      <w:r>
        <w:t xml:space="preserve"> </w:t>
      </w:r>
      <w:r>
        <w:t xml:space="preserve">the</w:t>
      </w:r>
      <w:r>
        <w:t xml:space="preserve"> </w:t>
      </w:r>
      <w:r>
        <w:t xml:space="preserve">nonverbal and implicit cue items were averaged to create a composite</w:t>
      </w:r>
      <w:r>
        <w:t xml:space="preserve"> </w:t>
      </w:r>
      <w:r>
        <w:t xml:space="preserve">Nonverbal score. Finally, the internal consistency for the verbal,</w:t>
      </w:r>
      <w:r>
        <w:t xml:space="preserve"> </w:t>
      </w:r>
      <w:r>
        <w:t xml:space="preserve">nonverbal, and implicit cue items was &lt; .6 (α = 0.57), while the</w:t>
      </w:r>
      <w:r>
        <w:t xml:space="preserve"> </w:t>
      </w:r>
      <w:r>
        <w:t xml:space="preserve">Nonverbal (composite) and Verbal (single-item) scores were only weakly</w:t>
      </w:r>
      <w:r>
        <w:t xml:space="preserve"> </w:t>
      </w:r>
      <w:r>
        <w:t xml:space="preserve">correlated (r = .12). Given the insufficient empirical support for</w:t>
      </w:r>
      <w:r>
        <w:t xml:space="preserve"> </w:t>
      </w:r>
      <w:r>
        <w:t xml:space="preserve">combining all three items and the goals of the current research, this</w:t>
      </w:r>
      <w:r>
        <w:t xml:space="preserve"> </w:t>
      </w:r>
      <w:r>
        <w:t xml:space="preserve">dissertation examined Nonverbal and Verbal cue use separately. Higher</w:t>
      </w:r>
      <w:r>
        <w:t xml:space="preserve"> </w:t>
      </w:r>
      <w:r>
        <w:t xml:space="preserve">scores indicated greater use of each type of cue to communicate consent.</w:t>
      </w:r>
    </w:p>
    <w:bookmarkEnd w:id="43"/>
    <w:bookmarkStart w:id="44" w:name="Xb8ed7e2ae517d6838458690b02a169c1f268ee6"/>
    <w:p>
      <w:pPr>
        <w:pStyle w:val="Heading5"/>
      </w:pPr>
      <w:r>
        <w:t xml:space="preserve">2) Situational sensitivity and within-person validity</w:t>
      </w:r>
    </w:p>
    <w:p>
      <w:pPr>
        <w:pStyle w:val="FirstParagraph"/>
      </w:pPr>
      <w:r>
        <w:t xml:space="preserve">To meet this criterion, event-level scores should change in predictable</w:t>
      </w:r>
      <w:r>
        <w:t xml:space="preserve"> </w:t>
      </w:r>
      <w:r>
        <w:t xml:space="preserve">ways across situations within the same person.</w:t>
      </w:r>
    </w:p>
    <w:p>
      <w:pPr>
        <w:pStyle w:val="BodyText"/>
      </w:pPr>
      <w:r>
        <w:t xml:space="preserve">In Phase II, items derived and refined in Phase I were administered in a</w:t>
      </w:r>
      <w:r>
        <w:t xml:space="preserve"> </w:t>
      </w:r>
      <w:r>
        <w:t xml:space="preserve">seven-day pilot study, with the ESM survey sent to participants (</w:t>
      </w:r>
      <w:r>
        <w:rPr>
          <w:i/>
          <w:iCs/>
        </w:rPr>
        <w:t xml:space="preserve">n</w:t>
      </w:r>
      <w:r>
        <w:t xml:space="preserve"> </w:t>
      </w:r>
      <w:r>
        <w:t xml:space="preserve">=</w:t>
      </w:r>
      <w:r>
        <w:t xml:space="preserve"> </w:t>
      </w:r>
      <w:r>
        <w:t xml:space="preserve">12) four times per day. Following the study period, pilot participants</w:t>
      </w:r>
      <w:r>
        <w:t xml:space="preserve"> </w:t>
      </w:r>
      <w:r>
        <w:t xml:space="preserve">completed an exit survey that collected feedback on the sexual consent</w:t>
      </w:r>
      <w:r>
        <w:t xml:space="preserve"> </w:t>
      </w:r>
      <w:r>
        <w:t xml:space="preserve">measures and assessed their acceptability in the broader context of the</w:t>
      </w:r>
      <w:r>
        <w:t xml:space="preserve"> </w:t>
      </w:r>
      <w:r>
        <w:t xml:space="preserve">ESM study design. Findings included within-person associations between</w:t>
      </w:r>
      <w:r>
        <w:t xml:space="preserve"> </w:t>
      </w:r>
      <w:r>
        <w:t xml:space="preserve">internal and external sexual consent that were consistent with</w:t>
      </w:r>
      <w:r>
        <w:t xml:space="preserve"> </w:t>
      </w:r>
      <w:r>
        <w:t xml:space="preserve">preexisting theory and research asserting these are separable but</w:t>
      </w:r>
      <w:r>
        <w:t xml:space="preserve"> </w:t>
      </w:r>
      <w:r>
        <w:t xml:space="preserve">related facets of a multidimensional process</w:t>
      </w:r>
      <w:r>
        <w:rPr>
          <w:vertAlign w:val="superscript"/>
        </w:rPr>
        <w:t xml:space="preserve">1</w:t>
      </w:r>
      <w:r>
        <w:t xml:space="preserve">. For instance, verbal and</w:t>
      </w:r>
      <w:r>
        <w:t xml:space="preserve"> </w:t>
      </w:r>
      <w:r>
        <w:t xml:space="preserve">nonverbal consent cues were both positively associated with internal</w:t>
      </w:r>
      <w:r>
        <w:t xml:space="preserve"> </w:t>
      </w:r>
      <w:r>
        <w:t xml:space="preserve">consent feelings of safety/comfort and readiness; verbal cue use was</w:t>
      </w:r>
      <w:r>
        <w:t xml:space="preserve"> </w:t>
      </w:r>
      <w:r>
        <w:t xml:space="preserve">also positively associated with internal feelings of agreement/want,</w:t>
      </w:r>
      <w:r>
        <w:t xml:space="preserve"> </w:t>
      </w:r>
      <w:r>
        <w:t xml:space="preserve">while nonverbal cue use was not.</w:t>
      </w:r>
      <w:r>
        <w:rPr>
          <w:vertAlign w:val="superscript"/>
        </w:rPr>
        <w:t xml:space="preserve">51</w:t>
      </w:r>
      <w:r>
        <w:t xml:space="preserve"> </w:t>
      </w:r>
      <w:r>
        <w:t xml:space="preserve">Further, external consent communication was not associated with alcohol</w:t>
      </w:r>
      <w:r>
        <w:t xml:space="preserve"> </w:t>
      </w:r>
      <w:r>
        <w:t xml:space="preserve">use at the encounter level for participants in committed relationships,</w:t>
      </w:r>
      <w:r>
        <w:t xml:space="preserve"> </w:t>
      </w:r>
      <w:r>
        <w:t xml:space="preserve">replicating discriminant patterns observed in previous research.</w:t>
      </w:r>
      <w:r>
        <w:rPr>
          <w:vertAlign w:val="superscript"/>
        </w:rPr>
        <w:t xml:space="preserve">59</w:t>
      </w:r>
    </w:p>
    <w:p>
      <w:pPr>
        <w:pStyle w:val="BodyText"/>
      </w:pPr>
      <w:r>
        <w:t xml:space="preserve">Recent recommendations for validating single-item ESM measures call for</w:t>
      </w:r>
      <w:r>
        <w:t xml:space="preserve"> </w:t>
      </w:r>
      <w:r>
        <w:t xml:space="preserve">concurrent associations at the within-person level, as well as</w:t>
      </w:r>
      <w:r>
        <w:t xml:space="preserve"> </w:t>
      </w:r>
      <w:r>
        <w:t xml:space="preserve">situational sensitivity that demonstrates predictable within-person</w:t>
      </w:r>
      <w:r>
        <w:t xml:space="preserve"> </w:t>
      </w:r>
      <w:r>
        <w:t xml:space="preserve">changes linked to theory-driven contextual correlates.</w:t>
      </w:r>
      <w:r>
        <w:rPr>
          <w:vertAlign w:val="superscript"/>
        </w:rPr>
        <w:t xml:space="preserve">55</w:t>
      </w:r>
      <w:r>
        <w:t xml:space="preserve"> </w:t>
      </w:r>
      <w:r>
        <w:t xml:space="preserve">As a</w:t>
      </w:r>
      <w:r>
        <w:t xml:space="preserve"> </w:t>
      </w:r>
      <w:r>
        <w:t xml:space="preserve">benchmark, within-person concurrent validity is present when a distinct</w:t>
      </w:r>
      <w:r>
        <w:t xml:space="preserve"> </w:t>
      </w:r>
      <w:r>
        <w:t xml:space="preserve">but theoretically related variable significantly predicts the focal</w:t>
      </w:r>
      <w:r>
        <w:t xml:space="preserve"> </w:t>
      </w:r>
      <w:r>
        <w:t xml:space="preserve">outcome with a standardized effect size greater than .09.</w:t>
      </w:r>
      <w:r>
        <w:rPr>
          <w:vertAlign w:val="superscript"/>
        </w:rPr>
        <w:t xml:space="preserve">55</w:t>
      </w:r>
      <w:r>
        <w:t xml:space="preserve"> </w:t>
      </w:r>
      <w:r>
        <w:t xml:space="preserve">For</w:t>
      </w:r>
      <w:r>
        <w:t xml:space="preserve"> </w:t>
      </w:r>
      <w:r>
        <w:t xml:space="preserve">example, one ESM study using multilevel models found that a composite</w:t>
      </w:r>
      <w:r>
        <w:t xml:space="preserve"> </w:t>
      </w:r>
      <w:r>
        <w:t xml:space="preserve">internal consent feelings score significantly predicted both verbal and</w:t>
      </w:r>
      <w:r>
        <w:t xml:space="preserve"> </w:t>
      </w:r>
      <w:r>
        <w:t xml:space="preserve">nonverbal consent cue use and that more intimate encounters predicted</w:t>
      </w:r>
      <w:r>
        <w:t xml:space="preserve"> </w:t>
      </w:r>
      <w:r>
        <w:t xml:space="preserve">higher consent communication within persons (verbal β = .53, p &lt; .001;</w:t>
      </w:r>
      <w:r>
        <w:t xml:space="preserve"> </w:t>
      </w:r>
      <w:r>
        <w:t xml:space="preserve">nonverbal β = .45, p &lt; .001; situational effect β = .32, p &lt;</w:t>
      </w:r>
      <w:r>
        <w:t xml:space="preserve"> </w:t>
      </w:r>
      <w:r>
        <w:t xml:space="preserve">.001).</w:t>
      </w:r>
      <w:r>
        <w:rPr>
          <w:vertAlign w:val="superscript"/>
        </w:rPr>
        <w:t xml:space="preserve">10</w:t>
      </w:r>
      <w:r>
        <w:t xml:space="preserve">.</w:t>
      </w:r>
    </w:p>
    <w:p>
      <w:pPr>
        <w:pStyle w:val="BodyText"/>
      </w:pPr>
      <w:r>
        <w:t xml:space="preserve">To evaluate within-person concurrent validity in the current sample, we</w:t>
      </w:r>
      <w:r>
        <w:t xml:space="preserve"> </w:t>
      </w:r>
      <w:r>
        <w:t xml:space="preserve">examined whether event-level sexual feelings (a composite of subjective</w:t>
      </w:r>
      <w:r>
        <w:t xml:space="preserve"> </w:t>
      </w:r>
      <w:r>
        <w:t xml:space="preserve">arousal and pleasure; psb_feel_wp) predicted same-event verbal and</w:t>
      </w:r>
      <w:r>
        <w:t xml:space="preserve"> </w:t>
      </w:r>
      <w:r>
        <w:t xml:space="preserve">nonverbal consent cue use. Results indicated that when participants</w:t>
      </w:r>
      <w:r>
        <w:t xml:space="preserve"> </w:t>
      </w:r>
      <w:r>
        <w:t xml:space="preserve">reported higher-than-usual sexual feelings during a sexual encounter,</w:t>
      </w:r>
      <w:r>
        <w:t xml:space="preserve"> </w:t>
      </w:r>
      <w:r>
        <w:t xml:space="preserve">they also reported using more verbal (β = 0.17, SE = 0.03, t(348) =</w:t>
      </w:r>
      <w:r>
        <w:t xml:space="preserve"> </w:t>
      </w:r>
      <w:r>
        <w:t xml:space="preserve">5.77, p &lt; .001, 95% CI [0.11, 0.23]) and nonverbal (β = 0.13, SE =</w:t>
      </w:r>
      <w:r>
        <w:t xml:space="preserve"> </w:t>
      </w:r>
      <w:r>
        <w:t xml:space="preserve">0.03, t(345) = 5.27, p &lt; .001, 95% CI [0.08, 0.18]) consent cues.</w:t>
      </w:r>
      <w:r>
        <w:t xml:space="preserve"> </w:t>
      </w:r>
      <w:r>
        <w:t xml:space="preserve">These findings provide evidence of within-person concurrent validity,</w:t>
      </w:r>
      <w:r>
        <w:t xml:space="preserve"> </w:t>
      </w:r>
      <w:r>
        <w:t xml:space="preserve">suggesting that higher situational sexual arousal and pleasure co-occur</w:t>
      </w:r>
      <w:r>
        <w:t xml:space="preserve"> </w:t>
      </w:r>
      <w:r>
        <w:t xml:space="preserve">with greater active consent communication.</w:t>
      </w:r>
    </w:p>
    <w:p>
      <w:pPr>
        <w:pStyle w:val="BodyText"/>
      </w:pPr>
      <w:r>
        <w:t xml:space="preserve">To test event-level situational sensitivity, we examined whether type of</w:t>
      </w:r>
      <w:r>
        <w:t xml:space="preserve"> </w:t>
      </w:r>
      <w:r>
        <w:t xml:space="preserve">sexual behavior (Contact vs. Penetration; act_c) predicted verbal and</w:t>
      </w:r>
      <w:r>
        <w:t xml:space="preserve"> </w:t>
      </w:r>
      <w:r>
        <w:t xml:space="preserve">nonverbal consent cue use. Encounters involving penetration (vs.</w:t>
      </w:r>
      <w:r>
        <w:t xml:space="preserve"> </w:t>
      </w:r>
      <w:r>
        <w:t xml:space="preserve">contact-only) were associated with greater verbal cue use, β = 0.24, SE</w:t>
      </w:r>
      <w:r>
        <w:t xml:space="preserve"> </w:t>
      </w:r>
      <w:r>
        <w:t xml:space="preserve">= 0.04, t(488) = 5.78, p &lt; .001, 95% CI [0.16, 0.32], and greater</w:t>
      </w:r>
      <w:r>
        <w:t xml:space="preserve"> </w:t>
      </w:r>
      <w:r>
        <w:t xml:space="preserve">nonverbal cue use, β = 0.10, SE = 0.04, t(459) = 2.80, p = .005, 95% CI</w:t>
      </w:r>
      <w:r>
        <w:t xml:space="preserve"> </w:t>
      </w:r>
      <w:r>
        <w:t xml:space="preserve">[0.03, 0.17]. These results support situational sensitivity by showing</w:t>
      </w:r>
      <w:r>
        <w:t xml:space="preserve"> </w:t>
      </w:r>
      <w:r>
        <w:t xml:space="preserve">that participants’ consent communication varies appropriately with the</w:t>
      </w:r>
      <w:r>
        <w:t xml:space="preserve"> </w:t>
      </w:r>
      <w:r>
        <w:t xml:space="preserve">intimacy of the sexual behavior reported.</w:t>
      </w:r>
    </w:p>
    <w:bookmarkEnd w:id="44"/>
    <w:bookmarkStart w:id="45" w:name="between-person-validity-evidence"/>
    <w:p>
      <w:pPr>
        <w:pStyle w:val="Heading5"/>
      </w:pPr>
      <w:r>
        <w:t xml:space="preserve">3) Between-person validity evidence</w:t>
      </w:r>
    </w:p>
    <w:p>
      <w:pPr>
        <w:pStyle w:val="FirstParagraph"/>
      </w:pPr>
      <w:r>
        <w:t xml:space="preserve">To satisfy multi-level validity, evidence should demonstrate that the</w:t>
      </w:r>
      <w:r>
        <w:t xml:space="preserve"> </w:t>
      </w:r>
      <w:r>
        <w:t xml:space="preserve">measure functions both within- and between-persons. The previous section</w:t>
      </w:r>
      <w:r>
        <w:t xml:space="preserve"> </w:t>
      </w:r>
      <w:r>
        <w:t xml:space="preserve">offered within-person evidence; here we present between-person evidence</w:t>
      </w:r>
      <w:r>
        <w:t xml:space="preserve"> </w:t>
      </w:r>
      <w:r>
        <w:t xml:space="preserve">and then integrate across levels.</w:t>
      </w:r>
    </w:p>
    <w:p>
      <w:pPr>
        <w:pStyle w:val="BodyText"/>
      </w:pPr>
      <w:r>
        <w:t xml:space="preserve">Recent research by Shi and colleagues offers support for between-person</w:t>
      </w:r>
      <w:r>
        <w:t xml:space="preserve"> </w:t>
      </w:r>
      <w:r>
        <w:t xml:space="preserve">concurrent validity in a sample of Chinese adults in mixed-gender</w:t>
      </w:r>
      <w:r>
        <w:t xml:space="preserve"> </w:t>
      </w:r>
      <w:r>
        <w:t xml:space="preserve">relationships.</w:t>
      </w:r>
      <w:r>
        <w:rPr>
          <w:vertAlign w:val="superscript"/>
        </w:rPr>
        <w:t xml:space="preserve">58</w:t>
      </w:r>
      <w:r>
        <w:t xml:space="preserve"> </w:t>
      </w:r>
      <w:r>
        <w:t xml:space="preserve">Specifically,</w:t>
      </w:r>
      <w:r>
        <w:t xml:space="preserve"> </w:t>
      </w:r>
      <w:r>
        <w:t xml:space="preserve">explicit-verbal consent communication significantly predicted greater</w:t>
      </w:r>
      <w:r>
        <w:t xml:space="preserve"> </w:t>
      </w:r>
      <w:r>
        <w:t xml:space="preserve">sexual satisfaction during participants’ most recent sexual event with</w:t>
      </w:r>
      <w:r>
        <w:t xml:space="preserve"> </w:t>
      </w:r>
      <w:r>
        <w:t xml:space="preserve">their partner (β = .31, SE = .01,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.10,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.001), and</w:t>
      </w:r>
      <w:r>
        <w:t xml:space="preserve"> </w:t>
      </w:r>
      <w:r>
        <w:t xml:space="preserve">implict-nonverbal consent communication significantly predicted greater</w:t>
      </w:r>
      <w:r>
        <w:t xml:space="preserve"> </w:t>
      </w:r>
      <w:r>
        <w:t xml:space="preserve">sexual satisfaction in general (β = .13, SE = .01,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= .08,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</w:t>
      </w:r>
      <w:r>
        <w:t xml:space="preserve"> </w:t>
      </w:r>
      <w:r>
        <w:t xml:space="preserve">.001).</w:t>
      </w:r>
      <w:r>
        <w:rPr>
          <w:vertAlign w:val="superscript"/>
        </w:rPr>
        <w:t xml:space="preserve">58</w:t>
      </w:r>
      <w:r>
        <w:t xml:space="preserve"> </w:t>
      </w:r>
      <w:r>
        <w:t xml:space="preserve">These findings indicate that</w:t>
      </w:r>
      <w:r>
        <w:t xml:space="preserve"> </w:t>
      </w:r>
      <w:r>
        <w:t xml:space="preserve">individuals who report higher levels of external consent communication</w:t>
      </w:r>
      <w:r>
        <w:t xml:space="preserve"> </w:t>
      </w:r>
      <w:r>
        <w:t xml:space="preserve">also report higher sexual satisfaction, consistent with theoretical</w:t>
      </w:r>
      <w:r>
        <w:t xml:space="preserve"> </w:t>
      </w:r>
      <w:r>
        <w:t xml:space="preserve">expectations.</w:t>
      </w:r>
    </w:p>
    <w:p>
      <w:pPr>
        <w:pStyle w:val="BodyText"/>
      </w:pPr>
      <w:r>
        <w:t xml:space="preserve">To evaluate between-person convergent validity in the current sample,</w:t>
      </w:r>
      <w:r>
        <w:t xml:space="preserve"> </w:t>
      </w:r>
      <w:r>
        <w:t xml:space="preserve">participants’ baseline reports of verbal (</w:t>
      </w:r>
      <w:r>
        <w:rPr>
          <w:rStyle w:val="VerbatimChar"/>
        </w:rPr>
        <w:t xml:space="preserve">v_on</w:t>
      </w:r>
      <w:r>
        <w:t xml:space="preserve">:</w:t>
      </w:r>
      <w:r>
        <w:t xml:space="preserve"> </w:t>
      </w:r>
      <w:r>
        <w:t xml:space="preserve">“I always ask verbally</w:t>
      </w:r>
      <w:r>
        <w:t xml:space="preserve"> </w:t>
      </w:r>
      <w:r>
        <w:t xml:space="preserve">for consent at each step of a sexual encounter”</w:t>
      </w:r>
      <w:r>
        <w:t xml:space="preserve">) and nonverbal</w:t>
      </w:r>
      <w:r>
        <w:t xml:space="preserve"> </w:t>
      </w:r>
      <w:r>
        <w:t xml:space="preserve">(</w:t>
      </w:r>
      <w:r>
        <w:rPr>
          <w:rStyle w:val="VerbatimChar"/>
        </w:rPr>
        <w:t xml:space="preserve">non_vrb_bsl</w:t>
      </w:r>
      <w:r>
        <w:t xml:space="preserve">:</w:t>
      </w:r>
      <w:r>
        <w:t xml:space="preserve"> </w:t>
      </w:r>
      <w:r>
        <w:t xml:space="preserve">“Typically, I communicate sexual consent to my partner</w:t>
      </w:r>
      <w:r>
        <w:t xml:space="preserve"> </w:t>
      </w:r>
      <w:r>
        <w:t xml:space="preserve">using nonverbal signals and body language”</w:t>
      </w:r>
      <w:r>
        <w:t xml:space="preserve">) consent were correlated with</w:t>
      </w:r>
      <w:r>
        <w:t xml:space="preserve"> </w:t>
      </w:r>
      <w:r>
        <w:t xml:space="preserve">person-level aggregates of the same behaviors from the diary</w:t>
      </w:r>
      <w:r>
        <w:t xml:space="preserve"> </w:t>
      </w:r>
      <w:r>
        <w:t xml:space="preserve">(</w:t>
      </w:r>
      <w:r>
        <w:rPr>
          <w:rStyle w:val="VerbatimChar"/>
        </w:rPr>
        <w:t xml:space="preserve">verbal_means</w:t>
      </w:r>
      <w:r>
        <w:t xml:space="preserve">: mean verbal cue use across events;</w:t>
      </w:r>
      <w:r>
        <w:t xml:space="preserve"> </w:t>
      </w:r>
      <w:r>
        <w:rPr>
          <w:rStyle w:val="VerbatimChar"/>
        </w:rPr>
        <w:t xml:space="preserve">mean_nonverb</w:t>
      </w:r>
      <w:r>
        <w:t xml:space="preserve">: mean</w:t>
      </w:r>
      <w:r>
        <w:t xml:space="preserve"> </w:t>
      </w:r>
      <w:r>
        <w:t xml:space="preserve">nonverbal cue use across events). Aggregating diary data between persons</w:t>
      </w:r>
      <w:r>
        <w:t xml:space="preserve"> </w:t>
      </w:r>
      <w:r>
        <w:t xml:space="preserve">aligned with the level of analysis for the baseline measures and</w:t>
      </w:r>
      <w:r>
        <w:t xml:space="preserve"> </w:t>
      </w:r>
      <w:r>
        <w:t xml:space="preserve">respected the hierarchical structure.</w:t>
      </w:r>
    </w:p>
    <w:p>
      <w:pPr>
        <w:pStyle w:val="BodyText"/>
      </w:pPr>
      <w:r>
        <w:rPr>
          <w:b/>
          <w:bCs/>
        </w:rPr>
        <w:t xml:space="preserve">Verbal cues.</w:t>
      </w:r>
      <w:r>
        <w:t xml:space="preserve"> </w:t>
      </w:r>
      <w:r>
        <w:t xml:space="preserve">Participants who reported greater use of verbal consent</w:t>
      </w:r>
      <w:r>
        <w:t xml:space="preserve"> </w:t>
      </w:r>
      <w:r>
        <w:t xml:space="preserve">cues at baseline also tended to report higher average verbal cue use</w:t>
      </w:r>
      <w:r>
        <w:t xml:space="preserve"> </w:t>
      </w:r>
      <w:r>
        <w:t xml:space="preserve">across diary-reported encounters,</w:t>
      </w:r>
      <w:r>
        <w:t xml:space="preserve"> </w:t>
      </w:r>
      <w:r>
        <w:rPr>
          <w:i/>
          <w:iCs/>
        </w:rPr>
        <w:t xml:space="preserve">r</w:t>
      </w:r>
      <w:r>
        <w:t xml:space="preserve">(152) = .54,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.001.</w:t>
      </w:r>
    </w:p>
    <w:p>
      <w:pPr>
        <w:pStyle w:val="BodyText"/>
      </w:pPr>
      <w:r>
        <w:rPr>
          <w:b/>
          <w:bCs/>
        </w:rPr>
        <w:t xml:space="preserve">Nonverbal cues.</w:t>
      </w:r>
      <w:r>
        <w:t xml:space="preserve"> </w:t>
      </w:r>
      <w:r>
        <w:t xml:space="preserve">The corresponding association for nonverbal consent</w:t>
      </w:r>
      <w:r>
        <w:t xml:space="preserve"> </w:t>
      </w:r>
      <w:r>
        <w:t xml:space="preserve">cues was smaller but significant,</w:t>
      </w:r>
      <w:r>
        <w:t xml:space="preserve"> </w:t>
      </w:r>
      <w:r>
        <w:rPr>
          <w:i/>
          <w:iCs/>
        </w:rPr>
        <w:t xml:space="preserve">r</w:t>
      </w:r>
      <w:r>
        <w:t xml:space="preserve">(152) = .20,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.001,</w:t>
      </w:r>
      <w:r>
        <w:t xml:space="preserve"> </w:t>
      </w:r>
      <w:r>
        <w:t xml:space="preserve">indicating a consistent relationship between baseline and event-level</w:t>
      </w:r>
      <w:r>
        <w:t xml:space="preserve"> </w:t>
      </w:r>
      <w:r>
        <w:t xml:space="preserve">nonverbal consent communication.</w:t>
      </w:r>
    </w:p>
    <w:bookmarkEnd w:id="45"/>
    <w:bookmarkEnd w:id="46"/>
    <w:bookmarkEnd w:id="47"/>
    <w:bookmarkEnd w:id="48"/>
    <w:bookmarkStart w:id="74" w:name="analytic-strategy"/>
    <w:p>
      <w:pPr>
        <w:pStyle w:val="Heading2"/>
      </w:pPr>
      <w:r>
        <w:t xml:space="preserve">Analytic Strategy</w:t>
      </w:r>
    </w:p>
    <w:p>
      <w:pPr>
        <w:pStyle w:val="FirstParagraph"/>
      </w:pPr>
      <w:r>
        <w:t xml:space="preserve">Analyses were conducted in parallel frameworks. We selected Linear</w:t>
      </w:r>
      <w:r>
        <w:t xml:space="preserve"> </w:t>
      </w:r>
      <w:r>
        <w:t xml:space="preserve">Mixed-Effects Models (LMEM) for primary analyses and fit these</w:t>
      </w:r>
      <w:r>
        <w:t xml:space="preserve"> </w:t>
      </w:r>
      <w:r>
        <w:t xml:space="preserve">multilevel models using the</w:t>
      </w:r>
      <w:r>
        <w:t xml:space="preserve"> </w:t>
      </w:r>
      <w:r>
        <w:rPr>
          <w:rStyle w:val="VerbatimChar"/>
        </w:rPr>
        <w:t xml:space="preserve">lme4</w:t>
      </w:r>
      <w:r>
        <w:t xml:space="preserve"> </w:t>
      </w:r>
      <w:r>
        <w:t xml:space="preserve">package in R.</w:t>
      </w:r>
      <w:r>
        <w:rPr>
          <w:vertAlign w:val="superscript"/>
        </w:rPr>
        <w:t xml:space="preserve">60</w:t>
      </w:r>
    </w:p>
    <w:p>
      <w:pPr>
        <w:pStyle w:val="BodyText"/>
      </w:pPr>
      <w:r>
        <w:t xml:space="preserve">Cumulative Link Mixed Models (CLMMs) were selected for use a secondary</w:t>
      </w:r>
      <w:r>
        <w:t xml:space="preserve"> </w:t>
      </w:r>
      <w:r>
        <w:t xml:space="preserve">robustness check. These secondary analyses were conducted in R using the</w:t>
      </w:r>
      <w:r>
        <w:t xml:space="preserve"> </w:t>
      </w:r>
      <w:r>
        <w:rPr>
          <w:rStyle w:val="VerbatimChar"/>
        </w:rPr>
        <w:t xml:space="preserve">ordinal</w:t>
      </w:r>
      <w:r>
        <w:t xml:space="preserve"> </w:t>
      </w:r>
      <w:r>
        <w:t xml:space="preserve">package.</w:t>
      </w:r>
      <w:r>
        <w:rPr>
          <w:vertAlign w:val="superscript"/>
        </w:rPr>
        <w:t xml:space="preserve">62</w:t>
      </w:r>
      <w:r>
        <w:t xml:space="preserve"> </w:t>
      </w:r>
      <w:r>
        <w:t xml:space="preserve">CLMMs estimate</w:t>
      </w:r>
      <w:r>
        <w:t xml:space="preserve"> </w:t>
      </w:r>
      <w:r>
        <w:t xml:space="preserve">the cumulative probability of being at or above each ordered response</w:t>
      </w:r>
      <w:r>
        <w:t xml:space="preserve"> </w:t>
      </w:r>
      <w:r>
        <w:t xml:space="preserve">category (i.e., level of the outcome variable) and allow for inclusion</w:t>
      </w:r>
      <w:r>
        <w:t xml:space="preserve"> </w:t>
      </w:r>
      <w:r>
        <w:t xml:space="preserve">of random effects to account for the nonindependence of repeated</w:t>
      </w:r>
      <w:r>
        <w:t xml:space="preserve"> </w:t>
      </w:r>
      <w:r>
        <w:t xml:space="preserve">observations. This approach also handles non-normal outcomes</w:t>
      </w:r>
      <w:r>
        <w:t xml:space="preserve"> </w:t>
      </w:r>
      <w:r>
        <w:t xml:space="preserve">appropriately without assuming equal intervals between</w:t>
      </w:r>
      <w:r>
        <w:t xml:space="preserve"> </w:t>
      </w:r>
      <w:r>
        <w:t xml:space="preserve">categories.</w:t>
      </w:r>
      <w:r>
        <w:rPr>
          <w:vertAlign w:val="superscript"/>
        </w:rPr>
        <w:t xml:space="preserve">63</w:t>
      </w:r>
    </w:p>
    <w:p>
      <w:pPr>
        <w:pStyle w:val="BodyText"/>
      </w:pPr>
      <w:r>
        <w:t xml:space="preserve">Robustness was evaluated based on consistency in the direction and</w:t>
      </w:r>
      <w:r>
        <w:t xml:space="preserve"> </w:t>
      </w:r>
      <w:r>
        <w:t xml:space="preserve">significance of effects across modeling frameworks.</w:t>
      </w:r>
    </w:p>
    <w:bookmarkStart w:id="49" w:name="data-structure-and-iccs"/>
    <w:p>
      <w:pPr>
        <w:pStyle w:val="Heading3"/>
      </w:pPr>
      <w:r>
        <w:t xml:space="preserve">Data structure and ICCs</w:t>
      </w:r>
    </w:p>
    <w:p>
      <w:pPr>
        <w:pStyle w:val="FirstParagraph"/>
      </w:pPr>
      <w:r>
        <w:t xml:space="preserve">Each participant received one diary survey per day for 28 consecutive</w:t>
      </w:r>
      <w:r>
        <w:t xml:space="preserve"> </w:t>
      </w:r>
      <w:r>
        <w:t xml:space="preserve">days. Responses were not statistically independent because participants</w:t>
      </w:r>
      <w:r>
        <w:t xml:space="preserve"> </w:t>
      </w:r>
      <w:r>
        <w:t xml:space="preserve">contributed multiple event-level observations. Daily diary reports that</w:t>
      </w:r>
      <w:r>
        <w:t xml:space="preserve"> </w:t>
      </w:r>
      <w:r>
        <w:t xml:space="preserve">captured sexual activity involving physical contact with another person</w:t>
      </w:r>
      <w:r>
        <w:t xml:space="preserve"> </w:t>
      </w:r>
      <w:r>
        <w:t xml:space="preserve">(hereafter referred to as sexual events) were retained for analysis. The</w:t>
      </w:r>
      <w:r>
        <w:t xml:space="preserve"> </w:t>
      </w:r>
      <w:r>
        <w:t xml:space="preserve">full study period spanned approximately 80 days, during which different</w:t>
      </w:r>
      <w:r>
        <w:t xml:space="preserve"> </w:t>
      </w:r>
      <w:r>
        <w:t xml:space="preserve">participants sometimes reported sexual events on the same calendar date;</w:t>
      </w:r>
      <w:r>
        <w:t xml:space="preserve"> </w:t>
      </w:r>
      <w:r>
        <w:t xml:space="preserve">however, no individual participant contributed more than one event for</w:t>
      </w:r>
      <w:r>
        <w:t xml:space="preserve"> </w:t>
      </w:r>
      <w:r>
        <w:t xml:space="preserve">any given day. Consequently, Level 1 units were sexual-event days nested</w:t>
      </w:r>
      <w:r>
        <w:t xml:space="preserve"> </w:t>
      </w:r>
      <w:r>
        <w:t xml:space="preserve">within participants (Level 2). Models included random intercepts for</w:t>
      </w:r>
      <w:r>
        <w:t xml:space="preserve"> </w:t>
      </w:r>
      <w:r>
        <w:t xml:space="preserve">participant</w:t>
      </w:r>
      <w:r>
        <w:t xml:space="preserve"> </w:t>
      </w:r>
      <w:r>
        <w:rPr>
          <w:rStyle w:val="VerbatimChar"/>
        </w:rPr>
        <w:t xml:space="preserve">(1|nid)</w:t>
      </w:r>
      <w:r>
        <w:t xml:space="preserve"> </w:t>
      </w:r>
      <w:r>
        <w:t xml:space="preserve">to model between-person differences in baseline</w:t>
      </w:r>
      <w:r>
        <w:t xml:space="preserve"> </w:t>
      </w:r>
      <w:r>
        <w:t xml:space="preserve">cue-use propensity. Random slopes for time-varying predictors were</w:t>
      </w:r>
      <w:r>
        <w:t xml:space="preserve"> </w:t>
      </w:r>
      <w:r>
        <w:t xml:space="preserve">included when supported by identifiable variance. Preliminary LMEMs were</w:t>
      </w:r>
      <w:r>
        <w:t xml:space="preserve"> </w:t>
      </w:r>
      <w:r>
        <w:t xml:space="preserve">fit with and without random slopes for within-person predictors to</w:t>
      </w:r>
      <w:r>
        <w:t xml:space="preserve"> </w:t>
      </w:r>
      <w:r>
        <w:t xml:space="preserve">determine the appropriate random-effects structure. Models were compared</w:t>
      </w:r>
      <w:r>
        <w:t xml:space="preserve"> </w:t>
      </w:r>
      <w:r>
        <w:t xml:space="preserve">via likelihood-ratio tests (LRTs) and information criteria; those with</w:t>
      </w:r>
      <w:r>
        <w:t xml:space="preserve"> </w:t>
      </w:r>
      <w:r>
        <w:t xml:space="preserve">relatively smaller values for the Akaike Index Criterion (AIC) and</w:t>
      </w:r>
      <w:r>
        <w:t xml:space="preserve"> </w:t>
      </w:r>
      <w:r>
        <w:t xml:space="preserve">Bayesian Index Criterion (BIC) were considered to fit the data better.</w:t>
      </w:r>
    </w:p>
    <w:p>
      <w:pPr>
        <w:pStyle w:val="BodyText"/>
      </w:pPr>
      <w:r>
        <w:t xml:space="preserve">To assess the extent to which participants’ reports of consent cue use</w:t>
      </w:r>
      <w:r>
        <w:t xml:space="preserve"> </w:t>
      </w:r>
      <w:r>
        <w:t xml:space="preserve">varied within versus between individuals across sexual encounters,</w:t>
      </w:r>
      <w:r>
        <w:t xml:space="preserve"> </w:t>
      </w:r>
      <w:r>
        <w:t xml:space="preserve">intraclass correlation coefficients (ICCs) were calculated for LMEMs on</w:t>
      </w:r>
      <w:r>
        <w:t xml:space="preserve"> </w:t>
      </w:r>
      <w:r>
        <w:t xml:space="preserve">the transformed outcomes and via unconditional random-intercept CLMMs</w:t>
      </w:r>
      <w:r>
        <w:t xml:space="preserve"> </w:t>
      </w:r>
      <w:r>
        <w:t xml:space="preserve">for ordinal outcomes. ICCs quantified the proportion of total variance</w:t>
      </w:r>
      <w:r>
        <w:t xml:space="preserve"> </w:t>
      </w:r>
      <w:r>
        <w:t xml:space="preserve">in each outcome that was attributable to stable, between-person</w:t>
      </w:r>
      <w:r>
        <w:t xml:space="preserve"> </w:t>
      </w:r>
      <w:r>
        <w:t xml:space="preserve">differences (range = 0–1); the remaining proportion reflected</w:t>
      </w:r>
      <w:r>
        <w:t xml:space="preserve"> </w:t>
      </w:r>
      <w:r>
        <w:t xml:space="preserve">within-person variability across repeated observations. Although ICCs</w:t>
      </w:r>
      <w:r>
        <w:t xml:space="preserve"> </w:t>
      </w:r>
      <w:r>
        <w:t xml:space="preserve">are conceptually identical across modeling frameworks, they must be</w:t>
      </w:r>
      <w:r>
        <w:t xml:space="preserve"> </w:t>
      </w:r>
      <w:r>
        <w:t xml:space="preserve">estimated on the latent logistic scale for ordinal outcomes analyzed</w:t>
      </w:r>
      <w:r>
        <w:t xml:space="preserve"> </w:t>
      </w:r>
      <w:r>
        <w:t xml:space="preserve">with CLMMs rather than on the continuous scale used in LMEMs. This</w:t>
      </w:r>
      <w:r>
        <w:t xml:space="preserve"> </w:t>
      </w:r>
      <w:r>
        <w:t xml:space="preserve">distinction is important because ordinal outcomes do not have a directly</w:t>
      </w:r>
      <w:r>
        <w:t xml:space="preserve"> </w:t>
      </w:r>
      <w:r>
        <w:t xml:space="preserve">estimated residual variance; instead, the residual variance is fixed at</w:t>
      </w:r>
      <w:r>
        <w:t xml:space="preserve"> </w:t>
      </w:r>
      <m:oMath>
        <m:sSup>
          <m:e>
            <m:r>
              <m:t>π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on the logistic scale.</w:t>
      </w:r>
      <w:r>
        <w:rPr>
          <w:vertAlign w:val="superscript"/>
        </w:rPr>
        <w:t xml:space="preserve">64</w:t>
      </w:r>
      <w:r>
        <w:t xml:space="preserve"> </w:t>
      </w:r>
      <w:r>
        <w:t xml:space="preserve">The variance of the</w:t>
      </w:r>
      <w:r>
        <w:t xml:space="preserve"> </w:t>
      </w:r>
      <w:r>
        <w:t xml:space="preserve">random intercept (</w:t>
      </w:r>
      <m:oMath>
        <m:sSubSup>
          <m:e>
            <m:r>
              <m:t>σ</m:t>
            </m:r>
          </m:e>
          <m:sub>
            <m:r>
              <m:t>u</m:t>
            </m:r>
            <m:r>
              <m:t>0</m:t>
            </m:r>
          </m:sub>
          <m:sup>
            <m:r>
              <m:t>2</m:t>
            </m:r>
          </m:sup>
        </m:sSubSup>
      </m:oMath>
      <w:r>
        <w:t xml:space="preserve">) was therefore extracted from each</w:t>
      </w:r>
      <w:r>
        <w:t xml:space="preserve"> </w:t>
      </w:r>
      <w:r>
        <w:t xml:space="preserve">unconditional CLMM and combined with the fixed residual variance on the</w:t>
      </w:r>
      <w:r>
        <w:t xml:space="preserve"> </w:t>
      </w:r>
      <w:r>
        <w:t xml:space="preserve">latent logistic scale according to the formula presented below.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C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u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u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</m:den>
          </m:f>
        </m:oMath>
      </m:oMathPara>
    </w:p>
    <w:bookmarkEnd w:id="49"/>
    <w:bookmarkStart w:id="50" w:name="variable-preparation-and-centering"/>
    <w:p>
      <w:pPr>
        <w:pStyle w:val="Heading3"/>
      </w:pPr>
      <w:r>
        <w:t xml:space="preserve">Variable preparation and centering</w:t>
      </w:r>
    </w:p>
    <w:p>
      <w:pPr>
        <w:pStyle w:val="FirstParagraph"/>
      </w:pPr>
      <w:r>
        <w:t xml:space="preserve">Time-varying predictors were decomposed into within-person and</w:t>
      </w:r>
      <w:r>
        <w:t xml:space="preserve"> </w:t>
      </w:r>
      <w:r>
        <w:t xml:space="preserve">between-person components. Specifically, each time-varying predictor</w:t>
      </w:r>
      <w:r>
        <w:t xml:space="preserve"> </w:t>
      </w:r>
      <m:oMath>
        <m:r>
          <m:t>X</m:t>
        </m:r>
        <m:r>
          <m:t>i</m:t>
        </m:r>
        <m:r>
          <m:t>j</m:t>
        </m:r>
      </m:oMath>
      <w:r>
        <w:t xml:space="preserve"> </w:t>
      </w:r>
      <w:r>
        <w:t xml:space="preserve">(event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 person</w:t>
      </w:r>
      <w:r>
        <w:t xml:space="preserve"> </w:t>
      </w:r>
      <m:oMath>
        <m:r>
          <m:t>j</m:t>
        </m:r>
      </m:oMath>
      <w:r>
        <w:t xml:space="preserve">) was person-mean centered to compute the</w:t>
      </w:r>
      <w:r>
        <w:t xml:space="preserve"> </w:t>
      </w:r>
      <w:r>
        <w:t xml:space="preserve">person-mean deviation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  <m:r>
              <m:t>j</m:t>
            </m:r>
          </m:sub>
          <m:sup>
            <m:r>
              <m:t>c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.</m:t>
            </m:r>
            <m:r>
              <m:t>j</m:t>
            </m:r>
          </m:sub>
        </m:sSub>
      </m:oMath>
      <w:r>
        <w:t xml:space="preserve">, modeled at</w:t>
      </w:r>
      <w:r>
        <w:t xml:space="preserve"> </w:t>
      </w:r>
      <w:r>
        <w:t xml:space="preserve">Level 1. Person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.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were</w:t>
      </w:r>
      <w:r>
        <w:t xml:space="preserve"> </w:t>
      </w:r>
      <w:r>
        <w:t xml:space="preserve">then grand-mean centered for inclusion in models as Level-2 predictors.</w:t>
      </w:r>
      <w:r>
        <w:t xml:space="preserve"> </w:t>
      </w:r>
      <w:r>
        <w:t xml:space="preserve">Level-1 categorical variables also were decomposed.</w:t>
      </w:r>
    </w:p>
    <w:p>
      <w:pPr>
        <w:pStyle w:val="BodyText"/>
      </w:pPr>
      <w:r>
        <w:t xml:space="preserve">Models then included both the within-person effect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(does a</w:t>
      </w:r>
      <w:r>
        <w:t xml:space="preserve"> </w:t>
      </w:r>
      <w:r>
        <w:t xml:space="preserve">participant use more consent cues on days when they are above their own</w:t>
      </w:r>
      <w:r>
        <w:t xml:space="preserve"> </w:t>
      </w:r>
      <w:r>
        <w:t xml:space="preserve">typical level of</w:t>
      </w:r>
      <w:r>
        <w:t xml:space="preserve"> </w:t>
      </w:r>
      <m:oMath>
        <m:r>
          <m:t>X</m:t>
        </m:r>
      </m:oMath>
      <w:r>
        <w:t xml:space="preserve">?) and the between-person effect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rPr>
                <m:sty m:val="p"/>
              </m:rPr>
              <m:t>.</m:t>
            </m:r>
            <m:r>
              <m:t>j</m:t>
            </m:r>
          </m:sub>
        </m:sSub>
      </m:oMath>
      <w:r>
        <w:t xml:space="preserve"> </w:t>
      </w:r>
      <w:r>
        <w:t xml:space="preserve">(do</w:t>
      </w:r>
      <w:r>
        <w:t xml:space="preserve"> </w:t>
      </w:r>
      <w:r>
        <w:t xml:space="preserve">participants with higher typical levels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use more consent cues</w:t>
      </w:r>
      <w:r>
        <w:t xml:space="preserve"> </w:t>
      </w:r>
      <w:r>
        <w:t xml:space="preserve">overall?), which yielded separate coefficients. For CLMMs, these</w:t>
      </w:r>
      <w:r>
        <w:t xml:space="preserve"> </w:t>
      </w:r>
      <w:r>
        <w:t xml:space="preserve">coefficients represent distinct effects on the cumulative log-odds of</w:t>
      </w:r>
      <w:r>
        <w:t xml:space="preserve"> </w:t>
      </w:r>
      <w:r>
        <w:t xml:space="preserve">endorsing higher cue-use categories.</w:t>
      </w:r>
    </w:p>
    <w:p>
      <w:pPr>
        <w:pStyle w:val="BodyText"/>
      </w:pPr>
      <w:r>
        <w:t xml:space="preserve">Time-invariant, person-level variables also were grand-mean centered to</w:t>
      </w:r>
      <w:r>
        <w:t xml:space="preserve"> </w:t>
      </w:r>
      <w:r>
        <w:t xml:space="preserve">place the model intercept at a meaningful reference and to reduce</w:t>
      </w:r>
      <w:r>
        <w:t xml:space="preserve"> </w:t>
      </w:r>
      <w:r>
        <w:t xml:space="preserve">collinearity between intercepts and slopes. Continuous predictors were</w:t>
      </w:r>
      <w:r>
        <w:t xml:space="preserve"> </w:t>
      </w:r>
      <w:r>
        <w:t xml:space="preserve">scaled per SD for interpretability. Finally, we dummy-coded nominal</w:t>
      </w:r>
      <w:r>
        <w:t xml:space="preserve"> </w:t>
      </w:r>
      <w:r>
        <w:t xml:space="preserve">predictors as factors with a theoretically-neutral referent and</w:t>
      </w:r>
      <w:r>
        <w:t xml:space="preserve"> </w:t>
      </w:r>
      <w:r>
        <w:t xml:space="preserve">contrast-coded ordered predictors.</w:t>
      </w:r>
    </w:p>
    <w:bookmarkEnd w:id="50"/>
    <w:bookmarkStart w:id="71" w:name="diagnostics"/>
    <w:p>
      <w:pPr>
        <w:pStyle w:val="Heading3"/>
      </w:pPr>
      <w:r>
        <w:t xml:space="preserve">Diagnostics</w:t>
      </w:r>
    </w:p>
    <w:p>
      <w:pPr>
        <w:pStyle w:val="FirstParagraph"/>
      </w:pPr>
      <w:r>
        <w:t xml:space="preserve">The continuous event-level outcome variables representing verbal</w:t>
      </w:r>
      <w:r>
        <w:t xml:space="preserve"> </w:t>
      </w:r>
      <w:r>
        <w:t xml:space="preserve">(</w:t>
      </w:r>
      <w:r>
        <w:rPr>
          <w:rStyle w:val="VerbatimChar"/>
        </w:rPr>
        <w:t xml:space="preserve">verb</w:t>
      </w:r>
      <w:r>
        <w:t xml:space="preserve">) and nonverbal (</w:t>
      </w:r>
      <w:r>
        <w:rPr>
          <w:rStyle w:val="VerbatimChar"/>
        </w:rPr>
        <w:t xml:space="preserve">nvrb</w:t>
      </w:r>
      <w:r>
        <w:t xml:space="preserve">) consent cue use were visually and</w:t>
      </w:r>
      <w:r>
        <w:t xml:space="preserve"> </w:t>
      </w:r>
      <w:r>
        <w:t xml:space="preserve">statistically evaluated for distributional properties. The research team</w:t>
      </w:r>
      <w:r>
        <w:t xml:space="preserve"> </w:t>
      </w:r>
      <w:r>
        <w:t xml:space="preserve">that developed the consent cue items elected to measure each variable on</w:t>
      </w:r>
      <w:r>
        <w:t xml:space="preserve"> </w:t>
      </w:r>
      <w:r>
        <w:t xml:space="preserve">a unipolar 11-point sliding scale in accordance with preexisting</w:t>
      </w:r>
      <w:r>
        <w:t xml:space="preserve"> </w:t>
      </w:r>
      <w:r>
        <w:t xml:space="preserve">recommendations for selecting response formats for ESM</w:t>
      </w:r>
      <w:r>
        <w:t xml:space="preserve"> </w:t>
      </w:r>
      <w:r>
        <w:t xml:space="preserve">measures.</w:t>
      </w:r>
      <w:r>
        <w:rPr>
          <w:vertAlign w:val="superscript"/>
        </w:rPr>
        <w:t xml:space="preserve">53</w:t>
      </w:r>
      <w:r>
        <w:t xml:space="preserve"> </w:t>
      </w:r>
      <w:r>
        <w:t xml:space="preserve">We used the</w:t>
      </w:r>
      <w:r>
        <w:t xml:space="preserve"> </w:t>
      </w:r>
      <w:r>
        <w:t xml:space="preserve">same response format, such that each variable was measured on an</w:t>
      </w:r>
      <w:r>
        <w:t xml:space="preserve"> </w:t>
      </w:r>
      <w:r>
        <w:t xml:space="preserve">11-point sliding scale (0–10;</w:t>
      </w:r>
      <w:r>
        <w:t xml:space="preserve"> </w:t>
      </w:r>
      <w:r>
        <w:t xml:space="preserve">“Not at all”</w:t>
      </w:r>
      <w:r>
        <w:t xml:space="preserve"> </w:t>
      </w:r>
      <w:r>
        <w:t xml:space="preserve">to</w:t>
      </w:r>
      <w:r>
        <w:t xml:space="preserve"> </w:t>
      </w:r>
      <w:r>
        <w:t xml:space="preserve">“Very much”</w:t>
      </w:r>
      <w:r>
        <w:t xml:space="preserve">), reflecting</w:t>
      </w:r>
      <w:r>
        <w:t xml:space="preserve"> </w:t>
      </w:r>
      <w:r>
        <w:t xml:space="preserve">how much participants used verbal and nonverbal cues to communicate</w:t>
      </w:r>
      <w:r>
        <w:t xml:space="preserve"> </w:t>
      </w:r>
      <w:r>
        <w:t xml:space="preserve">consent during a sexual encounter.</w:t>
      </w:r>
    </w:p>
    <w:p>
      <w:pPr>
        <w:pStyle w:val="BodyText"/>
      </w:pPr>
      <w:r>
        <w:t xml:space="preserve">Histograms and summary statistics were inspected to assess normality,</w:t>
      </w:r>
      <w:r>
        <w:t xml:space="preserve"> </w:t>
      </w:r>
      <w:r>
        <w:t xml:space="preserve">skewness, and potential ceiling or floor effects. Non-normal</w:t>
      </w:r>
      <w:r>
        <w:t xml:space="preserve"> </w:t>
      </w:r>
      <w:r>
        <w:t xml:space="preserve">distributions were observed for both verbal and nonverbal cues.</w:t>
      </w:r>
      <w:r>
        <w:t xml:space="preserve"> </w:t>
      </w:r>
      <w:r>
        <w:t xml:space="preserve">Specifically, the distributions were right-skewed, showing pronounced</w:t>
      </w:r>
      <w:r>
        <w:t xml:space="preserve"> </w:t>
      </w:r>
      <w:r>
        <w:t xml:space="preserve">piling at the maximum value (10), suggesting limited variability among</w:t>
      </w:r>
      <w:r>
        <w:t xml:space="preserve"> </w:t>
      </w:r>
      <w:r>
        <w:t xml:space="preserve">participants reporting high levels of cue use.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3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fig1-fig-3-output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Raw, continuous nonverbal cue distribution.</w:t>
            </w:r>
          </w:p>
          <w:bookmarkEnd w:id="5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55">
        <w:r>
          <w:rPr>
            <w:rStyle w:val="Hyperlink"/>
            <w:vertAlign w:val="subscript"/>
          </w:rPr>
          <w:t xml:space="preserve">Figures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1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fig1-fig-1-output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Raw, continuous verbal cue distribution.</w:t>
            </w:r>
          </w:p>
          <w:bookmarkEnd w:id="59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0">
        <w:r>
          <w:rPr>
            <w:rStyle w:val="Hyperlink"/>
            <w:vertAlign w:val="subscript"/>
          </w:rPr>
          <w:t xml:space="preserve">Figures</w:t>
        </w:r>
      </w:hyperlink>
    </w:p>
    <w:p>
      <w:pPr>
        <w:pStyle w:val="BodyText"/>
      </w:pPr>
      <w:r>
        <w:t xml:space="preserve">We applied a Yeo–Johnson power transformation to the bounded 0–10</w:t>
      </w:r>
      <w:r>
        <w:t xml:space="preserve"> </w:t>
      </w:r>
      <w:r>
        <w:t xml:space="preserve">cue-use outcomes to reduce skew and improve adherence to LMEM</w:t>
      </w:r>
      <w:r>
        <w:t xml:space="preserve"> </w:t>
      </w:r>
      <w:r>
        <w:t xml:space="preserve">distributional assumptions. The Yeo–Johnson transformation is a</w:t>
      </w:r>
      <w:r>
        <w:t xml:space="preserve"> </w:t>
      </w:r>
      <w:r>
        <w:t xml:space="preserve">monotonic power transformation that accommodates zeros and selects an</w:t>
      </w:r>
      <w:r>
        <w:t xml:space="preserve"> </w:t>
      </w:r>
      <w:r>
        <w:t xml:space="preserve">optimal power parameter (λ) based on the observed</w:t>
      </w:r>
      <w:r>
        <w:t xml:space="preserve"> </w:t>
      </w:r>
      <w:r>
        <w:t xml:space="preserve">distribution.</w:t>
      </w:r>
      <w:r>
        <w:rPr>
          <w:vertAlign w:val="superscript"/>
        </w:rPr>
        <w:t xml:space="preserve">65</w:t>
      </w:r>
      <w:r>
        <w:t xml:space="preserve"> </w:t>
      </w:r>
      <w:r>
        <w:t xml:space="preserve">We then evaluated model assumptions on the</w:t>
      </w:r>
      <w:r>
        <w:t xml:space="preserve"> </w:t>
      </w:r>
      <w:r>
        <w:t xml:space="preserve">transformed scale using residual diagnostics. No substantial deviations</w:t>
      </w:r>
      <w:r>
        <w:t xml:space="preserve"> </w:t>
      </w:r>
      <w:r>
        <w:t xml:space="preserve">from normality were observed.</w:t>
      </w:r>
    </w:p>
    <w:p>
      <w:pPr>
        <w:pStyle w:val="BodyText"/>
      </w:pPr>
      <w:r>
        <w:t xml:space="preserve">For CLMMs, continuous outcomes were recoded into ordered categories</w:t>
      </w:r>
      <w:r>
        <w:t xml:space="preserve"> </w:t>
      </w:r>
      <w:r>
        <w:t xml:space="preserve">based on anchor-informed cut points reflecting meaningful qualitative</w:t>
      </w:r>
      <w:r>
        <w:t xml:space="preserve"> </w:t>
      </w:r>
      <w:r>
        <w:t xml:space="preserve">differences in consent cue use. These categories were not intended to</w:t>
      </w:r>
      <w:r>
        <w:t xml:space="preserve"> </w:t>
      </w:r>
      <w:r>
        <w:t xml:space="preserve">reproduce the original 0–10 metric, but rather to align the ordinal</w:t>
      </w:r>
      <w:r>
        <w:t xml:space="preserve"> </w:t>
      </w:r>
      <w:r>
        <w:t xml:space="preserve">models with the semantic structure of the response scale.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2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fig1-fig-2-outpu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Ordinal, binned verbal consent.</w:t>
            </w:r>
          </w:p>
          <w:bookmarkEnd w:id="6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65">
        <w:r>
          <w:rPr>
            <w:rStyle w:val="Hyperlink"/>
            <w:vertAlign w:val="subscript"/>
          </w:rPr>
          <w:t xml:space="preserve">Figures</w:t>
        </w:r>
      </w:hyperlink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4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fig1-fig-4-output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4: Ordinal, binned nonverbal consent.</w:t>
            </w:r>
          </w:p>
          <w:bookmarkEnd w:id="69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0">
        <w:r>
          <w:rPr>
            <w:rStyle w:val="Hyperlink"/>
            <w:vertAlign w:val="subscript"/>
          </w:rPr>
          <w:t xml:space="preserve">Figures</w:t>
        </w:r>
      </w:hyperlink>
    </w:p>
    <w:p>
      <w:pPr>
        <w:pStyle w:val="BodyText"/>
      </w:pPr>
      <w:r>
        <w:t xml:space="preserve">In a CLMM, each predictor is assumed to have a constant effect on the</w:t>
      </w:r>
      <w:r>
        <w:t xml:space="preserve"> </w:t>
      </w:r>
      <w:r>
        <w:t xml:space="preserve">cumulative log-odds of endorsing higher outcome categories across all</w:t>
      </w:r>
      <w:r>
        <w:t xml:space="preserve"> </w:t>
      </w:r>
      <w:r>
        <w:t xml:space="preserve">response thresholds. Violations occur when a predictor’s influence</w:t>
      </w:r>
      <w:r>
        <w:t xml:space="preserve"> </w:t>
      </w:r>
      <w:r>
        <w:t xml:space="preserve">differs for lower versus higher category transitions (e.g., between</w:t>
      </w:r>
      <w:r>
        <w:t xml:space="preserve"> </w:t>
      </w:r>
      <w:r>
        <w:t xml:space="preserve">“Not</w:t>
      </w:r>
      <w:r>
        <w:t xml:space="preserve"> </w:t>
      </w:r>
      <w:r>
        <w:t xml:space="preserve">at all → A little”</w:t>
      </w:r>
      <w:r>
        <w:t xml:space="preserve"> </w:t>
      </w:r>
      <w:r>
        <w:t xml:space="preserve">versus</w:t>
      </w:r>
      <w:r>
        <w:t xml:space="preserve"> </w:t>
      </w:r>
      <w:r>
        <w:t xml:space="preserve">“Quite a bit → Very much”</w:t>
      </w:r>
      <w:r>
        <w:t xml:space="preserve">). We evaluated this</w:t>
      </w:r>
      <w:r>
        <w:t xml:space="preserve"> </w:t>
      </w:r>
      <w:r>
        <w:t xml:space="preserve">proportional-odds assumption using complementary statistical and visual</w:t>
      </w:r>
      <w:r>
        <w:t xml:space="preserve"> </w:t>
      </w:r>
      <w:r>
        <w:t xml:space="preserve">diagnostic approaches.</w:t>
      </w:r>
    </w:p>
    <w:p>
      <w:pPr>
        <w:pStyle w:val="BodyText"/>
      </w:pPr>
      <w:r>
        <w:t xml:space="preserve">First, we conducted a global</w:t>
      </w:r>
      <w:r>
        <w:t xml:space="preserve"> </w:t>
      </w:r>
      <w:r>
        <w:rPr>
          <w:rStyle w:val="VerbatimChar"/>
        </w:rPr>
        <w:t xml:space="preserve">nominal_test()</w:t>
      </w:r>
      <w:r>
        <w:t xml:space="preserve"> </w:t>
      </w:r>
      <w:r>
        <w:t xml:space="preserve">of the proportional-odds</w:t>
      </w:r>
      <w:r>
        <w:t xml:space="preserve"> </w:t>
      </w:r>
      <w:r>
        <w:t xml:space="preserve">model. This assumption concerns fixed effects only, so we tested it</w:t>
      </w:r>
      <w:r>
        <w:t xml:space="preserve"> </w:t>
      </w:r>
      <w:r>
        <w:t xml:space="preserve">using a cumulative link model (CLM) without random effects. When a</w:t>
      </w:r>
      <w:r>
        <w:t xml:space="preserve"> </w:t>
      </w:r>
      <w:r>
        <w:t xml:space="preserve">predictor was flagged during the global screen, we then fit</w:t>
      </w:r>
      <w:r>
        <w:t xml:space="preserve"> </w:t>
      </w:r>
      <w:r>
        <w:t xml:space="preserve">threshold-specific binary logistic mixed models (GLMMs) to examine</w:t>
      </w:r>
      <w:r>
        <w:t xml:space="preserve"> </w:t>
      </w:r>
      <w:r>
        <w:t xml:space="preserve">whether fixed-effect slopes varied substantially across cutpoints (e.g.,</w:t>
      </w:r>
      <w:r>
        <w:t xml:space="preserve"> </w:t>
      </w:r>
      <w:r>
        <w:t xml:space="preserve">“Not at all → A little,”</w:t>
      </w:r>
      <w:r>
        <w:t xml:space="preserve"> </w:t>
      </w:r>
      <w:r>
        <w:t xml:space="preserve">“A little → Somewhat,”</w:t>
      </w:r>
      <w:r>
        <w:t xml:space="preserve"> </w:t>
      </w:r>
      <w:r>
        <w:t xml:space="preserve">etc.).</w:t>
      </w:r>
    </w:p>
    <w:p>
      <w:pPr>
        <w:pStyle w:val="BodyText"/>
      </w:pPr>
      <w:r>
        <w:t xml:space="preserve">Specifically, for average physical intimacy (</w:t>
      </w:r>
      <w:r>
        <w:rPr>
          <w:rStyle w:val="VerbatimChar"/>
        </w:rPr>
        <w:t xml:space="preserve">act_pm_c</w:t>
      </w:r>
      <w:r>
        <w:t xml:space="preserve">), the estimated</w:t>
      </w:r>
      <w:r>
        <w:t xml:space="preserve"> </w:t>
      </w:r>
      <w:r>
        <w:t xml:space="preserve">log-odds were 1.65, 2.07, 1.73, and 1.73 across successive thresholds,</w:t>
      </w:r>
      <w:r>
        <w:t xml:space="preserve"> </w:t>
      </w:r>
      <w:r>
        <w:t xml:space="preserve">all p &lt; .05. Because these coefficients were consistent in direction</w:t>
      </w:r>
      <w:r>
        <w:t xml:space="preserve"> </w:t>
      </w:r>
      <w:r>
        <w:t xml:space="preserve">and magnitude across thresholds (differences ≤ 0.4), the</w:t>
      </w:r>
      <w:r>
        <w:t xml:space="preserve"> </w:t>
      </w:r>
      <w:r>
        <w:t xml:space="preserve">proportional-odds assumption was considered tenable. A visual inspection</w:t>
      </w:r>
      <w:r>
        <w:t xml:space="preserve"> </w:t>
      </w:r>
      <w:r>
        <w:t xml:space="preserve">provided further support for this conclusion.</w:t>
      </w:r>
    </w:p>
    <w:bookmarkEnd w:id="71"/>
    <w:bookmarkStart w:id="73" w:name="model-specification"/>
    <w:p>
      <w:pPr>
        <w:pStyle w:val="Heading3"/>
      </w:pPr>
      <w:r>
        <w:t xml:space="preserve">Model specification</w:t>
      </w:r>
    </w:p>
    <w:p>
      <w:pPr>
        <w:pStyle w:val="FirstParagraph"/>
      </w:pPr>
      <w:r>
        <w:t xml:space="preserve">Each daily survey was distributed between 11:00 AM and 2:00 PM (with a</w:t>
      </w:r>
      <w:r>
        <w:t xml:space="preserve"> </w:t>
      </w:r>
      <w:r>
        <w:t xml:space="preserve">reminder two hours later) and asked about experiences</w:t>
      </w:r>
      <w:r>
        <w:t xml:space="preserve"> </w:t>
      </w:r>
      <w:r>
        <w:rPr>
          <w:i/>
          <w:iCs/>
        </w:rPr>
        <w:t xml:space="preserve">since the</w:t>
      </w:r>
      <w:r>
        <w:rPr>
          <w:i/>
          <w:iCs/>
        </w:rPr>
        <w:t xml:space="preserve"> </w:t>
      </w:r>
      <w:r>
        <w:rPr>
          <w:i/>
          <w:iCs/>
        </w:rPr>
        <w:t xml:space="preserve">previous survey</w:t>
      </w:r>
      <w:r>
        <w:t xml:space="preserve">, yielding roughly 24-hour retrospective reports.</w:t>
      </w:r>
      <w:r>
        <w:t xml:space="preserve"> </w:t>
      </w:r>
      <w:r>
        <w:t xml:space="preserve">Although event spacing was irregular, the daily diary design may have</w:t>
      </w:r>
      <w:r>
        <w:t xml:space="preserve"> </w:t>
      </w:r>
      <w:r>
        <w:t xml:space="preserve">introduced predictable temporal structure (e.g., due to gradual study</w:t>
      </w:r>
      <w:r>
        <w:t xml:space="preserve"> </w:t>
      </w:r>
      <w:r>
        <w:t xml:space="preserve">fatigue). To assess whether design-related patterns could bias</w:t>
      </w:r>
      <w:r>
        <w:t xml:space="preserve"> </w:t>
      </w:r>
      <w:r>
        <w:t xml:space="preserve">fixed-effect estimates, we evaluated whether day on study accounted for</w:t>
      </w:r>
      <w:r>
        <w:t xml:space="preserve"> </w:t>
      </w:r>
      <w:r>
        <w:t xml:space="preserve">systematic variation in verbal cue use. A likelihood-ratio test</w:t>
      </w:r>
      <w:r>
        <w:t xml:space="preserve"> </w:t>
      </w:r>
      <w:r>
        <w:t xml:space="preserve">comparing models with and without study day as a fixed predictor</w:t>
      </w:r>
      <w:r>
        <w:t xml:space="preserve"> </w:t>
      </w:r>
      <w:r>
        <w:t xml:space="preserve">indicated that including study day did not significantly improve model</w:t>
      </w:r>
      <w:r>
        <w:t xml:space="preserve"> </w:t>
      </w:r>
      <w:r>
        <w:t xml:space="preserve">fit,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3.12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.08</m:t>
        </m:r>
      </m:oMath>
      <w:r>
        <w:t xml:space="preserve">.</w:t>
      </w:r>
    </w:p>
    <w:p>
      <w:pPr>
        <w:pStyle w:val="BodyText"/>
      </w:pPr>
      <w:r>
        <w:t xml:space="preserve">To evaluate whether temporal trends varied across participants, we</w:t>
      </w:r>
      <w:r>
        <w:t xml:space="preserve"> </w:t>
      </w:r>
      <w:r>
        <w:t xml:space="preserve">compared models with and without a random slope for study day. Although</w:t>
      </w:r>
      <w:r>
        <w:t xml:space="preserve"> </w:t>
      </w:r>
      <w:r>
        <w:t xml:space="preserve">the average effect of study day on verbal consent cue use was not</w:t>
      </w:r>
      <w:r>
        <w:t xml:space="preserve"> </w:t>
      </w:r>
      <w:r>
        <w:t xml:space="preserve">significant, likelihood-ratio tests indicated significant between-person</w:t>
      </w:r>
      <w:r>
        <w:t xml:space="preserve"> </w:t>
      </w:r>
      <w:r>
        <w:t xml:space="preserve">variability in day-to-day slopes. Allowing the effect of study day to</w:t>
      </w:r>
      <w:r>
        <w:t xml:space="preserve"> </w:t>
      </w:r>
      <w:r>
        <w:t xml:space="preserve">vary across individuals significantly improved model fit,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14.32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.001</m:t>
        </m:r>
      </m:oMath>
      <w:r>
        <w:t xml:space="preserve">. Accordingly, a random slope for study</w:t>
      </w:r>
      <w:r>
        <w:t xml:space="preserve"> </w:t>
      </w:r>
      <w:r>
        <w:t xml:space="preserve">day was retained in all models predicting Yeo-Johnson transformed verbal</w:t>
      </w:r>
      <w:r>
        <w:t xml:space="preserve"> </w:t>
      </w:r>
      <w:r>
        <w:t xml:space="preserve">cue use to account for individual differences in temporal trajectories.</w:t>
      </w:r>
    </w:p>
    <w:p>
      <w:pPr>
        <w:pStyle w:val="BodyText"/>
      </w:pPr>
      <w:r>
        <w:t xml:space="preserve">To examine predictors of verbal and nonverbal consent cue use while</w:t>
      </w:r>
      <w:r>
        <w:t xml:space="preserve"> </w:t>
      </w:r>
      <w:r>
        <w:t xml:space="preserve">accounting for both within- and between-person variability, we fit</w:t>
      </w:r>
      <w:r>
        <w:t xml:space="preserve"> </w:t>
      </w:r>
      <w:r>
        <w:t xml:space="preserve">conditional mixed-effects models estimating cue use from person- and</w:t>
      </w:r>
      <w:r>
        <w:t xml:space="preserve"> </w:t>
      </w:r>
      <w:r>
        <w:t xml:space="preserve">encounter-level characteristics, as specified in each hypothesis set.</w:t>
      </w:r>
    </w:p>
    <w:bookmarkStart w:id="72" w:name="addressing-convergence-problems"/>
    <w:p>
      <w:pPr>
        <w:pStyle w:val="Heading4"/>
      </w:pPr>
      <w:r>
        <w:t xml:space="preserve">Addressing convergence problems</w:t>
      </w:r>
    </w:p>
    <w:p>
      <w:pPr>
        <w:pStyle w:val="FirstParagraph"/>
      </w:pPr>
      <w:r>
        <w:t xml:space="preserve">Convergence problems occur when the estimation routine fails to identify</w:t>
      </w:r>
      <w:r>
        <w:t xml:space="preserve"> </w:t>
      </w:r>
      <w:r>
        <w:t xml:space="preserve">a stable solution for model parameters. We based our approach to</w:t>
      </w:r>
      <w:r>
        <w:t xml:space="preserve"> </w:t>
      </w:r>
      <w:r>
        <w:t xml:space="preserve">addressing these problems on Brauer and Curtin’s (2018) guidelines</w:t>
      </w:r>
      <w:r>
        <w:t xml:space="preserve"> </w:t>
      </w:r>
      <w:r>
        <w:t xml:space="preserve">regarding sequential corrective steps that researchers can take when</w:t>
      </w:r>
      <w:r>
        <w:t xml:space="preserve"> </w:t>
      </w:r>
      <w:r>
        <w:t xml:space="preserve">LMEM convergence fails. Their recommendations prioritize nonintrusive</w:t>
      </w:r>
      <w:r>
        <w:t xml:space="preserve"> </w:t>
      </w:r>
      <w:r>
        <w:t xml:space="preserve">steps that preserve the intended model specification before moving on to</w:t>
      </w:r>
      <w:r>
        <w:t xml:space="preserve"> </w:t>
      </w:r>
      <w:r>
        <w:t xml:space="preserve">classic or corrective remedies that alter the model</w:t>
      </w:r>
      <w:r>
        <w:t xml:space="preserve"> </w:t>
      </w:r>
      <w:r>
        <w:t xml:space="preserve">structure.</w:t>
      </w:r>
      <w:r>
        <w:rPr>
          <w:vertAlign w:val="superscript"/>
        </w:rPr>
        <w:t xml:space="preserve">66</w:t>
      </w:r>
      <w:r>
        <w:t xml:space="preserve">.</w:t>
      </w:r>
    </w:p>
    <w:p>
      <w:pPr>
        <w:pStyle w:val="BodyText"/>
      </w:pPr>
      <w:r>
        <w:t xml:space="preserve">Specifically, we used the full, cleaned dataset and retained all</w:t>
      </w:r>
      <w:r>
        <w:t xml:space="preserve"> </w:t>
      </w:r>
      <w:r>
        <w:t xml:space="preserve">available cases following multiple imputation and data quality</w:t>
      </w:r>
      <w:r>
        <w:t xml:space="preserve"> </w:t>
      </w:r>
      <w:r>
        <w:t xml:space="preserve">verification in order to include as many sexual events and participants</w:t>
      </w:r>
      <w:r>
        <w:t xml:space="preserve"> </w:t>
      </w:r>
      <w:r>
        <w:t xml:space="preserve">as possible. We took steps to minimize potential convergence issues</w:t>
      </w:r>
      <w:r>
        <w:t xml:space="preserve"> </w:t>
      </w:r>
      <w:r>
        <w:t xml:space="preserve">prior to model estimation by carefully screening the data for</w:t>
      </w:r>
      <w:r>
        <w:t xml:space="preserve"> </w:t>
      </w:r>
      <w:r>
        <w:t xml:space="preserve">distributional irregularities and violations of model assumptions, then</w:t>
      </w:r>
      <w:r>
        <w:t xml:space="preserve"> </w:t>
      </w:r>
      <w:r>
        <w:t xml:space="preserve">applying Yeo-Johnson transformations to both skewed continuous outcomes.</w:t>
      </w:r>
      <w:r>
        <w:t xml:space="preserve"> </w:t>
      </w:r>
      <w:r>
        <w:t xml:space="preserve">In addition, all predictors were centered, with time-varying predictors</w:t>
      </w:r>
      <w:r>
        <w:t xml:space="preserve"> </w:t>
      </w:r>
      <w:r>
        <w:t xml:space="preserve">person-mean centered to reduce multicollinearity in the random-effects</w:t>
      </w:r>
      <w:r>
        <w:t xml:space="preserve"> </w:t>
      </w:r>
      <w:r>
        <w:t xml:space="preserve">structure. When convergence problems nevertheless emerged, we evaluated</w:t>
      </w:r>
      <w:r>
        <w:t xml:space="preserve"> </w:t>
      </w:r>
      <w:r>
        <w:t xml:space="preserve">models for potential misspecification, ensuring that random slopes were</w:t>
      </w:r>
      <w:r>
        <w:t xml:space="preserve"> </w:t>
      </w:r>
      <w:r>
        <w:t xml:space="preserve">only specified for predictors that exhibited within-person variation.</w:t>
      </w:r>
      <w:r>
        <w:t xml:space="preserve"> </w:t>
      </w:r>
      <w:r>
        <w:t xml:space="preserve">All predictors and covariates were modeled as fixed effects, and a</w:t>
      </w:r>
      <w:r>
        <w:t xml:space="preserve"> </w:t>
      </w:r>
      <w:r>
        <w:t xml:space="preserve">participant random intercept was included in all models to account for</w:t>
      </w:r>
      <w:r>
        <w:t xml:space="preserve"> </w:t>
      </w:r>
      <w:r>
        <w:t xml:space="preserve">nonindependence.</w:t>
      </w:r>
    </w:p>
    <w:p>
      <w:pPr>
        <w:pStyle w:val="BodyText"/>
      </w:pPr>
      <w:r>
        <w:t xml:space="preserve">When convergence difficulties persisted, we proceeded through the</w:t>
      </w:r>
      <w:r>
        <w:t xml:space="preserve"> </w:t>
      </w:r>
      <w:r>
        <w:t xml:space="preserve">following steps in order. Specifically, models were refit using the</w:t>
      </w:r>
      <w:r>
        <w:t xml:space="preserve"> </w:t>
      </w:r>
      <w:r>
        <w:rPr>
          <w:i/>
          <w:iCs/>
        </w:rPr>
        <w:t xml:space="preserve">bobyqa</w:t>
      </w:r>
      <w:r>
        <w:t xml:space="preserve"> </w:t>
      </w:r>
      <w:r>
        <w:t xml:space="preserve">optimization algorithm, and the maximum number of optimizer</w:t>
      </w:r>
      <w:r>
        <w:t xml:space="preserve"> </w:t>
      </w:r>
      <w:r>
        <w:t xml:space="preserve">iterations was increased (up to 200,000 function evaluations) to allow</w:t>
      </w:r>
      <w:r>
        <w:t xml:space="preserve"> </w:t>
      </w:r>
      <w:r>
        <w:t xml:space="preserve">adequate exploration of the likelihood surface. We also evaluated the</w:t>
      </w:r>
      <w:r>
        <w:t xml:space="preserve"> </w:t>
      </w:r>
      <w:r>
        <w:t xml:space="preserve">data for extremely sparse categories and units with very few</w:t>
      </w:r>
      <w:r>
        <w:t xml:space="preserve"> </w:t>
      </w:r>
      <w:r>
        <w:t xml:space="preserve">observations in key design cells, then addressed these issues by</w:t>
      </w:r>
      <w:r>
        <w:t xml:space="preserve"> </w:t>
      </w:r>
      <w:r>
        <w:t xml:space="preserve">collapsing or removing problematic units as needed. Finally, we were</w:t>
      </w:r>
      <w:r>
        <w:t xml:space="preserve"> </w:t>
      </w:r>
      <w:r>
        <w:t xml:space="preserve">prepared to rescale predictors and, if necessary, the outcomes to</w:t>
      </w:r>
      <w:r>
        <w:t xml:space="preserve"> </w:t>
      </w:r>
      <w:r>
        <w:t xml:space="preserve">improve numerical stability, but all convergence problems were resolved</w:t>
      </w:r>
      <w:r>
        <w:t xml:space="preserve"> </w:t>
      </w:r>
      <w:r>
        <w:t xml:space="preserve">before advancing to this step was needed.</w:t>
      </w:r>
    </w:p>
    <w:bookmarkEnd w:id="72"/>
    <w:bookmarkEnd w:id="73"/>
    <w:bookmarkEnd w:id="74"/>
    <w:bookmarkStart w:id="84" w:name="results"/>
    <w:p>
      <w:pPr>
        <w:pStyle w:val="Heading2"/>
      </w:pPr>
      <w:r>
        <w:t xml:space="preserve">Results</w:t>
      </w:r>
    </w:p>
    <w:bookmarkStart w:id="75" w:name="descriptive-statistics"/>
    <w:p>
      <w:pPr>
        <w:pStyle w:val="Heading3"/>
      </w:pPr>
      <w:r>
        <w:t xml:space="preserve">Descriptive Statistics</w:t>
      </w:r>
    </w:p>
    <w:p>
      <w:pPr>
        <w:pStyle w:val="FirstParagraph"/>
      </w:pPr>
      <w:r>
        <w:t xml:space="preserve">Eligible participants included in the analytic sample (n = 152)</w:t>
      </w:r>
      <w:r>
        <w:t xml:space="preserve"> </w:t>
      </w:r>
      <w:r>
        <w:t xml:space="preserve">completed an average of 23.9 daily surveys (median = 26, SD = 6.07,</w:t>
      </w:r>
      <w:r>
        <w:t xml:space="preserve"> </w:t>
      </w:r>
      <w:r>
        <w:t xml:space="preserve">range = 2–28), corresponding to an average completion rate of 85.3%.</w:t>
      </w:r>
      <w:r>
        <w:t xml:space="preserve"> </w:t>
      </w:r>
      <w:r>
        <w:t xml:space="preserve">These data yielded 528 partnered sexual events across the diary period.</w:t>
      </w:r>
      <w:r>
        <w:t xml:space="preserve"> </w:t>
      </w:r>
      <w:r>
        <w:t xml:space="preserve">Approximately 5% of these events (n = 27) were excluded from analysis</w:t>
      </w:r>
      <w:r>
        <w:t xml:space="preserve"> </w:t>
      </w:r>
      <w:r>
        <w:t xml:space="preserve">because the participant reported trying to engage in sexual activity</w:t>
      </w:r>
      <w:r>
        <w:t xml:space="preserve"> </w:t>
      </w:r>
      <w:r>
        <w:t xml:space="preserve">with another person (including flirting, kissing, touching, or</w:t>
      </w:r>
      <w:r>
        <w:t xml:space="preserve"> </w:t>
      </w:r>
      <w:r>
        <w:t xml:space="preserve">intercourse) but no sexual contact occurred. The analytic sample that</w:t>
      </w:r>
      <w:r>
        <w:t xml:space="preserve"> </w:t>
      </w:r>
      <w:r>
        <w:t xml:space="preserve">remained contained 501 partnered encounters. The data were structured in</w:t>
      </w:r>
      <w:r>
        <w:t xml:space="preserve"> </w:t>
      </w:r>
      <w:r>
        <w:t xml:space="preserve">long format, with one row per event and multiple events nested within</w:t>
      </w:r>
      <w:r>
        <w:t xml:space="preserve"> </w:t>
      </w:r>
      <w:r>
        <w:t xml:space="preserve">participants. A majority of participants (60.50%) contributed more than</w:t>
      </w:r>
      <w:r>
        <w:t xml:space="preserve"> </w:t>
      </w:r>
      <w:r>
        <w:t xml:space="preserve">one event, with a median of two events per participant and up to 19</w:t>
      </w:r>
      <w:r>
        <w:t xml:space="preserve"> </w:t>
      </w:r>
      <w:r>
        <w:t xml:space="preserve">events for some individuals. Approximately 60.48% (n = 303) of these</w:t>
      </w:r>
      <w:r>
        <w:t xml:space="preserve"> </w:t>
      </w:r>
      <w:r>
        <w:t xml:space="preserve">sexual events involved oral, vaginal, or anal penetration, whereas</w:t>
      </w:r>
      <w:r>
        <w:t xml:space="preserve"> </w:t>
      </w:r>
      <w:r>
        <w:t xml:space="preserve">roughly 39.52% (n = 198) involved kissing or touching.</w:t>
      </w:r>
    </w:p>
    <w:bookmarkEnd w:id="75"/>
    <w:bookmarkStart w:id="79" w:name="unconditional-multilevel-models"/>
    <w:p>
      <w:pPr>
        <w:pStyle w:val="Heading3"/>
      </w:pPr>
      <w:r>
        <w:t xml:space="preserve">Unconditional Multilevel Models</w:t>
      </w:r>
    </w:p>
    <w:p>
      <w:pPr>
        <w:pStyle w:val="FirstParagraph"/>
      </w:pPr>
      <w:r>
        <w:t xml:space="preserve">We tested unconditional multilevel models to estimate the ICCs for</w:t>
      </w:r>
      <w:r>
        <w:t xml:space="preserve"> </w:t>
      </w:r>
      <w:r>
        <w:t xml:space="preserve">verbal and nonverbal sexual consent. ICCs for each cue type are</w:t>
      </w:r>
      <w:r>
        <w:t xml:space="preserve"> </w:t>
      </w:r>
      <w:r>
        <w:t xml:space="preserve">presented in</w:t>
      </w:r>
      <w:r>
        <w:t xml:space="preserve"> </w:t>
      </w:r>
      <w:hyperlink w:anchor="tbl-icc">
        <w:r>
          <w:rPr>
            <w:rStyle w:val="Hyperlink"/>
          </w:rPr>
          <w:t xml:space="preserve">Table 1</w:t>
        </w:r>
      </w:hyperlink>
      <w:r>
        <w:t xml:space="preserve">. For ordinal verbal cue use, the ICC was .575,</w:t>
      </w:r>
      <w:r>
        <w:t xml:space="preserve"> </w:t>
      </w:r>
      <w:r>
        <w:t xml:space="preserve">indicating that approximately 57.5% of the total variance was due to</w:t>
      </w:r>
      <w:r>
        <w:t xml:space="preserve"> </w:t>
      </w:r>
      <w:r>
        <w:t xml:space="preserve">between-person differences and 42.5% to within-person fluctuations</w:t>
      </w:r>
      <w:r>
        <w:t xml:space="preserve"> </w:t>
      </w:r>
      <w:r>
        <w:t xml:space="preserve">across encounters. These results confirm that participants’ verbal</w:t>
      </w:r>
      <w:r>
        <w:t xml:space="preserve"> </w:t>
      </w:r>
      <w:r>
        <w:t xml:space="preserve">consent communication varied both across individuals and within</w:t>
      </w:r>
      <w:r>
        <w:t xml:space="preserve"> </w:t>
      </w:r>
      <w:r>
        <w:t xml:space="preserve">individuals across contexts, supporting the use of multilevel modeling</w:t>
      </w:r>
      <w:r>
        <w:t xml:space="preserve"> </w:t>
      </w:r>
      <w:r>
        <w:t xml:space="preserve">for subsequent analyses.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tbl-ic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Intraclass correlation coefficients for sexual consent cue use.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ICC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95% CI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1 - ICC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Verbal cues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.523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[.386, .527]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.477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Nonverbal cues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.679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[.586, .689]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.321</w:t>
                  </w:r>
                </w:p>
              </w:tc>
            </w:tr>
          </w:tbl>
          <w:bookmarkEnd w:id="76"/>
          <w:p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7">
        <w:r>
          <w:rPr>
            <w:rStyle w:val="Hyperlink"/>
            <w:vertAlign w:val="subscript"/>
          </w:rPr>
          <w:t xml:space="preserve">Tables</w:t>
        </w:r>
      </w:hyperlink>
    </w:p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78">
        <w:r>
          <w:rPr>
            <w:rStyle w:val="Hyperlink"/>
            <w:vertAlign w:val="subscript"/>
          </w:rPr>
          <w:t xml:space="preserve">Article Notebook</w:t>
        </w:r>
      </w:hyperlink>
    </w:p>
    <w:bookmarkEnd w:id="79"/>
    <w:bookmarkStart w:id="80" w:name="sexual-event-contextual-covariates"/>
    <w:p>
      <w:pPr>
        <w:pStyle w:val="Heading3"/>
      </w:pPr>
      <w:r>
        <w:t xml:space="preserve">Sexual event contextual covariates</w:t>
      </w:r>
    </w:p>
    <w:p>
      <w:pPr>
        <w:pStyle w:val="FirstParagraph"/>
      </w:pPr>
      <w:r>
        <w:rPr>
          <w:b/>
          <w:bCs/>
        </w:rPr>
        <w:t xml:space="preserve">Hypothesis 0a:</w:t>
      </w:r>
      <w:r>
        <w:t xml:space="preserve"> </w:t>
      </w:r>
      <w:r>
        <w:t xml:space="preserve">Verbal consent cue use was significantly higher</w:t>
      </w:r>
      <w:r>
        <w:t xml:space="preserve"> </w:t>
      </w:r>
      <w:r>
        <w:t xml:space="preserve">during penetrative sexual encounters compared to encounters that did not</w:t>
      </w:r>
      <w:r>
        <w:t xml:space="preserve"> </w:t>
      </w:r>
      <w:r>
        <w:t xml:space="preserve">progress beyond kissing or touching, supporting H0a. This effect was</w:t>
      </w:r>
      <w:r>
        <w:t xml:space="preserve"> </w:t>
      </w:r>
      <w:r>
        <w:t xml:space="preserve">significant within persons–when a given participant engaged in oral,</w:t>
      </w:r>
      <w:r>
        <w:t xml:space="preserve"> </w:t>
      </w:r>
      <w:r>
        <w:t xml:space="preserve">vaginal, or anal sex, they reported greater use of verbal consent cues</w:t>
      </w:r>
      <w:r>
        <w:t xml:space="preserve"> </w:t>
      </w:r>
      <w:r>
        <w:t xml:space="preserve">than during their own contact-only encounters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1.02,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0.35,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2.94,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0.006).</w:t>
      </w:r>
      <w:r>
        <w:t xml:space="preserve"> </w:t>
      </w:r>
      <w:r>
        <w:t xml:space="preserve">Although the magnitude of this effect varied across individuals, the</w:t>
      </w:r>
      <w:r>
        <w:t xml:space="preserve"> </w:t>
      </w:r>
      <w:r>
        <w:t xml:space="preserve">average within-person association was positive.</w:t>
      </w:r>
    </w:p>
    <w:p>
      <w:pPr>
        <w:pStyle w:val="BodyText"/>
      </w:pPr>
      <w:r>
        <w:rPr>
          <w:b/>
          <w:bCs/>
        </w:rPr>
        <w:t xml:space="preserve">Hypothesis 0b:</w:t>
      </w:r>
      <w:r>
        <w:t xml:space="preserve"> </w:t>
      </w:r>
      <w:r>
        <w:t xml:space="preserve">Encounters occurring in the context of shared</w:t>
      </w:r>
      <w:r>
        <w:t xml:space="preserve"> </w:t>
      </w:r>
      <w:r>
        <w:t xml:space="preserve">romantic history (i.e., past or present dating partner) involved higher</w:t>
      </w:r>
      <w:r>
        <w:t xml:space="preserve"> </w:t>
      </w:r>
      <w:r>
        <w:t xml:space="preserve">nonverbal consent cue use than encounters occurring in less familiar</w:t>
      </w:r>
      <w:r>
        <w:t xml:space="preserve"> </w:t>
      </w:r>
      <w:r>
        <w:t xml:space="preserve">relational contexts when the partners just met that same day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6.43,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2.09,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3.07,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0.002).</w:t>
      </w:r>
    </w:p>
    <w:p>
      <w:pPr>
        <w:pStyle w:val="BodyText"/>
      </w:pPr>
      <w:r>
        <w:t xml:space="preserve">Contrary to</w:t>
      </w:r>
      <w:r>
        <w:t xml:space="preserve"> </w:t>
      </w:r>
      <w:r>
        <w:rPr>
          <w:b/>
          <w:bCs/>
        </w:rPr>
        <w:t xml:space="preserve">Hypothesis 0c,</w:t>
      </w:r>
      <w:r>
        <w:t xml:space="preserve"> </w:t>
      </w:r>
      <w:r>
        <w:t xml:space="preserve">levels of nonverbal consent cue use were</w:t>
      </w:r>
      <w:r>
        <w:t xml:space="preserve"> </w:t>
      </w:r>
      <w:r>
        <w:t xml:space="preserve">not significantly lower for men when compared to women and gender</w:t>
      </w:r>
      <w:r>
        <w:t xml:space="preserve"> </w:t>
      </w:r>
      <w:r>
        <w:t xml:space="preserve">nonconforming (GNC) individuals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-1.01,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1.22,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-0.83,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0.407).</w:t>
      </w:r>
    </w:p>
    <w:p>
      <w:r>
        <w:pict>
          <v:rect style="width:0;height:1.5pt" o:hralign="center" o:hrstd="t" o:hr="t"/>
        </w:pict>
      </w:r>
    </w:p>
    <w:bookmarkEnd w:id="80"/>
    <w:bookmarkStart w:id="81" w:name="alcohol-and-consent-cue-use"/>
    <w:p>
      <w:pPr>
        <w:pStyle w:val="Heading3"/>
      </w:pPr>
      <w:r>
        <w:t xml:space="preserve">Alcohol and consent cue use</w:t>
      </w:r>
    </w:p>
    <w:p>
      <w:pPr>
        <w:pStyle w:val="FirstParagraph"/>
      </w:pPr>
      <w:r>
        <w:rPr>
          <w:b/>
          <w:bCs/>
        </w:rPr>
        <w:t xml:space="preserve">Hypothesis 1a</w:t>
      </w:r>
      <w:r>
        <w:t xml:space="preserve"> </w:t>
      </w:r>
      <w:r>
        <w:t xml:space="preserve">predicted that alcohol consumption (indexed by number</w:t>
      </w:r>
      <w:r>
        <w:t xml:space="preserve"> </w:t>
      </w:r>
      <w:r>
        <w:t xml:space="preserve">of drinks) would be negatively associated with both verbal and nonverbal</w:t>
      </w:r>
      <w:r>
        <w:t xml:space="preserve"> </w:t>
      </w:r>
      <w:r>
        <w:t xml:space="preserve">consent cue use. To test this hypothesis, LMEMs were fit separately for</w:t>
      </w:r>
      <w:r>
        <w:t xml:space="preserve"> </w:t>
      </w:r>
      <w:r>
        <w:t xml:space="preserve">verbal and nonverbal consent outcomes, decomposing alcohol consumption</w:t>
      </w:r>
      <w:r>
        <w:t xml:space="preserve"> </w:t>
      </w:r>
      <w:r>
        <w:t xml:space="preserve">into within-person (event-level) and between-person (person-mean)</w:t>
      </w:r>
      <w:r>
        <w:t xml:space="preserve"> </w:t>
      </w:r>
      <w:r>
        <w:t xml:space="preserve">components and including random intercepts for participants. LMEM</w:t>
      </w:r>
      <w:r>
        <w:t xml:space="preserve"> </w:t>
      </w:r>
      <w:r>
        <w:t xml:space="preserve">results partially supported H1a for verbal consent. There was a</w:t>
      </w:r>
      <w:r>
        <w:t xml:space="preserve"> </w:t>
      </w:r>
      <w:r>
        <w:t xml:space="preserve">significant, negative between-person effect of alcohol consumption on</w:t>
      </w:r>
      <w:r>
        <w:t xml:space="preserve"> </w:t>
      </w:r>
      <w:r>
        <w:t xml:space="preserve">verbal cue use, such that participants who generally drank more than</w:t>
      </w:r>
      <w:r>
        <w:t xml:space="preserve"> </w:t>
      </w:r>
      <w:r>
        <w:t xml:space="preserve">others before sexual events reported lower verbal cue use overall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-0.42,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0.13,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-3.14,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0.002). In</w:t>
      </w:r>
      <w:r>
        <w:t xml:space="preserve"> </w:t>
      </w:r>
      <w:r>
        <w:t xml:space="preserve">contrast, the within-person effect of alcohol consumption on verbal cue</w:t>
      </w:r>
      <w:r>
        <w:t xml:space="preserve"> </w:t>
      </w:r>
      <w:r>
        <w:t xml:space="preserve">use was not significant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-0.12,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0.08,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-1.36,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0.175).</w:t>
      </w:r>
    </w:p>
    <w:p>
      <w:pPr>
        <w:pStyle w:val="BodyText"/>
      </w:pPr>
      <w:r>
        <w:t xml:space="preserve">To evaluate whether these conclusions were robust to the ordinal</w:t>
      </w:r>
      <w:r>
        <w:t xml:space="preserve"> </w:t>
      </w:r>
      <w:r>
        <w:t xml:space="preserve">measurement of verbal consent cue use, we also fit a CLMM predicting</w:t>
      </w:r>
      <w:r>
        <w:t xml:space="preserve"> </w:t>
      </w:r>
      <w:r>
        <w:t xml:space="preserve">ordinal verbal cue use from the same within- and between-person</w:t>
      </w:r>
      <w:r>
        <w:t xml:space="preserve"> </w:t>
      </w:r>
      <w:r>
        <w:t xml:space="preserve">components of alcohol consumption, with a random intercept for</w:t>
      </w:r>
      <w:r>
        <w:t xml:space="preserve"> </w:t>
      </w:r>
      <w:r>
        <w:t xml:space="preserve">participant (logit link). Consistent with LMEM results, the</w:t>
      </w:r>
      <w:r>
        <w:t xml:space="preserve"> </w:t>
      </w:r>
      <w:r>
        <w:t xml:space="preserve">within-person effect of alcohol consumption was not significantly</w:t>
      </w:r>
      <w:r>
        <w:t xml:space="preserve"> </w:t>
      </w:r>
      <w:r>
        <w:t xml:space="preserve">associated with verbal cue use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-0.09,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-0.87,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0.383). However, also</w:t>
      </w:r>
      <w:r>
        <w:t xml:space="preserve"> </w:t>
      </w:r>
      <w:r>
        <w:t xml:space="preserve">consistent with LMEM results, the between-person effect was negative and</w:t>
      </w:r>
      <w:r>
        <w:t xml:space="preserve"> </w:t>
      </w:r>
      <w:r>
        <w:t xml:space="preserve">statistically significant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-0.55,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0.17,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-3.17,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0.002). This</w:t>
      </w:r>
      <w:r>
        <w:t xml:space="preserve"> </w:t>
      </w:r>
      <w:r>
        <w:t xml:space="preserve">pattern of findings might suggest that participants who tend to drink</w:t>
      </w:r>
      <w:r>
        <w:t xml:space="preserve"> </w:t>
      </w:r>
      <w:r>
        <w:t xml:space="preserve">more before sexual encounters typically have lower odds of using higher</w:t>
      </w:r>
      <w:r>
        <w:t xml:space="preserve"> </w:t>
      </w:r>
      <w:r>
        <w:t xml:space="preserve">levels of verbal consent across events.</w:t>
      </w:r>
    </w:p>
    <w:p>
      <w:pPr>
        <w:pStyle w:val="BodyText"/>
      </w:pPr>
      <w:r>
        <w:t xml:space="preserve">H1a was not supported for nonverbal consent. LMEM results indicated that</w:t>
      </w:r>
      <w:r>
        <w:t xml:space="preserve"> </w:t>
      </w:r>
      <w:r>
        <w:t xml:space="preserve">neither within—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-0.12,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0.08,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-1.36,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0.175) nor between—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-0.70,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0.43,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-1.63,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0.105) person</w:t>
      </w:r>
      <w:r>
        <w:t xml:space="preserve"> </w:t>
      </w:r>
      <w:r>
        <w:t xml:space="preserve">effects of alcohol consumption on nonverbal cues were significant. The</w:t>
      </w:r>
      <w:r>
        <w:t xml:space="preserve"> </w:t>
      </w:r>
      <w:r>
        <w:t xml:space="preserve">same pattern was observed among CLMM results for both within—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0.12,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0.10,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1.24,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0.215) and between—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-0.33,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0.19,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-1.77,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0.076) person</w:t>
      </w:r>
      <w:r>
        <w:t xml:space="preserve"> </w:t>
      </w:r>
      <w:r>
        <w:t xml:space="preserve">effects of alcohol consumption on nonverbal cues.</w:t>
      </w:r>
    </w:p>
    <w:p>
      <w:pPr>
        <w:pStyle w:val="BodyText"/>
      </w:pPr>
      <w:r>
        <w:rPr>
          <w:b/>
          <w:bCs/>
        </w:rPr>
        <w:t xml:space="preserve">Hypothesis 1b</w:t>
      </w:r>
      <w:r>
        <w:t xml:space="preserve"> </w:t>
      </w:r>
      <w:r>
        <w:t xml:space="preserve">predicted that greater intoxication disparity—defined</w:t>
      </w:r>
      <w:r>
        <w:t xml:space="preserve"> </w:t>
      </w:r>
      <w:r>
        <w:t xml:space="preserve">as the absolute difference between participants’ subjective intoxication</w:t>
      </w:r>
      <w:r>
        <w:t xml:space="preserve"> </w:t>
      </w:r>
      <w:r>
        <w:t xml:space="preserve">and their perception of their partner’s intoxication—would be negatively</w:t>
      </w:r>
      <w:r>
        <w:t xml:space="preserve"> </w:t>
      </w:r>
      <w:r>
        <w:t xml:space="preserve">associated with verbal consent cue use. LMEM results partially supported</w:t>
      </w:r>
      <w:r>
        <w:t xml:space="preserve"> </w:t>
      </w:r>
      <w:r>
        <w:t xml:space="preserve">this hypothesis. Between-person differences in intoxication disparity</w:t>
      </w:r>
      <w:r>
        <w:t xml:space="preserve"> </w:t>
      </w:r>
      <w:r>
        <w:t xml:space="preserve">were significantly associated with lower verbal consent cue use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-0.09,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0.02,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-3.47,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&lt; .001).</w:t>
      </w:r>
      <w:r>
        <w:t xml:space="preserve"> </w:t>
      </w:r>
      <w:r>
        <w:t xml:space="preserve">However, the within-person effect of intoxication disparity was not</w:t>
      </w:r>
      <w:r>
        <w:t xml:space="preserve"> </w:t>
      </w:r>
      <w:r>
        <w:t xml:space="preserve">significant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0.00,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0.01,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0.01,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0.991).</w:t>
      </w:r>
    </w:p>
    <w:p>
      <w:pPr>
        <w:pStyle w:val="BodyText"/>
      </w:pPr>
      <w:r>
        <w:t xml:space="preserve">The secondary robustness check via CLMM yielded consistent results:</w:t>
      </w:r>
      <w:r>
        <w:t xml:space="preserve"> </w:t>
      </w:r>
      <w:r>
        <w:t xml:space="preserve">there was a significant, negative between-person effect of intoxication</w:t>
      </w:r>
      <w:r>
        <w:t xml:space="preserve"> </w:t>
      </w:r>
      <w:r>
        <w:t xml:space="preserve">disparity on verbal cue use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-0.11,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0.03,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-3.42,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&lt; .001), but the</w:t>
      </w:r>
      <w:r>
        <w:t xml:space="preserve"> </w:t>
      </w:r>
      <w:r>
        <w:t xml:space="preserve">within-person effect of intoxication disparity was not significant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0.00,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0.14,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0.887). This</w:t>
      </w:r>
      <w:r>
        <w:t xml:space="preserve"> </w:t>
      </w:r>
      <w:r>
        <w:t xml:space="preserve">pattern of findings might suggest that individuals who routinely find</w:t>
      </w:r>
      <w:r>
        <w:t xml:space="preserve"> </w:t>
      </w:r>
      <w:r>
        <w:t xml:space="preserve">themselves in sexual situations with mismatched intoxication levels tend</w:t>
      </w:r>
      <w:r>
        <w:t xml:space="preserve"> </w:t>
      </w:r>
      <w:r>
        <w:t xml:space="preserve">to use less verbal consent in general.</w:t>
      </w:r>
    </w:p>
    <w:p>
      <w:pPr>
        <w:pStyle w:val="BodyText"/>
      </w:pPr>
      <w:r>
        <w:rPr>
          <w:b/>
          <w:bCs/>
        </w:rPr>
        <w:t xml:space="preserve">Hypothesis 1c</w:t>
      </w:r>
      <w:r>
        <w:t xml:space="preserve"> </w:t>
      </w:r>
      <w:r>
        <w:t xml:space="preserve">predicted that attendance at bars or parties would be</w:t>
      </w:r>
      <w:r>
        <w:t xml:space="preserve"> </w:t>
      </w:r>
      <w:r>
        <w:t xml:space="preserve">negatively associated with both verbal and nonverbal consent cue use,</w:t>
      </w:r>
      <w:r>
        <w:t xml:space="preserve"> </w:t>
      </w:r>
      <w:r>
        <w:t xml:space="preserve">with stronger effects expected for nonverbal cues. LMEM results</w:t>
      </w:r>
      <w:r>
        <w:t xml:space="preserve"> </w:t>
      </w:r>
      <w:r>
        <w:t xml:space="preserve">partially supported this hypothesis. Between-person differences in</w:t>
      </w:r>
      <w:r>
        <w:t xml:space="preserve"> </w:t>
      </w:r>
      <w:r>
        <w:t xml:space="preserve">same-day drinking venue attendance were significantly negatively</w:t>
      </w:r>
      <w:r>
        <w:t xml:space="preserve"> </w:t>
      </w:r>
      <w:r>
        <w:t xml:space="preserve">associated with cue use during sexual encounters, and this was true for</w:t>
      </w:r>
      <w:r>
        <w:t xml:space="preserve"> </w:t>
      </w:r>
      <w:r>
        <w:t xml:space="preserve">both nonverbal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-3.69,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1.39,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-2.65,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0.009) and</w:t>
      </w:r>
      <w:r>
        <w:t xml:space="preserve"> </w:t>
      </w:r>
      <w:r>
        <w:t xml:space="preserve">verbal (</w:t>
      </w:r>
      <m:oMath>
        <m:r>
          <m:t>b</m:t>
        </m:r>
      </m:oMath>
      <w:r>
        <w:t xml:space="preserve"> </w:t>
      </w:r>
      <w:r>
        <w:t xml:space="preserve">= -1.38,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0.44,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-3.12,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0.002)</w:t>
      </w:r>
      <w:r>
        <w:t xml:space="preserve"> </w:t>
      </w:r>
      <w:r>
        <w:t xml:space="preserve">cues. The within-person effects of drinking venue attendance were not</w:t>
      </w:r>
      <w:r>
        <w:t xml:space="preserve"> </w:t>
      </w:r>
      <w:r>
        <w:t xml:space="preserve">significant for nonverbal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-0.20,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0.63,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-0.32,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0.748) or verbal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-0.13,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0.25,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-0.54,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0.590) consent.</w:t>
      </w:r>
    </w:p>
    <w:p>
      <w:pPr>
        <w:pStyle w:val="BodyText"/>
      </w:pPr>
      <w:r>
        <w:t xml:space="preserve">Similarly, across CLMMs, between-person differences in bar-or-party</w:t>
      </w:r>
      <w:r>
        <w:t xml:space="preserve"> </w:t>
      </w:r>
      <w:r>
        <w:t xml:space="preserve">attendance on sexual encounter days were significantly, negatively</w:t>
      </w:r>
      <w:r>
        <w:t xml:space="preserve"> </w:t>
      </w:r>
      <w:r>
        <w:t xml:space="preserve">linked to both nonverbal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-1.77,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0.00,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-523.70,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&lt; .001) and</w:t>
      </w:r>
      <w:r>
        <w:t xml:space="preserve"> </w:t>
      </w:r>
      <w:r>
        <w:t xml:space="preserve">verbal (</w:t>
      </w:r>
      <m:oMath>
        <m:r>
          <m:t>b</m:t>
        </m:r>
      </m:oMath>
      <w:r>
        <w:t xml:space="preserve"> </w:t>
      </w:r>
      <w:r>
        <w:t xml:space="preserve">= -1.87,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0.60,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-3.13,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0.002)</w:t>
      </w:r>
      <w:r>
        <w:t xml:space="preserve"> </w:t>
      </w:r>
      <w:r>
        <w:t xml:space="preserve">cue use, but no significant effects were observed for within-person</w:t>
      </w:r>
      <w:r>
        <w:t xml:space="preserve"> </w:t>
      </w:r>
      <w:r>
        <w:t xml:space="preserve">deviations predicting nonverbal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-0.21,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0.29,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-0.72,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0.473) or verbal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-0.30,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0.32,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-0.93,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0.352) consent.</w:t>
      </w:r>
    </w:p>
    <w:bookmarkEnd w:id="81"/>
    <w:bookmarkStart w:id="82" w:name="X5939fdfcdd2a635044f12b7b34b3e011a45cc42"/>
    <w:p>
      <w:pPr>
        <w:pStyle w:val="Heading3"/>
      </w:pPr>
      <w:r>
        <w:t xml:space="preserve">Modifiers of alcohol-consent associations</w:t>
      </w:r>
    </w:p>
    <w:p>
      <w:pPr>
        <w:pStyle w:val="FirstParagraph"/>
      </w:pPr>
      <w:r>
        <w:rPr>
          <w:b/>
          <w:bCs/>
        </w:rPr>
        <w:t xml:space="preserve">Hypothesis 2a</w:t>
      </w:r>
      <w:r>
        <w:t xml:space="preserve"> </w:t>
      </w:r>
      <w:r>
        <w:t xml:space="preserve">predicted that the negative association between</w:t>
      </w:r>
      <w:r>
        <w:t xml:space="preserve"> </w:t>
      </w:r>
      <w:r>
        <w:t xml:space="preserve">alcohol consumption and verbal consent cue use would be weaker for</w:t>
      </w:r>
      <w:r>
        <w:t xml:space="preserve"> </w:t>
      </w:r>
      <w:r>
        <w:t xml:space="preserve">penetrative behaviors and stronger for encounters involving kissing or</w:t>
      </w:r>
      <w:r>
        <w:t xml:space="preserve"> </w:t>
      </w:r>
      <w:r>
        <w:t xml:space="preserve">touching. To test this hypothesis, interaction terms between alcohol</w:t>
      </w:r>
      <w:r>
        <w:t xml:space="preserve"> </w:t>
      </w:r>
      <w:r>
        <w:t xml:space="preserve">consumption and sexual behavior type were included in mixed-effects</w:t>
      </w:r>
      <w:r>
        <w:t xml:space="preserve"> </w:t>
      </w:r>
      <w:r>
        <w:t xml:space="preserve">models predicting verbal consent cue use. Contrary to Hypothesis 2a, the</w:t>
      </w:r>
      <w:r>
        <w:t xml:space="preserve"> </w:t>
      </w:r>
      <w:r>
        <w:t xml:space="preserve">interaction between alcohol consumption and behavior type was not</w:t>
      </w:r>
      <w:r>
        <w:t xml:space="preserve"> </w:t>
      </w:r>
      <w:r>
        <w:t xml:space="preserve">statistically significant at either the within-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0.11,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0.17,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0.62,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0.535)</w:t>
      </w:r>
      <w:r>
        <w:t xml:space="preserve"> </w:t>
      </w:r>
      <w:r>
        <w:t xml:space="preserve">or between-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0.11,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0.21,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0.51,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0.612)</w:t>
      </w:r>
      <w:r>
        <w:t xml:space="preserve"> </w:t>
      </w:r>
      <w:r>
        <w:t xml:space="preserve">person level, suggesting the association between pre-encounter number of</w:t>
      </w:r>
      <w:r>
        <w:t xml:space="preserve"> </w:t>
      </w:r>
      <w:r>
        <w:t xml:space="preserve">drinks consumed and verbal consent cue use did not differ by behavior</w:t>
      </w:r>
      <w:r>
        <w:t xml:space="preserve"> </w:t>
      </w:r>
      <w:r>
        <w:t xml:space="preserve">type in this sample.</w:t>
      </w:r>
    </w:p>
    <w:p>
      <w:pPr>
        <w:pStyle w:val="BodyText"/>
      </w:pPr>
      <w:r>
        <w:t xml:space="preserve">The secondary robustness check via CLMM yielded consistent results:</w:t>
      </w:r>
      <w:r>
        <w:t xml:space="preserve"> </w:t>
      </w:r>
      <w:r>
        <w:t xml:space="preserve">sexual behavior type did not significantly moderate the within-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0.19,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0.25,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0.73,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0.463)</w:t>
      </w:r>
      <w:r>
        <w:t xml:space="preserve"> </w:t>
      </w:r>
      <w:r>
        <w:t xml:space="preserve">nor between-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0.02,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0.29,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0.06,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0.953)</w:t>
      </w:r>
      <w:r>
        <w:t xml:space="preserve"> </w:t>
      </w:r>
      <w:r>
        <w:t xml:space="preserve">person effects of alcohol consumption on ordinal verbal cue use,</w:t>
      </w:r>
      <w:r>
        <w:t xml:space="preserve"> </w:t>
      </w:r>
      <w:r>
        <w:t xml:space="preserve">suggesting the association between pre-encounter number of drinks</w:t>
      </w:r>
      <w:r>
        <w:t xml:space="preserve"> </w:t>
      </w:r>
      <w:r>
        <w:t xml:space="preserve">consumed and verbal consent cue use did not differ by degree of physical</w:t>
      </w:r>
      <w:r>
        <w:t xml:space="preserve"> </w:t>
      </w:r>
      <w:r>
        <w:t xml:space="preserve">intimacy (contact- v. penetrative- sexual behavior type) in this sample.</w:t>
      </w:r>
    </w:p>
    <w:p>
      <w:pPr>
        <w:pStyle w:val="BodyText"/>
      </w:pPr>
      <w:r>
        <w:rPr>
          <w:b/>
          <w:bCs/>
        </w:rPr>
        <w:t xml:space="preserve">Hypothesis 2b</w:t>
      </w:r>
      <w:r>
        <w:t xml:space="preserve"> </w:t>
      </w:r>
      <w:r>
        <w:t xml:space="preserve">predicted that the negative association between</w:t>
      </w:r>
      <w:r>
        <w:t xml:space="preserve"> </w:t>
      </w:r>
      <w:r>
        <w:t xml:space="preserve">drinking venue attendance and nonverbal consent cue use would be</w:t>
      </w:r>
      <w:r>
        <w:t xml:space="preserve"> </w:t>
      </w:r>
      <w:r>
        <w:t xml:space="preserve">stronger among less familiar partners. Mixed-effects models testing</w:t>
      </w:r>
      <w:r>
        <w:t xml:space="preserve"> </w:t>
      </w:r>
      <w:r>
        <w:t xml:space="preserve">interactions between bar-and-party attendance and partner familiarity</w:t>
      </w:r>
      <w:r>
        <w:t xml:space="preserve"> </w:t>
      </w:r>
      <w:r>
        <w:t xml:space="preserve">revealed no statistically significant moderation effects at either the</w:t>
      </w:r>
      <w:r>
        <w:t xml:space="preserve"> </w:t>
      </w:r>
      <w:r>
        <w:t xml:space="preserve">within- or between-person level (</w:t>
      </w:r>
      <m:oMath>
        <m:r>
          <m:t>p</m:t>
        </m:r>
        <m:r>
          <m:t>s</m:t>
        </m:r>
      </m:oMath>
      <w:r>
        <w:t xml:space="preserve"> </w:t>
      </w:r>
      <w:r>
        <w:t xml:space="preserve">&gt; .219). Thus, the association</w:t>
      </w:r>
      <w:r>
        <w:t xml:space="preserve"> </w:t>
      </w:r>
      <w:r>
        <w:t xml:space="preserve">between drinking venue attendance and nonverbal cue use did not differ</w:t>
      </w:r>
      <w:r>
        <w:t xml:space="preserve"> </w:t>
      </w:r>
      <w:r>
        <w:t xml:space="preserve">as a function of partner familiarity in this sample.</w:t>
      </w:r>
    </w:p>
    <w:p>
      <w:pPr>
        <w:pStyle w:val="BodyText"/>
      </w:pPr>
      <w:r>
        <w:rPr>
          <w:b/>
          <w:bCs/>
        </w:rPr>
        <w:t xml:space="preserve">Hypothesis 2c</w:t>
      </w:r>
      <w:r>
        <w:t xml:space="preserve"> </w:t>
      </w:r>
      <w:r>
        <w:t xml:space="preserve">predicted that the negative association between</w:t>
      </w:r>
      <w:r>
        <w:t xml:space="preserve"> </w:t>
      </w:r>
      <w:r>
        <w:t xml:space="preserve">intoxication disparity and verbal consent cue use would be stronger</w:t>
      </w:r>
      <w:r>
        <w:t xml:space="preserve"> </w:t>
      </w:r>
      <w:r>
        <w:t xml:space="preserve">among men compared to women and gender-nonconforming individuals.</w:t>
      </w:r>
      <w:r>
        <w:t xml:space="preserve"> </w:t>
      </w:r>
      <w:r>
        <w:t xml:space="preserve">Mixed-effects models were consistent in that neither the LMEM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0.02,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-0.32,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0.749)</w:t>
      </w:r>
      <w:r>
        <w:t xml:space="preserve"> </w:t>
      </w:r>
      <w:r>
        <w:t xml:space="preserve">nor the CLMM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0.02,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-0.34,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0.736)</w:t>
      </w:r>
      <w:r>
        <w:t xml:space="preserve"> </w:t>
      </w:r>
      <w:r>
        <w:t xml:space="preserve">results supported this hypothesis. Interaction terms between</w:t>
      </w:r>
      <w:r>
        <w:t xml:space="preserve"> </w:t>
      </w:r>
      <w:r>
        <w:t xml:space="preserve">intoxication disparity and gender were not statistically significant,</w:t>
      </w:r>
      <w:r>
        <w:t xml:space="preserve"> </w:t>
      </w:r>
      <w:r>
        <w:t xml:space="preserve">indicating that the the within-person slope of intoxication disparity</w:t>
      </w:r>
      <w:r>
        <w:t xml:space="preserve"> </w:t>
      </w:r>
      <w:r>
        <w:t xml:space="preserve">did not differ by gender in this sample.</w:t>
      </w:r>
    </w:p>
    <w:bookmarkEnd w:id="82"/>
    <w:bookmarkStart w:id="83" w:name="distal-individual-factors"/>
    <w:p>
      <w:pPr>
        <w:pStyle w:val="Heading3"/>
      </w:pPr>
      <w:r>
        <w:t xml:space="preserve">Distal individual factors</w:t>
      </w:r>
    </w:p>
    <w:p>
      <w:pPr>
        <w:pStyle w:val="FirstParagraph"/>
      </w:pPr>
      <w:r>
        <w:t xml:space="preserve">Consistent with</w:t>
      </w:r>
      <w:r>
        <w:t xml:space="preserve"> </w:t>
      </w:r>
      <w:r>
        <w:rPr>
          <w:b/>
          <w:bCs/>
        </w:rPr>
        <w:t xml:space="preserve">Hypothesis 3a</w:t>
      </w:r>
      <w:r>
        <w:t xml:space="preserve">, LMEM results revealed that social</w:t>
      </w:r>
      <w:r>
        <w:t xml:space="preserve"> </w:t>
      </w:r>
      <w:r>
        <w:t xml:space="preserve">desirability bias (</w:t>
      </w:r>
      <m:oMath>
        <m:r>
          <m:t>b</m:t>
        </m:r>
      </m:oMath>
      <w:r>
        <w:t xml:space="preserve"> </w:t>
      </w:r>
      <w:r>
        <w:t xml:space="preserve">= 0.46,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0.18,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2.50,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0.013)</w:t>
      </w:r>
      <w:r>
        <w:t xml:space="preserve"> </w:t>
      </w:r>
      <w:r>
        <w:t xml:space="preserve">and rape myth rejection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0.36,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0.17,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2.15,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0.033) were</w:t>
      </w:r>
      <w:r>
        <w:t xml:space="preserve"> </w:t>
      </w:r>
      <w:r>
        <w:t xml:space="preserve">significantly, positively associated with verbal consent cue use after</w:t>
      </w:r>
      <w:r>
        <w:t xml:space="preserve"> </w:t>
      </w:r>
      <w:r>
        <w:t xml:space="preserve">controlling for partner familiarity and behavior type. Results of the</w:t>
      </w:r>
      <w:r>
        <w:t xml:space="preserve"> </w:t>
      </w:r>
      <w:r>
        <w:t xml:space="preserve">secondary robustness check also supported H3a, such that CLMM findings</w:t>
      </w:r>
      <w:r>
        <w:t xml:space="preserve"> </w:t>
      </w:r>
      <w:r>
        <w:t xml:space="preserve">indicated that social desirability bias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0.65,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0.25,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2.56,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0.011) and rape myth</w:t>
      </w:r>
      <w:r>
        <w:t xml:space="preserve"> </w:t>
      </w:r>
      <w:r>
        <w:t xml:space="preserve">rejection</w:t>
      </w:r>
      <w:r>
        <w:br/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0.52,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0.24,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2.21,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0.027) positively</w:t>
      </w:r>
      <w:r>
        <w:t xml:space="preserve"> </w:t>
      </w:r>
      <w:r>
        <w:t xml:space="preserve">predicted endorsement of verbal cues.</w:t>
      </w:r>
    </w:p>
    <w:p>
      <w:pPr>
        <w:pStyle w:val="BodyText"/>
      </w:pPr>
      <w:r>
        <w:rPr>
          <w:b/>
          <w:bCs/>
        </w:rPr>
        <w:t xml:space="preserve">Hypothesis 3b</w:t>
      </w:r>
      <w:r>
        <w:t xml:space="preserve"> </w:t>
      </w:r>
      <w:r>
        <w:t xml:space="preserve">predicted that permissive individual and perceived</w:t>
      </w:r>
      <w:r>
        <w:t xml:space="preserve"> </w:t>
      </w:r>
      <w:r>
        <w:t xml:space="preserve">peer attitudes toward alcohol and coercion will be negatively associated</w:t>
      </w:r>
      <w:r>
        <w:t xml:space="preserve"> </w:t>
      </w:r>
      <w:r>
        <w:t xml:space="preserve">with verbal cues after controlling for partner familiarity and behavior</w:t>
      </w:r>
      <w:r>
        <w:t xml:space="preserve"> </w:t>
      </w:r>
      <w:r>
        <w:t xml:space="preserve">type. Results partially supported this hypothesis. Perceived peer</w:t>
      </w:r>
      <w:r>
        <w:t xml:space="preserve"> </w:t>
      </w:r>
      <w:r>
        <w:t xml:space="preserve">attitudes were significantly, negatively associated with verbal cue use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-0.49,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0.22,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-2.27,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0.025), whereas</w:t>
      </w:r>
      <w:r>
        <w:t xml:space="preserve"> </w:t>
      </w:r>
      <w:r>
        <w:t xml:space="preserve">permissive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attitudes were not significantly associated with</w:t>
      </w:r>
      <w:r>
        <w:t xml:space="preserve"> </w:t>
      </w:r>
      <w:r>
        <w:t xml:space="preserve">verbal cues when controlling for all other predictors in the model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-0.24,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0.23,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-1.03,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0.307). CLMM results</w:t>
      </w:r>
      <w:r>
        <w:t xml:space="preserve"> </w:t>
      </w:r>
      <w:r>
        <w:t xml:space="preserve">yielded the same pattern of findings: after controlling for familiarity</w:t>
      </w:r>
      <w:r>
        <w:t xml:space="preserve"> </w:t>
      </w:r>
      <w:r>
        <w:t xml:space="preserve">and sexual behavior, perceived peer attitudes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-0.62,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0.31,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-2.02,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0.043) significantly</w:t>
      </w:r>
      <w:r>
        <w:t xml:space="preserve"> </w:t>
      </w:r>
      <w:r>
        <w:t xml:space="preserve">predicted verbal consent cues while personal attitudes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-0.41,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0.32,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-1.30,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0.194) did not.</w:t>
      </w:r>
    </w:p>
    <w:p>
      <w:pPr>
        <w:pStyle w:val="BodyText"/>
      </w:pPr>
      <w:r>
        <w:rPr>
          <w:b/>
          <w:bCs/>
        </w:rPr>
        <w:t xml:space="preserve">Hypothesis 3c</w:t>
      </w:r>
      <w:r>
        <w:t xml:space="preserve"> </w:t>
      </w:r>
      <w:r>
        <w:t xml:space="preserve">predicted that hazardous alcohol consumption would be</w:t>
      </w:r>
      <w:r>
        <w:t xml:space="preserve"> </w:t>
      </w:r>
      <w:r>
        <w:t xml:space="preserve">negatively associated with both verbal and nonverbal consent cue use</w:t>
      </w:r>
      <w:r>
        <w:t xml:space="preserve"> </w:t>
      </w:r>
      <w:r>
        <w:t xml:space="preserve">after controlling for partner familiarity and behavior type. H3c was not</w:t>
      </w:r>
      <w:r>
        <w:t xml:space="preserve"> </w:t>
      </w:r>
      <w:r>
        <w:t xml:space="preserve">supported for either outcome or within either analysis framework. Across</w:t>
      </w:r>
      <w:r>
        <w:t xml:space="preserve"> </w:t>
      </w:r>
      <w:r>
        <w:t xml:space="preserve">both verbal (</w:t>
      </w:r>
      <m:oMath>
        <m:r>
          <m:t>b</m:t>
        </m:r>
      </m:oMath>
      <w:r>
        <w:t xml:space="preserve"> </w:t>
      </w:r>
      <w:r>
        <w:t xml:space="preserve">= -0.30,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0.18,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-1.64,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0.103) and</w:t>
      </w:r>
      <w:r>
        <w:t xml:space="preserve"> </w:t>
      </w:r>
      <w:r>
        <w:t xml:space="preserve">nonverbal (</w:t>
      </w:r>
      <m:oMath>
        <m:r>
          <m:t>b</m:t>
        </m:r>
      </m:oMath>
      <w:r>
        <w:t xml:space="preserve"> </w:t>
      </w:r>
      <w:r>
        <w:t xml:space="preserve">= -0.60,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0.59,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-1.01,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0.314) cues,</w:t>
      </w:r>
      <w:r>
        <w:t xml:space="preserve"> </w:t>
      </w:r>
      <w:r>
        <w:t xml:space="preserve">trait-level hazardous drinking did not uniquely predict consent</w:t>
      </w:r>
      <w:r>
        <w:t xml:space="preserve"> </w:t>
      </w:r>
      <w:r>
        <w:t xml:space="preserve">communication when the LMEM included contextual characteristics of the</w:t>
      </w:r>
      <w:r>
        <w:t xml:space="preserve"> </w:t>
      </w:r>
      <w:r>
        <w:t xml:space="preserve">sexual event as covariates. CLMM results yielded the same pattern for</w:t>
      </w:r>
      <w:r>
        <w:t xml:space="preserve"> </w:t>
      </w:r>
      <w:r>
        <w:t xml:space="preserve">both verbal (</w:t>
      </w:r>
      <m:oMath>
        <m:r>
          <m:t>b</m:t>
        </m:r>
      </m:oMath>
      <w:r>
        <w:t xml:space="preserve"> </w:t>
      </w:r>
      <w:r>
        <w:t xml:space="preserve">= -0.50,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0.26,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-1.92,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0.055) and</w:t>
      </w:r>
      <w:r>
        <w:t xml:space="preserve"> </w:t>
      </w:r>
      <w:r>
        <w:t xml:space="preserve">nonverbal (</w:t>
      </w:r>
      <m:oMath>
        <m:r>
          <m:t>b</m:t>
        </m:r>
      </m:oMath>
      <w:r>
        <w:t xml:space="preserve"> </w:t>
      </w:r>
      <w:r>
        <w:t xml:space="preserve">= -0.35,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0.26,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-1.34,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0.181) cues.</w:t>
      </w:r>
    </w:p>
    <w:p>
      <w:pPr>
        <w:pStyle w:val="BodyText"/>
      </w:pPr>
      <w:r>
        <w:rPr>
          <w:b/>
          <w:bCs/>
        </w:rPr>
        <w:t xml:space="preserve">Hypothesis 3d</w:t>
      </w:r>
      <w:r>
        <w:t xml:space="preserve"> </w:t>
      </w:r>
      <w:r>
        <w:t xml:space="preserve">predicted that permissive individual attitudes toward</w:t>
      </w:r>
      <w:r>
        <w:t xml:space="preserve"> </w:t>
      </w:r>
      <w:r>
        <w:t xml:space="preserve">alcohol and coercion would strengthen the negative association between</w:t>
      </w:r>
      <w:r>
        <w:t xml:space="preserve"> </w:t>
      </w:r>
      <w:r>
        <w:t xml:space="preserve">intoxication disparity and verbal cue use after controlling for partner</w:t>
      </w:r>
      <w:r>
        <w:t xml:space="preserve"> </w:t>
      </w:r>
      <w:r>
        <w:t xml:space="preserve">familiarity and behavior type. To test this hypothesis, interaction</w:t>
      </w:r>
      <w:r>
        <w:t xml:space="preserve"> </w:t>
      </w:r>
      <w:r>
        <w:t xml:space="preserve">terms between intoxication disparity and permissive attitudes were</w:t>
      </w:r>
      <w:r>
        <w:t xml:space="preserve"> </w:t>
      </w:r>
      <w:r>
        <w:t xml:space="preserve">included in mixed-effects models alongside partner familiarity and</w:t>
      </w:r>
      <w:r>
        <w:t xml:space="preserve"> </w:t>
      </w:r>
      <w:r>
        <w:t xml:space="preserve">behavior type. Contrary to Hypothesis 3d, the interaction between</w:t>
      </w:r>
      <w:r>
        <w:t xml:space="preserve"> </w:t>
      </w:r>
      <w:r>
        <w:t xml:space="preserve">disparity and permissive attitudes was not statistically significant at</w:t>
      </w:r>
      <w:r>
        <w:t xml:space="preserve"> </w:t>
      </w:r>
      <w:r>
        <w:t xml:space="preserve">the within-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-0.00,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0.01,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-0.24,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0.814) or</w:t>
      </w:r>
      <w:r>
        <w:t xml:space="preserve"> </w:t>
      </w:r>
      <w:r>
        <w:t xml:space="preserve">between-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0.03,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= -0.47,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0.639)</w:t>
      </w:r>
      <w:r>
        <w:t xml:space="preserve"> </w:t>
      </w:r>
      <w:r>
        <w:t xml:space="preserve">person level, indicating that the negative association between</w:t>
      </w:r>
      <w:r>
        <w:t xml:space="preserve"> </w:t>
      </w:r>
      <w:r>
        <w:t xml:space="preserve">mismatched intoxication and verbal consent cue use was not modified by</w:t>
      </w:r>
      <w:r>
        <w:t xml:space="preserve"> </w:t>
      </w:r>
      <w:r>
        <w:t xml:space="preserve">personal attitudes.</w:t>
      </w:r>
    </w:p>
    <w:p>
      <w:pPr>
        <w:pStyle w:val="BodyText"/>
      </w:pPr>
      <w:r>
        <w:t xml:space="preserve">CLMM results were consistent with those derived from the primary LMEM.</w:t>
      </w:r>
      <w:r>
        <w:t xml:space="preserve"> </w:t>
      </w:r>
      <w:r>
        <w:t xml:space="preserve">The within-person slope of intoxication disparity did not differ by</w:t>
      </w:r>
      <w:r>
        <w:t xml:space="preserve"> </w:t>
      </w:r>
      <w:r>
        <w:t xml:space="preserve">permissive attitudes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-0.01,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-0.44,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0.659),</w:t>
      </w:r>
      <w:r>
        <w:t xml:space="preserve"> </w:t>
      </w:r>
      <w:r>
        <w:t xml:space="preserve">and the between-person effect of intoxication disparity on verbal cues</w:t>
      </w:r>
      <w:r>
        <w:t xml:space="preserve"> </w:t>
      </w:r>
      <w:r>
        <w:t xml:space="preserve">did not vary as a function of individual attitudes toward alcohol and</w:t>
      </w:r>
      <w:r>
        <w:t xml:space="preserve"> </w:t>
      </w:r>
      <w:r>
        <w:t xml:space="preserve">coercion</w:t>
      </w:r>
      <w:r>
        <w:t xml:space="preserve"> </w:t>
      </w:r>
      <w:r>
        <w:t xml:space="preserve">(</w:t>
      </w:r>
      <m:oMath>
        <m:r>
          <m:t>b</m:t>
        </m:r>
      </m:oMath>
      <w:r>
        <w:t xml:space="preserve"> </w:t>
      </w:r>
      <w:r>
        <w:t xml:space="preserve">= -0.02,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= 0.04,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= -0.40,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 0.688).</w:t>
      </w:r>
    </w:p>
    <w:bookmarkEnd w:id="83"/>
    <w:bookmarkEnd w:id="84"/>
    <w:bookmarkStart w:id="85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The proposed research is not without limitations. First, there were</w:t>
      </w:r>
      <w:r>
        <w:t xml:space="preserve"> </w:t>
      </w:r>
      <w:r>
        <w:t xml:space="preserve">measures not included in this data collection effort that we intend to</w:t>
      </w:r>
      <w:r>
        <w:t xml:space="preserve"> </w:t>
      </w:r>
      <w:r>
        <w:t xml:space="preserve">prioritize in the future. Considering this project focuses on active</w:t>
      </w:r>
      <w:r>
        <w:t xml:space="preserve"> </w:t>
      </w:r>
      <w:r>
        <w:t xml:space="preserve">consent communication, we did not measure passive</w:t>
      </w:r>
      <w:r>
        <w:t xml:space="preserve"> </w:t>
      </w:r>
      <w:r>
        <w:t xml:space="preserve">“no response”</w:t>
      </w:r>
      <w:r>
        <w:t xml:space="preserve"> </w:t>
      </w:r>
      <w:r>
        <w:t xml:space="preserve">signals,</w:t>
      </w:r>
      <w:r>
        <w:t xml:space="preserve"> </w:t>
      </w:r>
      <w:r>
        <w:t xml:space="preserve">which are commonly reported cues used to infer and communicate consent</w:t>
      </w:r>
      <w:r>
        <w:t xml:space="preserve"> </w:t>
      </w:r>
      <w:r>
        <w:t xml:space="preserve">among young adults despite risks associated with their ambiguity and</w:t>
      </w:r>
      <w:r>
        <w:t xml:space="preserve"> </w:t>
      </w:r>
      <w:r>
        <w:t xml:space="preserve">inconsistent associations with internal willingness. Also, we did not</w:t>
      </w:r>
      <w:r>
        <w:t xml:space="preserve"> </w:t>
      </w:r>
      <w:r>
        <w:t xml:space="preserve">assess refusal cues that participants may have used to indicate lack of</w:t>
      </w:r>
      <w:r>
        <w:t xml:space="preserve"> </w:t>
      </w:r>
      <w:r>
        <w:t xml:space="preserve">willingness, so it is possible that participants were also reflecting on</w:t>
      </w:r>
      <w:r>
        <w:t xml:space="preserve"> </w:t>
      </w:r>
      <w:r>
        <w:t xml:space="preserve">behaviors they used to assert boundaries when responding to items</w:t>
      </w:r>
      <w:r>
        <w:t xml:space="preserve"> </w:t>
      </w:r>
      <w:r>
        <w:t xml:space="preserve">assessing verbal and nonverbal consent cues. Other measures not included</w:t>
      </w:r>
      <w:r>
        <w:t xml:space="preserve"> </w:t>
      </w:r>
      <w:r>
        <w:t xml:space="preserve">that could have strengthened the current study are perceptions of</w:t>
      </w:r>
      <w:r>
        <w:t xml:space="preserve"> </w:t>
      </w:r>
      <w:r>
        <w:t xml:space="preserve">partner cue usage, because we cannot speak to how participants inferred</w:t>
      </w:r>
      <w:r>
        <w:t xml:space="preserve"> </w:t>
      </w:r>
      <w:r>
        <w:t xml:space="preserve">consent from their partners without those data, nor can we know whether</w:t>
      </w:r>
      <w:r>
        <w:t xml:space="preserve"> </w:t>
      </w:r>
      <w:r>
        <w:t xml:space="preserve">the body language, behaviors, or comments that participants interpreted</w:t>
      </w:r>
      <w:r>
        <w:t xml:space="preserve"> </w:t>
      </w:r>
      <w:r>
        <w:t xml:space="preserve">as cues were intended to signal consent. In future research, these</w:t>
      </w:r>
      <w:r>
        <w:t xml:space="preserve"> </w:t>
      </w:r>
      <w:r>
        <w:t xml:space="preserve">limitations can be addressed through dyadic data collection, though</w:t>
      </w:r>
      <w:r>
        <w:t xml:space="preserve"> </w:t>
      </w:r>
      <w:r>
        <w:t xml:space="preserve">recruiting in pairs introduces a different set of constraints with</w:t>
      </w:r>
      <w:r>
        <w:t xml:space="preserve"> </w:t>
      </w:r>
      <w:r>
        <w:t xml:space="preserve">respect to feasibility and generalizability. Finally, we did not provide</w:t>
      </w:r>
      <w:r>
        <w:t xml:space="preserve"> </w:t>
      </w:r>
      <w:r>
        <w:t xml:space="preserve">options to select from or ask participants to report specific examples</w:t>
      </w:r>
      <w:r>
        <w:t xml:space="preserve"> </w:t>
      </w:r>
      <w:r>
        <w:t xml:space="preserve">of the behaviors that they were classifying as verbal or nonverbal cues,</w:t>
      </w:r>
      <w:r>
        <w:t xml:space="preserve"> </w:t>
      </w:r>
      <w:r>
        <w:t xml:space="preserve">and we did not provide participants with the operational definitions for</w:t>
      </w:r>
      <w:r>
        <w:t xml:space="preserve"> </w:t>
      </w:r>
      <w:r>
        <w:t xml:space="preserve">these constructs prior to study initiation. </w:t>
      </w:r>
    </w:p>
    <w:p>
      <w:pPr>
        <w:pStyle w:val="BodyText"/>
      </w:pPr>
      <w:r>
        <w:t xml:space="preserve">Specific characteristics of the current study sample and design also may</w:t>
      </w:r>
      <w:r>
        <w:t xml:space="preserve"> </w:t>
      </w:r>
      <w:r>
        <w:t xml:space="preserve">limit what can be accomplished with the proposed research. Participants</w:t>
      </w:r>
      <w:r>
        <w:t xml:space="preserve"> </w:t>
      </w:r>
      <w:r>
        <w:t xml:space="preserve">were recruited via Sona Systems and compensated with extra credit in</w:t>
      </w:r>
      <w:r>
        <w:t xml:space="preserve"> </w:t>
      </w:r>
      <w:r>
        <w:t xml:space="preserve">their introductory psychology class, resulting in a college-student</w:t>
      </w:r>
      <w:r>
        <w:t xml:space="preserve"> </w:t>
      </w:r>
      <w:r>
        <w:t xml:space="preserve">sample with 85% of participants in their first year. More than 90% of</w:t>
      </w:r>
      <w:r>
        <w:t xml:space="preserve"> </w:t>
      </w:r>
      <w:r>
        <w:t xml:space="preserve">the sample fell below age 20, while a sample with more proportional</w:t>
      </w:r>
      <w:r>
        <w:t xml:space="preserve"> </w:t>
      </w:r>
      <w:r>
        <w:t xml:space="preserve">representation of upperclassmen may have yielded a greater number of</w:t>
      </w:r>
      <w:r>
        <w:t xml:space="preserve"> </w:t>
      </w:r>
      <w:r>
        <w:t xml:space="preserve">partnered sexual events and drinking episodes for analysis. Further, as</w:t>
      </w:r>
      <w:r>
        <w:t xml:space="preserve"> </w:t>
      </w:r>
      <w:r>
        <w:t xml:space="preserve">these data were collected from college students at a primarily white</w:t>
      </w:r>
      <w:r>
        <w:t xml:space="preserve"> </w:t>
      </w:r>
      <w:r>
        <w:t xml:space="preserve">institution in the midwestern U.S., the sample is homogeneous in terms</w:t>
      </w:r>
      <w:r>
        <w:t xml:space="preserve"> </w:t>
      </w:r>
      <w:r>
        <w:t xml:space="preserve">of race (77% White) and sexual orientation (87% heterosexual).</w:t>
      </w:r>
      <w:r>
        <w:t xml:space="preserve"> </w:t>
      </w:r>
      <w:r>
        <w:t xml:space="preserve">Directions for future research include more stringent criteria that</w:t>
      </w:r>
      <w:r>
        <w:t xml:space="preserve"> </w:t>
      </w:r>
      <w:r>
        <w:t xml:space="preserve">require eligible study participants be sexually active; prior sexual</w:t>
      </w:r>
      <w:r>
        <w:t xml:space="preserve"> </w:t>
      </w:r>
      <w:r>
        <w:t xml:space="preserve">experience was not an inclusion criterion for participating in the</w:t>
      </w:r>
      <w:r>
        <w:t xml:space="preserve"> </w:t>
      </w:r>
      <w:r>
        <w:t xml:space="preserve">current research, as it is common for young adults’ first partnered</w:t>
      </w:r>
      <w:r>
        <w:t xml:space="preserve"> </w:t>
      </w:r>
      <w:r>
        <w:t xml:space="preserve">sexual experiences to occur during their first semester at</w:t>
      </w:r>
      <w:r>
        <w:t xml:space="preserve"> </w:t>
      </w:r>
      <w:r>
        <w:t xml:space="preserve">university.</w:t>
      </w:r>
      <w:r>
        <w:rPr>
          <w:vertAlign w:val="superscript"/>
        </w:rPr>
        <w:t xml:space="preserve">67</w:t>
      </w:r>
      <w:r>
        <w:t xml:space="preserve"> </w:t>
      </w:r>
    </w:p>
    <w:p>
      <w:pPr>
        <w:pStyle w:val="BodyText"/>
      </w:pPr>
      <w:r>
        <w:t xml:space="preserve">With respect to study design, the experience sampling method used to</w:t>
      </w:r>
      <w:r>
        <w:t xml:space="preserve"> </w:t>
      </w:r>
      <w:r>
        <w:t xml:space="preserve">support this project was a relative strength compared to the primarily</w:t>
      </w:r>
      <w:r>
        <w:t xml:space="preserve"> </w:t>
      </w:r>
      <w:r>
        <w:t xml:space="preserve">cross-sectional literature in this area. Using electronic diaries</w:t>
      </w:r>
      <w:r>
        <w:t xml:space="preserve"> </w:t>
      </w:r>
      <w:r>
        <w:t xml:space="preserve">reduced the timeframe for retrospective recall, however, survey timing</w:t>
      </w:r>
      <w:r>
        <w:t xml:space="preserve"> </w:t>
      </w:r>
      <w:r>
        <w:t xml:space="preserve">and framing still required participants to think backwards when</w:t>
      </w:r>
      <w:r>
        <w:t xml:space="preserve"> </w:t>
      </w:r>
      <w:r>
        <w:t xml:space="preserve">reporting on behaviors and experiences that preceded sexual events</w:t>
      </w:r>
      <w:r>
        <w:t xml:space="preserve"> </w:t>
      </w:r>
      <w:r>
        <w:t xml:space="preserve">(e.g., pre-encounter number of drinks) on the previous day. Thus,</w:t>
      </w:r>
      <w:r>
        <w:t xml:space="preserve"> </w:t>
      </w:r>
      <w:r>
        <w:t xml:space="preserve">results examining event-level variables can only be interpreted as</w:t>
      </w:r>
      <w:r>
        <w:t xml:space="preserve"> </w:t>
      </w:r>
      <w:r>
        <w:t xml:space="preserve">associational and predictive within the concurrent window. Additionally,</w:t>
      </w:r>
      <w:r>
        <w:t xml:space="preserve"> </w:t>
      </w:r>
      <w:r>
        <w:t xml:space="preserve">asking participants to rate, for example, a sexual partner’s</w:t>
      </w:r>
      <w:r>
        <w:t xml:space="preserve"> </w:t>
      </w:r>
      <w:r>
        <w:t xml:space="preserve">intoxication level relative to their own at the same timepoint that we</w:t>
      </w:r>
      <w:r>
        <w:t xml:space="preserve"> </w:t>
      </w:r>
      <w:r>
        <w:t xml:space="preserve">asked them about sexual consent communication may have increased</w:t>
      </w:r>
      <w:r>
        <w:t xml:space="preserve"> </w:t>
      </w:r>
      <w:r>
        <w:t xml:space="preserve">susceptibility to social desirability bias, potentially leading</w:t>
      </w:r>
      <w:r>
        <w:t xml:space="preserve"> </w:t>
      </w:r>
      <w:r>
        <w:t xml:space="preserve">participants to respond in ways they thought would be perceived more</w:t>
      </w:r>
      <w:r>
        <w:t xml:space="preserve"> </w:t>
      </w:r>
      <w:r>
        <w:t xml:space="preserve">positively by the research team, or in ways that reduced their own</w:t>
      </w:r>
      <w:r>
        <w:t xml:space="preserve"> </w:t>
      </w:r>
      <w:r>
        <w:t xml:space="preserve">cognitive dissonance around possibly taking advantage of an intoxicated</w:t>
      </w:r>
      <w:r>
        <w:t xml:space="preserve"> </w:t>
      </w:r>
      <w:r>
        <w:t xml:space="preserve">person or being taken advantage of themselves. In future research, these</w:t>
      </w:r>
      <w:r>
        <w:t xml:space="preserve"> </w:t>
      </w:r>
      <w:r>
        <w:t xml:space="preserve">limitations could be addressed using ecological momentary assessment</w:t>
      </w:r>
      <w:r>
        <w:t xml:space="preserve"> </w:t>
      </w:r>
      <w:r>
        <w:t xml:space="preserve">with ≥2 surveys per day or event-contingent sampling, permitting</w:t>
      </w:r>
      <w:r>
        <w:t xml:space="preserve"> </w:t>
      </w:r>
      <w:r>
        <w:t xml:space="preserve">assessment of contextual variables pre-encounter and concurrent or</w:t>
      </w:r>
      <w:r>
        <w:t xml:space="preserve"> </w:t>
      </w:r>
      <w:r>
        <w:t xml:space="preserve">post-encounter variables immediately thereafter. Finally, there is risk</w:t>
      </w:r>
      <w:r>
        <w:t xml:space="preserve"> </w:t>
      </w:r>
      <w:r>
        <w:t xml:space="preserve">of overfitting to sample-specific nuance, as we are fitting and</w:t>
      </w:r>
      <w:r>
        <w:t xml:space="preserve"> </w:t>
      </w:r>
      <w:r>
        <w:t xml:space="preserve">evaluating our models in the same sample; techniques for estimating</w:t>
      </w:r>
      <w:r>
        <w:t xml:space="preserve"> </w:t>
      </w:r>
      <w:r>
        <w:t xml:space="preserve">out-of-sample generalizability were considered but ultimately omitted</w:t>
      </w:r>
      <w:r>
        <w:t xml:space="preserve"> </w:t>
      </w:r>
      <w:r>
        <w:t xml:space="preserve">from the analytic plan, which prioritizes feasibility. Directions for</w:t>
      </w:r>
      <w:r>
        <w:t xml:space="preserve"> </w:t>
      </w:r>
      <w:r>
        <w:t xml:space="preserve">future research include goals to replicate and extend this research in a</w:t>
      </w:r>
      <w:r>
        <w:t xml:space="preserve"> </w:t>
      </w:r>
      <w:r>
        <w:t xml:space="preserve">separate college sample of new participants, as well as among adults in</w:t>
      </w:r>
      <w:r>
        <w:t xml:space="preserve"> </w:t>
      </w:r>
      <w:r>
        <w:t xml:space="preserve">other sociocultural contexts.</w:t>
      </w:r>
    </w:p>
    <w:bookmarkEnd w:id="85"/>
    <w:bookmarkStart w:id="219" w:name="references"/>
    <w:p>
      <w:pPr>
        <w:pStyle w:val="Heading2"/>
      </w:pPr>
      <w:r>
        <w:t xml:space="preserve">References</w:t>
      </w:r>
    </w:p>
    <w:bookmarkStart w:id="218" w:name="refs"/>
    <w:bookmarkStart w:id="87" w:name="X3d7609515c718f184a8ef6a89c455aaf5b15126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Muehlenhard CL, Humphreys TP, Jozkowski KN, Peterson ZD. The</w:t>
      </w:r>
      <w:r>
        <w:t xml:space="preserve"> </w:t>
      </w:r>
      <w:r>
        <w:t xml:space="preserve">Complexities</w:t>
      </w:r>
      <w:r>
        <w:t xml:space="preserve"> </w:t>
      </w:r>
      <w:r>
        <w:t xml:space="preserve">of</w:t>
      </w:r>
      <w:r>
        <w:t xml:space="preserve"> </w:t>
      </w:r>
      <w:r>
        <w:t xml:space="preserve">Sexual Consent</w:t>
      </w:r>
      <w:r>
        <w:t xml:space="preserve"> </w:t>
      </w:r>
      <w:r>
        <w:t xml:space="preserve">among</w:t>
      </w:r>
      <w:r>
        <w:t xml:space="preserve"> </w:t>
      </w:r>
      <w:r>
        <w:t xml:space="preserve">College Students</w:t>
      </w:r>
      <w:r>
        <w:t xml:space="preserve">:</w:t>
      </w:r>
      <w:r>
        <w:t xml:space="preserve"> </w:t>
      </w:r>
      <w:r>
        <w:t xml:space="preserve">A Conceptual</w:t>
      </w:r>
      <w:r>
        <w:t xml:space="preserve"> </w:t>
      </w:r>
      <w:r>
        <w:t xml:space="preserve">and</w:t>
      </w:r>
      <w:r>
        <w:t xml:space="preserve"> </w:t>
      </w:r>
      <w:r>
        <w:t xml:space="preserve">Empirical Review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Sex Research</w:t>
      </w:r>
      <w:r>
        <w:t xml:space="preserve">. 2016;53(4-5):457-487. doi:</w:t>
      </w:r>
      <w:hyperlink r:id="rId86">
        <w:r>
          <w:rPr>
            <w:rStyle w:val="Hyperlink"/>
          </w:rPr>
          <w:t xml:space="preserve">10.1080/00224499.2016.1146651</w:t>
        </w:r>
      </w:hyperlink>
    </w:p>
    <w:bookmarkEnd w:id="87"/>
    <w:bookmarkStart w:id="89" w:name="Xb8b08d674b19f5cab98f6d8f4ce23bb244dcb02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Willis M, Blunt-Vinti HD, Jozkowski KN. Associations between internal and external sexual consent in a diverse national sample of women.</w:t>
      </w:r>
      <w:r>
        <w:t xml:space="preserve"> </w:t>
      </w:r>
      <w:r>
        <w:rPr>
          <w:i/>
          <w:iCs/>
        </w:rPr>
        <w:t xml:space="preserve">Personality and Individual Differences</w:t>
      </w:r>
      <w:r>
        <w:t xml:space="preserve">. 2019;149:37-45. doi:</w:t>
      </w:r>
      <w:hyperlink r:id="rId88">
        <w:r>
          <w:rPr>
            <w:rStyle w:val="Hyperlink"/>
          </w:rPr>
          <w:t xml:space="preserve">10.1016/j.paid.2019.05.029</w:t>
        </w:r>
      </w:hyperlink>
    </w:p>
    <w:bookmarkEnd w:id="89"/>
    <w:bookmarkStart w:id="91" w:name="ref-curtis201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Curtis JN, Burnett S. Affirmative consent: What do college student leaders think about</w:t>
      </w:r>
      <w:r>
        <w:t xml:space="preserve"> </w:t>
      </w:r>
      <w:r>
        <w:t xml:space="preserve">“</w:t>
      </w:r>
      <w:r>
        <w:t xml:space="preserve">yes means yes</w:t>
      </w:r>
      <w:r>
        <w:t xml:space="preserve">”</w:t>
      </w:r>
      <w:r>
        <w:t xml:space="preserve"> </w:t>
      </w:r>
      <w:r>
        <w:t xml:space="preserve">as the standard for sexual behavior?</w:t>
      </w:r>
      <w:r>
        <w:t xml:space="preserve"> </w:t>
      </w:r>
      <w:r>
        <w:rPr>
          <w:i/>
          <w:iCs/>
        </w:rPr>
        <w:t xml:space="preserve">American Journal of Sexuality Education</w:t>
      </w:r>
      <w:r>
        <w:t xml:space="preserve">. 2017;12(3):201-214. doi:</w:t>
      </w:r>
      <w:hyperlink r:id="rId90">
        <w:r>
          <w:rPr>
            <w:rStyle w:val="Hyperlink"/>
          </w:rPr>
          <w:t xml:space="preserve">10.1080/15546128.2017.1328322</w:t>
        </w:r>
      </w:hyperlink>
    </w:p>
    <w:bookmarkEnd w:id="91"/>
    <w:bookmarkStart w:id="93" w:name="ref-rinioloRoleAlcoholContext2025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Riniolo RJS.</w:t>
      </w:r>
      <w:r>
        <w:t xml:space="preserve"> </w:t>
      </w:r>
      <w:r>
        <w:rPr>
          <w:i/>
          <w:iCs/>
        </w:rPr>
        <w:t xml:space="preserve">The role of alcohol and context in sexual consent communication: A daily diary examination.</w:t>
      </w:r>
      <w:r>
        <w:t xml:space="preserve"> PhD thesis. 2025.</w:t>
      </w:r>
      <w:r>
        <w:t xml:space="preserve"> </w:t>
      </w:r>
      <w:hyperlink r:id="rId92">
        <w:r>
          <w:rPr>
            <w:rStyle w:val="Hyperlink"/>
          </w:rPr>
          <w:t xml:space="preserve">https://research.ebsco.com/linkprocessor/plink?id=24ba5255-90f6-392f-94fe-17a28dff0a35</w:t>
        </w:r>
      </w:hyperlink>
    </w:p>
    <w:bookmarkEnd w:id="93"/>
    <w:bookmarkStart w:id="95" w:name="ref-willisInternalExternalSexual202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Willis M, Marcantonio TL, Jozkowski KN. Internal and external sexual consent during events that involved alcohol, cannabis, or both.</w:t>
      </w:r>
      <w:r>
        <w:t xml:space="preserve"> </w:t>
      </w:r>
      <w:r>
        <w:rPr>
          <w:i/>
          <w:iCs/>
        </w:rPr>
        <w:t xml:space="preserve">Sexual Health</w:t>
      </w:r>
      <w:r>
        <w:t xml:space="preserve">. 2021;18(3):260-268. doi:</w:t>
      </w:r>
      <w:hyperlink r:id="rId94">
        <w:r>
          <w:rPr>
            <w:rStyle w:val="Hyperlink"/>
          </w:rPr>
          <w:t xml:space="preserve">10.1071/SH21015</w:t>
        </w:r>
      </w:hyperlink>
    </w:p>
    <w:bookmarkEnd w:id="95"/>
    <w:bookmarkStart w:id="97" w:name="Xdceb5630d10db4650229dcf1a97bbd45288eb90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Marcantonio TL, Cao C, Leone RM, Cropsey K. A</w:t>
      </w:r>
      <w:r>
        <w:t xml:space="preserve"> </w:t>
      </w:r>
      <w:r>
        <w:t xml:space="preserve">Within-Person Examination</w:t>
      </w:r>
      <w:r>
        <w:t xml:space="preserve"> </w:t>
      </w:r>
      <w:r>
        <w:t xml:space="preserve">of</w:t>
      </w:r>
      <w:r>
        <w:t xml:space="preserve"> </w:t>
      </w:r>
      <w:r>
        <w:t xml:space="preserve">Alcohol-Involved</w:t>
      </w:r>
      <w:r>
        <w:t xml:space="preserve"> </w:t>
      </w:r>
      <w:r>
        <w:t xml:space="preserve">and</w:t>
      </w:r>
      <w:r>
        <w:t xml:space="preserve"> </w:t>
      </w:r>
      <w:r>
        <w:t xml:space="preserve">Non</w:t>
      </w:r>
      <w:r>
        <w:t xml:space="preserve">–</w:t>
      </w:r>
      <w:r>
        <w:t xml:space="preserve">Alcohol-Involved Internal</w:t>
      </w:r>
      <w:r>
        <w:t xml:space="preserve"> </w:t>
      </w:r>
      <w:r>
        <w:t xml:space="preserve">and</w:t>
      </w:r>
      <w:r>
        <w:t xml:space="preserve"> </w:t>
      </w:r>
      <w:r>
        <w:t xml:space="preserve">External Sexual Consent Communication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Studies on Alcohol and Drugs</w:t>
      </w:r>
      <w:r>
        <w:t xml:space="preserve">. 2024;85(5):627-635. doi:</w:t>
      </w:r>
      <w:hyperlink r:id="rId96">
        <w:r>
          <w:rPr>
            <w:rStyle w:val="Hyperlink"/>
          </w:rPr>
          <w:t xml:space="preserve">10.15288/jsad.23-00260</w:t>
        </w:r>
      </w:hyperlink>
    </w:p>
    <w:bookmarkEnd w:id="97"/>
    <w:bookmarkStart w:id="99" w:name="Xc9e0a0d94548fa3cad352e7bf6267b13f379897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Serre F, Fatseas M, Swendsen J, Auriacombe M. Ecological momentary assessment in the investigation of craving and substance use in daily life: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review.</w:t>
      </w:r>
      <w:r>
        <w:t xml:space="preserve"> </w:t>
      </w:r>
      <w:r>
        <w:rPr>
          <w:i/>
          <w:iCs/>
        </w:rPr>
        <w:t xml:space="preserve">Drug and Alcohol Dependence</w:t>
      </w:r>
      <w:r>
        <w:t xml:space="preserve">. 2015;148:1-20. doi:</w:t>
      </w:r>
      <w:hyperlink r:id="rId98">
        <w:r>
          <w:rPr>
            <w:rStyle w:val="Hyperlink"/>
          </w:rPr>
          <w:t xml:space="preserve">10.1016/j.drugalcdep.2014.12.024</w:t>
        </w:r>
      </w:hyperlink>
    </w:p>
    <w:bookmarkEnd w:id="99"/>
    <w:bookmarkStart w:id="101" w:name="ref-rodríguez-blanco2018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Rodríguez-Blanco L, Carballo JJ, Baca-García E. Use of ecological momentary assessment (EMA) in non-suicidal self-injury (NSSI): A systematic review.</w:t>
      </w:r>
      <w:r>
        <w:t xml:space="preserve"> </w:t>
      </w:r>
      <w:r>
        <w:rPr>
          <w:i/>
          <w:iCs/>
        </w:rPr>
        <w:t xml:space="preserve">Psychiatry Research</w:t>
      </w:r>
      <w:r>
        <w:t xml:space="preserve">. 2018;263:212-219. doi:</w:t>
      </w:r>
      <w:hyperlink r:id="rId100">
        <w:r>
          <w:rPr>
            <w:rStyle w:val="Hyperlink"/>
          </w:rPr>
          <w:t xml:space="preserve">10.1016/j.psychres.2018.02.051</w:t>
        </w:r>
      </w:hyperlink>
    </w:p>
    <w:bookmarkEnd w:id="101"/>
    <w:bookmarkStart w:id="103" w:name="ref-bolger2003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Bolger N, Davis A, Rafaeli E. Diary Methods: Capturing Life as it is Lived.</w:t>
      </w:r>
      <w:r>
        <w:t xml:space="preserve"> </w:t>
      </w:r>
      <w:r>
        <w:rPr>
          <w:i/>
          <w:iCs/>
        </w:rPr>
        <w:t xml:space="preserve">Annual Review of Psychology</w:t>
      </w:r>
      <w:r>
        <w:t xml:space="preserve">. 2003;54(Volume 54, 2003):579-616. doi:</w:t>
      </w:r>
      <w:hyperlink r:id="rId102">
        <w:r>
          <w:rPr>
            <w:rStyle w:val="Hyperlink"/>
          </w:rPr>
          <w:t xml:space="preserve">10.1146/annurev.psych.54.101601.145030</w:t>
        </w:r>
      </w:hyperlink>
    </w:p>
    <w:bookmarkEnd w:id="103"/>
    <w:bookmarkStart w:id="105" w:name="X27eeab383b9dc8b4e53d20920093dfb10ded764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Willis M, Jozkowski KN, Bridges AJ, Veilleux JC, Davis RE. Assessing the</w:t>
      </w:r>
      <w:r>
        <w:t xml:space="preserve"> </w:t>
      </w:r>
      <w:r>
        <w:t xml:space="preserve">Within-Person Variability</w:t>
      </w:r>
      <w:r>
        <w:t xml:space="preserve"> </w:t>
      </w:r>
      <w:r>
        <w:t xml:space="preserve">of</w:t>
      </w:r>
      <w:r>
        <w:t xml:space="preserve"> </w:t>
      </w:r>
      <w:r>
        <w:t xml:space="preserve">Internal</w:t>
      </w:r>
      <w:r>
        <w:t xml:space="preserve"> </w:t>
      </w:r>
      <w:r>
        <w:t xml:space="preserve">and</w:t>
      </w:r>
      <w:r>
        <w:t xml:space="preserve"> </w:t>
      </w:r>
      <w:r>
        <w:t xml:space="preserve">External Sexual Consent</w:t>
      </w:r>
      <w:r>
        <w:t xml:space="preserve">.</w:t>
      </w:r>
      <w:r>
        <w:t xml:space="preserve"> </w:t>
      </w:r>
      <w:r>
        <w:rPr>
          <w:i/>
          <w:iCs/>
        </w:rPr>
        <w:t xml:space="preserve">The Journal of Sex Research</w:t>
      </w:r>
      <w:r>
        <w:t xml:space="preserve">. 2021;58(9):1173-1183. doi:</w:t>
      </w:r>
      <w:hyperlink r:id="rId104">
        <w:r>
          <w:rPr>
            <w:rStyle w:val="Hyperlink"/>
          </w:rPr>
          <w:t xml:space="preserve">10.1080/00224499.2021.1913567</w:t>
        </w:r>
      </w:hyperlink>
    </w:p>
    <w:bookmarkEnd w:id="105"/>
    <w:bookmarkStart w:id="107" w:name="ref-kossScopeRapeIncidence1987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Koss MP, Gidycz CA, Wisniewski N. The scope of rape:</w:t>
      </w:r>
      <w:r>
        <w:t xml:space="preserve"> </w:t>
      </w:r>
      <w:r>
        <w:t xml:space="preserve">Incidence</w:t>
      </w:r>
      <w:r>
        <w:t xml:space="preserve"> </w:t>
      </w:r>
      <w:r>
        <w:t xml:space="preserve">and prevalence of sexual aggression and victimization in a national sample of higher education students.</w:t>
      </w:r>
      <w:r>
        <w:t xml:space="preserve"> </w:t>
      </w:r>
      <w:r>
        <w:rPr>
          <w:i/>
          <w:iCs/>
        </w:rPr>
        <w:t xml:space="preserve">Journal of Consulting and Clinical Psychology</w:t>
      </w:r>
      <w:r>
        <w:t xml:space="preserve">. 1987;55(2):162-170. doi:</w:t>
      </w:r>
      <w:hyperlink r:id="rId106">
        <w:r>
          <w:rPr>
            <w:rStyle w:val="Hyperlink"/>
          </w:rPr>
          <w:t xml:space="preserve">10.1037/0022-006X.55.2.162</w:t>
        </w:r>
      </w:hyperlink>
    </w:p>
    <w:bookmarkEnd w:id="107"/>
    <w:bookmarkStart w:id="109" w:name="ref-kossScopeRapeVictimization2022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Koss MP, Swartout KM, Lopez EC, et al. 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Rape Victimization</w:t>
      </w:r>
      <w:r>
        <w:t xml:space="preserve"> </w:t>
      </w:r>
      <w:r>
        <w:t xml:space="preserve">and</w:t>
      </w:r>
      <w:r>
        <w:t xml:space="preserve"> </w:t>
      </w:r>
      <w:r>
        <w:t xml:space="preserve">Perpetration Among National Samples</w:t>
      </w:r>
      <w:r>
        <w:t xml:space="preserve"> </w:t>
      </w:r>
      <w:r>
        <w:t xml:space="preserve">of</w:t>
      </w:r>
      <w:r>
        <w:t xml:space="preserve"> </w:t>
      </w:r>
      <w:r>
        <w:t xml:space="preserve">College Students Across</w:t>
      </w:r>
      <w:r>
        <w:t xml:space="preserve"> </w:t>
      </w:r>
      <w:r>
        <w:t xml:space="preserve">30 years.</w:t>
      </w:r>
      <w:r>
        <w:t xml:space="preserve"> </w:t>
      </w:r>
      <w:r>
        <w:rPr>
          <w:i/>
          <w:iCs/>
        </w:rPr>
        <w:t xml:space="preserve">Journal of Interpersonal Violence</w:t>
      </w:r>
      <w:r>
        <w:t xml:space="preserve">. 2022;37(1-2):NP25-NP47. doi:</w:t>
      </w:r>
      <w:hyperlink r:id="rId108">
        <w:r>
          <w:rPr>
            <w:rStyle w:val="Hyperlink"/>
          </w:rPr>
          <w:t xml:space="preserve">10.1177/08862605211050103</w:t>
        </w:r>
      </w:hyperlink>
    </w:p>
    <w:bookmarkEnd w:id="109"/>
    <w:bookmarkStart w:id="111" w:name="X98850e9da4980897d8564fe32ac1d93ced8faaa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Beres M. Perspectives of rape-prevention educators on the role of consent in sexual violence prevention.</w:t>
      </w:r>
      <w:r>
        <w:t xml:space="preserve"> </w:t>
      </w:r>
      <w:r>
        <w:rPr>
          <w:i/>
          <w:iCs/>
        </w:rPr>
        <w:t xml:space="preserve">Sex Education</w:t>
      </w:r>
      <w:r>
        <w:t xml:space="preserve">. 2020;20(2):227-238. doi:</w:t>
      </w:r>
      <w:hyperlink r:id="rId110">
        <w:r>
          <w:rPr>
            <w:rStyle w:val="Hyperlink"/>
          </w:rPr>
          <w:t xml:space="preserve">10.1080/14681811.2019.1621744</w:t>
        </w:r>
      </w:hyperlink>
    </w:p>
    <w:bookmarkEnd w:id="111"/>
    <w:bookmarkStart w:id="113" w:name="ref-beresRethinkingConceptConsent2014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Beres MA. Rethinking the concept of consent for anti-sexual violence activism and education.</w:t>
      </w:r>
      <w:r>
        <w:t xml:space="preserve"> </w:t>
      </w:r>
      <w:r>
        <w:rPr>
          <w:i/>
          <w:iCs/>
        </w:rPr>
        <w:t xml:space="preserve">Feminism &amp; Psychology</w:t>
      </w:r>
      <w:r>
        <w:t xml:space="preserve">. 2014;24(3):373-389. doi:</w:t>
      </w:r>
      <w:hyperlink r:id="rId112">
        <w:r>
          <w:rPr>
            <w:rStyle w:val="Hyperlink"/>
          </w:rPr>
          <w:t xml:space="preserve">10.1177/0959353514539652</w:t>
        </w:r>
      </w:hyperlink>
    </w:p>
    <w:bookmarkEnd w:id="113"/>
    <w:bookmarkStart w:id="115" w:name="ref-willisSexualConsentCommitted2021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Willis M, Murray KN, Jozkowski KN. Sexual</w:t>
      </w:r>
      <w:r>
        <w:t xml:space="preserve"> </w:t>
      </w:r>
      <w:r>
        <w:t xml:space="preserve">Consent</w:t>
      </w:r>
      <w:r>
        <w:t xml:space="preserve"> </w:t>
      </w:r>
      <w:r>
        <w:t xml:space="preserve">in</w:t>
      </w:r>
      <w:r>
        <w:t xml:space="preserve"> </w:t>
      </w:r>
      <w:r>
        <w:t xml:space="preserve">Committed Relationships</w:t>
      </w:r>
      <w:r>
        <w:t xml:space="preserve">:</w:t>
      </w:r>
      <w:r>
        <w:t xml:space="preserve"> </w:t>
      </w:r>
      <w:r>
        <w:t xml:space="preserve">A Dyadic Study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Sex &amp; Marital Therapy</w:t>
      </w:r>
      <w:r>
        <w:t xml:space="preserve">. 2021;47(7):669-686. doi:</w:t>
      </w:r>
      <w:hyperlink r:id="rId114">
        <w:r>
          <w:rPr>
            <w:rStyle w:val="Hyperlink"/>
          </w:rPr>
          <w:t xml:space="preserve">10.1080/0092623X.2021.1937417</w:t>
        </w:r>
      </w:hyperlink>
    </w:p>
    <w:bookmarkEnd w:id="115"/>
    <w:bookmarkStart w:id="117" w:name="ref-marcantonioEffectsTypicalBinge2022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Marcantonio TL, Willis M, Jozkowski KN. Effects of</w:t>
      </w:r>
      <w:r>
        <w:t xml:space="preserve"> </w:t>
      </w:r>
      <w:r>
        <w:t xml:space="preserve">Typical</w:t>
      </w:r>
      <w:r>
        <w:t xml:space="preserve"> </w:t>
      </w:r>
      <w:r>
        <w:t xml:space="preserve">and</w:t>
      </w:r>
      <w:r>
        <w:t xml:space="preserve"> </w:t>
      </w:r>
      <w:r>
        <w:t xml:space="preserve">Binge Drinking</w:t>
      </w:r>
      <w:r>
        <w:t xml:space="preserve"> </w:t>
      </w:r>
      <w:r>
        <w:t xml:space="preserve">on</w:t>
      </w:r>
      <w:r>
        <w:t xml:space="preserve"> </w:t>
      </w:r>
      <w:r>
        <w:t xml:space="preserve">Sexual Consent Perceptions</w:t>
      </w:r>
      <w:r>
        <w:t xml:space="preserve"> </w:t>
      </w:r>
      <w:r>
        <w:t xml:space="preserve">and</w:t>
      </w:r>
      <w:r>
        <w:t xml:space="preserve"> </w:t>
      </w:r>
      <w:r>
        <w:t xml:space="preserve">Communication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Sex &amp; Marital Therapy</w:t>
      </w:r>
      <w:r>
        <w:t xml:space="preserve">. 2022;48(3):273-284. doi:</w:t>
      </w:r>
      <w:hyperlink r:id="rId116">
        <w:r>
          <w:rPr>
            <w:rStyle w:val="Hyperlink"/>
          </w:rPr>
          <w:t xml:space="preserve">10.1080/0092623X.2021.1986445</w:t>
        </w:r>
      </w:hyperlink>
    </w:p>
    <w:bookmarkEnd w:id="117"/>
    <w:bookmarkStart w:id="119" w:name="X05879c52adae3f7664d1724931a0324607bedfa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Jozkowski KN, Peterson ZD, Sanders SA, Dennis B, Reece M. Gender</w:t>
      </w:r>
      <w:r>
        <w:t xml:space="preserve"> </w:t>
      </w:r>
      <w:r>
        <w:t xml:space="preserve">Differences</w:t>
      </w:r>
      <w:r>
        <w:t xml:space="preserve"> </w:t>
      </w:r>
      <w:r>
        <w:t xml:space="preserve">in</w:t>
      </w:r>
      <w:r>
        <w:t xml:space="preserve"> </w:t>
      </w:r>
      <w:r>
        <w:t xml:space="preserve">Heterosexual College Students</w:t>
      </w:r>
      <w:r>
        <w:t xml:space="preserve">’</w:t>
      </w:r>
      <w:r>
        <w:t xml:space="preserve"> </w:t>
      </w:r>
      <w:r>
        <w:t xml:space="preserve">Conceptualizations</w:t>
      </w:r>
      <w:r>
        <w:t xml:space="preserve"> </w:t>
      </w:r>
      <w:r>
        <w:t xml:space="preserve">and</w:t>
      </w:r>
      <w:r>
        <w:t xml:space="preserve"> </w:t>
      </w:r>
      <w:r>
        <w:t xml:space="preserve">Indicators</w:t>
      </w:r>
      <w:r>
        <w:t xml:space="preserve"> </w:t>
      </w:r>
      <w:r>
        <w:t xml:space="preserve">of</w:t>
      </w:r>
      <w:r>
        <w:t xml:space="preserve"> </w:t>
      </w:r>
      <w:r>
        <w:t xml:space="preserve">Sexual Consent</w:t>
      </w:r>
      <w:r>
        <w:t xml:space="preserve">:</w:t>
      </w:r>
      <w:r>
        <w:t xml:space="preserve"> </w:t>
      </w:r>
      <w:r>
        <w:t xml:space="preserve">Implications</w:t>
      </w:r>
      <w:r>
        <w:t xml:space="preserve"> </w:t>
      </w:r>
      <w:r>
        <w:t xml:space="preserve">for</w:t>
      </w:r>
      <w:r>
        <w:t xml:space="preserve"> </w:t>
      </w:r>
      <w:r>
        <w:t xml:space="preserve">Contemporary Sexual Assault Prevention Education</w:t>
      </w:r>
      <w:r>
        <w:t xml:space="preserve">.</w:t>
      </w:r>
      <w:r>
        <w:t xml:space="preserve"> </w:t>
      </w:r>
      <w:r>
        <w:rPr>
          <w:i/>
          <w:iCs/>
        </w:rPr>
        <w:t xml:space="preserve">The Journal of Sex Research</w:t>
      </w:r>
      <w:r>
        <w:t xml:space="preserve">. 2014;51(8):904-916. doi:</w:t>
      </w:r>
      <w:hyperlink r:id="rId118">
        <w:r>
          <w:rPr>
            <w:rStyle w:val="Hyperlink"/>
          </w:rPr>
          <w:t xml:space="preserve">10.1080/00224499.2013.792326</w:t>
        </w:r>
      </w:hyperlink>
    </w:p>
    <w:bookmarkEnd w:id="119"/>
    <w:bookmarkStart w:id="121" w:name="ref-burtonTeachingSexualConsent2023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Burton O, Rawstorne P, Watchirs-Smith L, Nathan S, Carter A. Teaching sexual consent to young people in education settings: A narrative systematic review.</w:t>
      </w:r>
      <w:r>
        <w:t xml:space="preserve"> </w:t>
      </w:r>
      <w:r>
        <w:rPr>
          <w:i/>
          <w:iCs/>
        </w:rPr>
        <w:t xml:space="preserve">Sex Education</w:t>
      </w:r>
      <w:r>
        <w:t xml:space="preserve">. 2023;23(1):18-34. doi:</w:t>
      </w:r>
      <w:hyperlink r:id="rId120">
        <w:r>
          <w:rPr>
            <w:rStyle w:val="Hyperlink"/>
          </w:rPr>
          <w:t xml:space="preserve">10.1080/14681811.2021.2018676</w:t>
        </w:r>
      </w:hyperlink>
    </w:p>
    <w:bookmarkEnd w:id="121"/>
    <w:bookmarkStart w:id="123" w:name="ref-jozkowskiChapter9Sexual2022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Jozkowski KN. Chapter 9 -</w:t>
      </w:r>
      <w:r>
        <w:t xml:space="preserve"> </w:t>
      </w:r>
      <w:r>
        <w:t xml:space="preserve">Sexual</w:t>
      </w:r>
      <w:r>
        <w:t xml:space="preserve"> </w:t>
      </w:r>
      <w:r>
        <w:t xml:space="preserve">consent and the prevention of sexual aggression. In: Orchowski LM, Berkowitz AD, eds.</w:t>
      </w:r>
      <w:r>
        <w:t xml:space="preserve"> </w:t>
      </w:r>
      <w:r>
        <w:rPr>
          <w:i/>
          <w:iCs/>
        </w:rPr>
        <w:t xml:space="preserve">Engaging</w:t>
      </w:r>
      <w:r>
        <w:rPr>
          <w:i/>
          <w:iCs/>
        </w:rPr>
        <w:t xml:space="preserve"> </w:t>
      </w:r>
      <w:r>
        <w:rPr>
          <w:i/>
          <w:iCs/>
        </w:rPr>
        <w:t xml:space="preserve">Boys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Men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i/>
          <w:iCs/>
        </w:rPr>
        <w:t xml:space="preserve">Sexual Assault Prevention</w:t>
      </w:r>
      <w:r>
        <w:t xml:space="preserve">. Academic Press; 2022:211-236. doi:</w:t>
      </w:r>
      <w:hyperlink r:id="rId122">
        <w:r>
          <w:rPr>
            <w:rStyle w:val="Hyperlink"/>
          </w:rPr>
          <w:t xml:space="preserve">10.1016/B978-0-12-819202-3.00008-0</w:t>
        </w:r>
      </w:hyperlink>
    </w:p>
    <w:bookmarkEnd w:id="123"/>
    <w:bookmarkStart w:id="124" w:name="X6a274a9174803725c0aa9e4b5d660827fa0c5dd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Lonsway KA, Fitzgerald LF. Attitudinal</w:t>
      </w:r>
      <w:r>
        <w:t xml:space="preserve"> </w:t>
      </w:r>
      <w:r>
        <w:t xml:space="preserve">Antecedents</w:t>
      </w:r>
      <w:r>
        <w:t xml:space="preserve"> </w:t>
      </w:r>
      <w:r>
        <w:t xml:space="preserve">of</w:t>
      </w:r>
      <w:r>
        <w:t xml:space="preserve"> </w:t>
      </w:r>
      <w:r>
        <w:t xml:space="preserve">Rape Myth Acceptance</w:t>
      </w:r>
      <w:r>
        <w:t xml:space="preserve">:</w:t>
      </w:r>
      <w:r>
        <w:t xml:space="preserve"> </w:t>
      </w:r>
      <w:r>
        <w:t xml:space="preserve">A Theoretical</w:t>
      </w:r>
      <w:r>
        <w:t xml:space="preserve"> </w:t>
      </w:r>
      <w:r>
        <w:t xml:space="preserve">and</w:t>
      </w:r>
      <w:r>
        <w:t xml:space="preserve"> </w:t>
      </w:r>
      <w:r>
        <w:t xml:space="preserve">Empirical Reexamination</w:t>
      </w:r>
      <w:r>
        <w:t xml:space="preserve">. 1995;68(4):704-711.</w:t>
      </w:r>
    </w:p>
    <w:bookmarkEnd w:id="124"/>
    <w:bookmarkStart w:id="126" w:name="ref-payneRapeMythAcceptance1999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Payne DL, Lonsway KA, Fitzgerald LF. Rape</w:t>
      </w:r>
      <w:r>
        <w:t xml:space="preserve"> </w:t>
      </w:r>
      <w:r>
        <w:t xml:space="preserve">Myth Acceptance</w:t>
      </w:r>
      <w:r>
        <w:t xml:space="preserve">:</w:t>
      </w:r>
      <w:r>
        <w:t xml:space="preserve"> </w:t>
      </w:r>
      <w:r>
        <w:t xml:space="preserve">Exploration</w:t>
      </w:r>
      <w:r>
        <w:t xml:space="preserve"> </w:t>
      </w:r>
      <w:r>
        <w:t xml:space="preserve">of</w:t>
      </w:r>
      <w:r>
        <w:t xml:space="preserve"> </w:t>
      </w:r>
      <w:r>
        <w:t xml:space="preserve">Its Structure</w:t>
      </w:r>
      <w:r>
        <w:t xml:space="preserve"> </w:t>
      </w:r>
      <w:r>
        <w:t xml:space="preserve">and</w:t>
      </w:r>
      <w:r>
        <w:t xml:space="preserve"> </w:t>
      </w:r>
      <w:r>
        <w:t xml:space="preserve">Its Measurement Using theIllinois Rape Myth Acceptance Scale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Research in Personality</w:t>
      </w:r>
      <w:r>
        <w:t xml:space="preserve">. 1999;33(1):27-68. doi:</w:t>
      </w:r>
      <w:hyperlink r:id="rId125">
        <w:r>
          <w:rPr>
            <w:rStyle w:val="Hyperlink"/>
          </w:rPr>
          <w:t xml:space="preserve">10.1006/jrpe.1998.2238</w:t>
        </w:r>
      </w:hyperlink>
    </w:p>
    <w:bookmarkEnd w:id="126"/>
    <w:bookmarkStart w:id="128" w:name="ref-baker2014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Baker CK, Naai R, Mitchell J, Trecker C. Utilizing a train-the-trainer model for sexual violence prevention: Findings from a pilot study with high school students of asian and pacific islander descent in hawai</w:t>
      </w:r>
      <w:r>
        <w:t xml:space="preserve">‘</w:t>
      </w:r>
      <w:r>
        <w:t xml:space="preserve">i.</w:t>
      </w:r>
      <w:r>
        <w:t xml:space="preserve"> </w:t>
      </w:r>
      <w:r>
        <w:rPr>
          <w:i/>
          <w:iCs/>
        </w:rPr>
        <w:t xml:space="preserve">Asian American Journal of Psychology</w:t>
      </w:r>
      <w:r>
        <w:t xml:space="preserve">. 2014;5(2):106-115. doi:</w:t>
      </w:r>
      <w:hyperlink r:id="rId127">
        <w:r>
          <w:rPr>
            <w:rStyle w:val="Hyperlink"/>
          </w:rPr>
          <w:t xml:space="preserve">10.1037/a0034670</w:t>
        </w:r>
      </w:hyperlink>
    </w:p>
    <w:bookmarkEnd w:id="128"/>
    <w:bookmarkStart w:id="130" w:name="ref-silver2018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Silver N, Hovick SR. A schema of denial: The influence of rape myth acceptance on beliefs, attitudes, and processing of affirmative consent campaign messages.</w:t>
      </w:r>
      <w:r>
        <w:t xml:space="preserve"> </w:t>
      </w:r>
      <w:r>
        <w:rPr>
          <w:i/>
          <w:iCs/>
        </w:rPr>
        <w:t xml:space="preserve">Journal of Health Communication</w:t>
      </w:r>
      <w:r>
        <w:t xml:space="preserve">. 2018;23(6):505-513. doi:</w:t>
      </w:r>
      <w:hyperlink r:id="rId129">
        <w:r>
          <w:rPr>
            <w:rStyle w:val="Hyperlink"/>
          </w:rPr>
          <w:t xml:space="preserve">10.1080/10810730.2018.1473532</w:t>
        </w:r>
      </w:hyperlink>
    </w:p>
    <w:bookmarkEnd w:id="130"/>
    <w:bookmarkStart w:id="132" w:name="ref-mcmahonUpdatedMeasureAssessing2011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McMahon S, Farmer LG. An updated measure for assessing subtle rape myths.</w:t>
      </w:r>
      <w:r>
        <w:t xml:space="preserve"> </w:t>
      </w:r>
      <w:r>
        <w:rPr>
          <w:i/>
          <w:iCs/>
        </w:rPr>
        <w:t xml:space="preserve">Social Work Research</w:t>
      </w:r>
      <w:r>
        <w:t xml:space="preserve">. 2011;35(2):71-81. doi:</w:t>
      </w:r>
      <w:hyperlink r:id="rId131">
        <w:r>
          <w:rPr>
            <w:rStyle w:val="Hyperlink"/>
          </w:rPr>
          <w:t xml:space="preserve">10.1093/swr/35.2.71</w:t>
        </w:r>
      </w:hyperlink>
    </w:p>
    <w:bookmarkEnd w:id="132"/>
    <w:bookmarkStart w:id="134" w:name="ref-wardAlcoholUseHostility2025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Ward SB, Hassanpour P, Walsh K. Alcohol</w:t>
      </w:r>
      <w:r>
        <w:t xml:space="preserve"> </w:t>
      </w:r>
      <w: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t xml:space="preserve">Hostility Toward Women</w:t>
      </w:r>
      <w:r>
        <w:t xml:space="preserve">:</w:t>
      </w:r>
      <w:r>
        <w:t xml:space="preserve"> </w:t>
      </w:r>
      <w:r>
        <w:t xml:space="preserve">Individual</w:t>
      </w:r>
      <w:r>
        <w:t xml:space="preserve"> </w:t>
      </w:r>
      <w:r>
        <w:t xml:space="preserve">and</w:t>
      </w:r>
      <w:r>
        <w:t xml:space="preserve"> </w:t>
      </w:r>
      <w:r>
        <w:t xml:space="preserve">Perceived Peer Attitudes Shape College Men</w:t>
      </w:r>
      <w:r>
        <w:t xml:space="preserve">’s</w:t>
      </w:r>
      <w:r>
        <w:t xml:space="preserve"> </w:t>
      </w:r>
      <w:r>
        <w:t xml:space="preserve">Consent Behavior</w:t>
      </w:r>
      <w:r>
        <w:t xml:space="preserve">.</w:t>
      </w:r>
      <w:r>
        <w:t xml:space="preserve"> </w:t>
      </w:r>
      <w:r>
        <w:rPr>
          <w:i/>
          <w:iCs/>
        </w:rPr>
        <w:t xml:space="preserve">Sex Roles</w:t>
      </w:r>
      <w:r>
        <w:t xml:space="preserve">. 2025;91(1):1. doi:</w:t>
      </w:r>
      <w:hyperlink r:id="rId133">
        <w:r>
          <w:rPr>
            <w:rStyle w:val="Hyperlink"/>
          </w:rPr>
          <w:t xml:space="preserve">10.1007/s11199-024-01551-5</w:t>
        </w:r>
      </w:hyperlink>
    </w:p>
    <w:bookmarkEnd w:id="134"/>
    <w:bookmarkStart w:id="136" w:name="ref-wardAlcoholSexualConsent2012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Ward RM, Matthews MR, Weiner J, Hogan KM, Popson HC. Alcohol and sexual consent scale:</w:t>
      </w:r>
      <w:r>
        <w:t xml:space="preserve"> </w:t>
      </w:r>
      <w:r>
        <w:t xml:space="preserve">Development</w:t>
      </w:r>
      <w:r>
        <w:t xml:space="preserve"> </w:t>
      </w:r>
      <w:r>
        <w:t xml:space="preserve">and validation.</w:t>
      </w:r>
      <w:r>
        <w:t xml:space="preserve"> </w:t>
      </w:r>
      <w:r>
        <w:rPr>
          <w:i/>
          <w:iCs/>
        </w:rPr>
        <w:t xml:space="preserve">American Journal of Health Behavior</w:t>
      </w:r>
      <w:r>
        <w:t xml:space="preserve">. 2012;36(6):746-756. doi:</w:t>
      </w:r>
      <w:hyperlink r:id="rId135">
        <w:r>
          <w:rPr>
            <w:rStyle w:val="Hyperlink"/>
          </w:rPr>
          <w:t xml:space="preserve">10.5993/AJHB.36.6.3</w:t>
        </w:r>
      </w:hyperlink>
    </w:p>
    <w:bookmarkEnd w:id="136"/>
    <w:bookmarkStart w:id="138" w:name="ref-swartoutCompanyTheyKeep2013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Swartout KM. The company they keep:</w:t>
      </w:r>
      <w:r>
        <w:t xml:space="preserve"> </w:t>
      </w:r>
      <w:r>
        <w:t xml:space="preserve">How</w:t>
      </w:r>
      <w:r>
        <w:t xml:space="preserve"> </w:t>
      </w:r>
      <w:r>
        <w:t xml:space="preserve">peer networks influence male sexual aggression.</w:t>
      </w:r>
      <w:r>
        <w:t xml:space="preserve"> </w:t>
      </w:r>
      <w:r>
        <w:rPr>
          <w:i/>
          <w:iCs/>
        </w:rPr>
        <w:t xml:space="preserve">Psychology of Violence</w:t>
      </w:r>
      <w:r>
        <w:t xml:space="preserve">. 2013;3(2):157-171. doi:</w:t>
      </w:r>
      <w:hyperlink r:id="rId137">
        <w:r>
          <w:rPr>
            <w:rStyle w:val="Hyperlink"/>
          </w:rPr>
          <w:t xml:space="preserve">10.1037/a0029997</w:t>
        </w:r>
      </w:hyperlink>
    </w:p>
    <w:bookmarkEnd w:id="138"/>
    <w:bookmarkStart w:id="140" w:name="ref-swartoutTrajectoryAnalysisCampus2015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Swartout KM, Koss MP, White JW, Thompson MP, Abbey A, Bellis AL. Trajectory analysis of the campus serial rapist assumption.</w:t>
      </w:r>
      <w:r>
        <w:t xml:space="preserve"> </w:t>
      </w:r>
      <w:r>
        <w:rPr>
          <w:i/>
          <w:iCs/>
        </w:rPr>
        <w:t xml:space="preserve">JAMA Pediatrics</w:t>
      </w:r>
      <w:r>
        <w:t xml:space="preserve">. 2015;169(12):1148-1154. doi:</w:t>
      </w:r>
      <w:hyperlink r:id="rId139">
        <w:r>
          <w:rPr>
            <w:rStyle w:val="Hyperlink"/>
          </w:rPr>
          <w:t xml:space="preserve">10.1001/jamapediatrics.2015.0707</w:t>
        </w:r>
      </w:hyperlink>
    </w:p>
    <w:bookmarkEnd w:id="140"/>
    <w:bookmarkStart w:id="142" w:name="ref-warrenComprehensionSexualConsent2015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Warren P, Swan S, Allen CT. Comprehension of sexual consent as a key factor in the perpetration of sexual aggression among college men.</w:t>
      </w:r>
      <w:r>
        <w:t xml:space="preserve"> </w:t>
      </w:r>
      <w:r>
        <w:rPr>
          <w:i/>
          <w:iCs/>
        </w:rPr>
        <w:t xml:space="preserve">Journal of Aggression, Maltreatment and Trauma</w:t>
      </w:r>
      <w:r>
        <w:t xml:space="preserve">. 2015;24(8):897-913. doi:</w:t>
      </w:r>
      <w:hyperlink r:id="rId141">
        <w:r>
          <w:rPr>
            <w:rStyle w:val="Hyperlink"/>
          </w:rPr>
          <w:t xml:space="preserve">10.1080/10926771.2015.1070232</w:t>
        </w:r>
      </w:hyperlink>
    </w:p>
    <w:bookmarkEnd w:id="142"/>
    <w:bookmarkStart w:id="144" w:name="ref-jensen2020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Jensen MB, Hunt G. Young women</w:t>
      </w:r>
      <w:r>
        <w:t xml:space="preserve">’</w:t>
      </w:r>
      <w:r>
        <w:t xml:space="preserve">s narratives on sex in the context of heavy alcohol use: Friendships, gender norms and the sociality of consent.</w:t>
      </w:r>
      <w:r>
        <w:t xml:space="preserve"> </w:t>
      </w:r>
      <w:r>
        <w:rPr>
          <w:i/>
          <w:iCs/>
        </w:rPr>
        <w:t xml:space="preserve">International Journal of Drug Policy</w:t>
      </w:r>
      <w:r>
        <w:t xml:space="preserve">. 2020;81:102526. doi:</w:t>
      </w:r>
      <w:hyperlink r:id="rId143">
        <w:r>
          <w:rPr>
            <w:rStyle w:val="Hyperlink"/>
          </w:rPr>
          <w:t xml:space="preserve">10.1016/j.drugpo.2019.07.021</w:t>
        </w:r>
      </w:hyperlink>
    </w:p>
    <w:bookmarkEnd w:id="144"/>
    <w:bookmarkStart w:id="146" w:name="ref-huntBlurringLineIntoxication2022"/>
    <w:p>
      <w:pPr>
        <w:pStyle w:val="Bibliography"/>
      </w:pPr>
      <w:r>
        <w:t xml:space="preserve">31.</w:t>
      </w:r>
      <w:r>
        <w:t xml:space="preserve"> </w:t>
      </w:r>
      <w:r>
        <w:t xml:space="preserve">	</w:t>
      </w:r>
      <w:r>
        <w:t xml:space="preserve">Hunt G, Sanders E, Petersen MA, Bogren A.</w:t>
      </w:r>
      <w:r>
        <w:t xml:space="preserve"> </w:t>
      </w:r>
      <w:r>
        <w:t xml:space="preserve">“</w:t>
      </w:r>
      <w:r>
        <w:t xml:space="preserve">Blurring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”</w:t>
      </w:r>
      <w:r>
        <w:t xml:space="preserve">:</w:t>
      </w:r>
      <w:r>
        <w:t xml:space="preserve"> </w:t>
      </w:r>
      <w:r>
        <w:t xml:space="preserve">Intoxication</w:t>
      </w:r>
      <w:r>
        <w:t xml:space="preserve">,</w:t>
      </w:r>
      <w:r>
        <w:t xml:space="preserve"> </w:t>
      </w:r>
      <w:r>
        <w:t xml:space="preserve">Gender</w:t>
      </w:r>
      <w:r>
        <w:t xml:space="preserve">,</w:t>
      </w:r>
      <w:r>
        <w:t xml:space="preserve"> </w:t>
      </w:r>
      <w:r>
        <w:t xml:space="preserve">Consent</w:t>
      </w:r>
      <w:r>
        <w:t xml:space="preserve">, and</w:t>
      </w:r>
      <w:r>
        <w:t xml:space="preserve"> </w:t>
      </w:r>
      <w:r>
        <w:t xml:space="preserve">Sexual Encounters Among Young Adults</w:t>
      </w:r>
      <w:r>
        <w:t xml:space="preserve">.</w:t>
      </w:r>
      <w:r>
        <w:t xml:space="preserve"> </w:t>
      </w:r>
      <w:r>
        <w:rPr>
          <w:i/>
          <w:iCs/>
        </w:rPr>
        <w:t xml:space="preserve">Contemporary Drug Problems</w:t>
      </w:r>
      <w:r>
        <w:t xml:space="preserve">. 2022;49(1):84-105. doi:</w:t>
      </w:r>
      <w:hyperlink r:id="rId145">
        <w:r>
          <w:rPr>
            <w:rStyle w:val="Hyperlink"/>
          </w:rPr>
          <w:t xml:space="preserve">10.1177/00914509211058900</w:t>
        </w:r>
      </w:hyperlink>
    </w:p>
    <w:bookmarkEnd w:id="146"/>
    <w:bookmarkStart w:id="148" w:name="ref-marcantonioWeRelyOthers"/>
    <w:p>
      <w:pPr>
        <w:pStyle w:val="Bibliography"/>
      </w:pPr>
      <w:r>
        <w:t xml:space="preserve">32.</w:t>
      </w:r>
      <w:r>
        <w:t xml:space="preserve"> </w:t>
      </w:r>
      <w:r>
        <w:t xml:space="preserve">	</w:t>
      </w:r>
      <w:r>
        <w:t xml:space="preserve">Marcantonio TL, Jozkowski KN.</w:t>
      </w:r>
      <w:r>
        <w:t xml:space="preserve"> </w:t>
      </w:r>
      <w:r>
        <w:t xml:space="preserve">“</w:t>
      </w:r>
      <w:r>
        <w:t xml:space="preserve">We Rely</w:t>
      </w:r>
      <w:r>
        <w:t xml:space="preserve"> </w:t>
      </w:r>
      <w:r>
        <w:t xml:space="preserve">on</w:t>
      </w:r>
      <w:r>
        <w:t xml:space="preserve"> </w:t>
      </w:r>
      <w:r>
        <w:t xml:space="preserve">Others</w:t>
      </w:r>
      <w:r>
        <w:t xml:space="preserve">, but</w:t>
      </w:r>
      <w:r>
        <w:t xml:space="preserve"> </w:t>
      </w:r>
      <w:r>
        <w:t xml:space="preserve">Perhaps Too Much</w:t>
      </w:r>
      <w:r>
        <w:t xml:space="preserve">?”</w:t>
      </w:r>
      <w:r>
        <w:t xml:space="preserve"> </w:t>
      </w:r>
      <w:r>
        <w:t xml:space="preserve">Assessing How College Students Use Relational</w:t>
      </w:r>
      <w:r>
        <w:t xml:space="preserve"> </w:t>
      </w:r>
      <w:r>
        <w:t xml:space="preserve">and</w:t>
      </w:r>
      <w:r>
        <w:t xml:space="preserve"> </w:t>
      </w:r>
      <w:r>
        <w:t xml:space="preserve">Social Contexts</w:t>
      </w:r>
      <w:r>
        <w:t xml:space="preserve"> </w:t>
      </w:r>
      <w:r>
        <w:t xml:space="preserve">to</w:t>
      </w:r>
      <w:r>
        <w:t xml:space="preserve"> </w:t>
      </w:r>
      <w:r>
        <w:t xml:space="preserve">Determine Consent During</w:t>
      </w:r>
      <w:r>
        <w:t xml:space="preserve"> </w:t>
      </w:r>
      <w:r>
        <w:t xml:space="preserve">an</w:t>
      </w:r>
      <w:r>
        <w:t xml:space="preserve"> </w:t>
      </w:r>
      <w:r>
        <w:t xml:space="preserve">Alcohol-Involved Sexual Encounter</w:t>
      </w:r>
      <w:r>
        <w:t xml:space="preserve">.</w:t>
      </w:r>
      <w:r>
        <w:t xml:space="preserve"> </w:t>
      </w:r>
      <w:r>
        <w:rPr>
          <w:i/>
          <w:iCs/>
        </w:rPr>
        <w:t xml:space="preserve">The Journal of Sex Research</w:t>
      </w:r>
      <w:r>
        <w:t xml:space="preserve">. 0(0):1-15. doi:</w:t>
      </w:r>
      <w:hyperlink r:id="rId147">
        <w:r>
          <w:rPr>
            <w:rStyle w:val="Hyperlink"/>
          </w:rPr>
          <w:t xml:space="preserve">10.1080/00224499.2025.2462635</w:t>
        </w:r>
      </w:hyperlink>
    </w:p>
    <w:bookmarkEnd w:id="148"/>
    <w:bookmarkStart w:id="150" w:name="ref-marcantonioWhatWouldYou2025"/>
    <w:p>
      <w:pPr>
        <w:pStyle w:val="Bibliography"/>
      </w:pPr>
      <w:r>
        <w:t xml:space="preserve">33.</w:t>
      </w:r>
      <w:r>
        <w:t xml:space="preserve"> </w:t>
      </w:r>
      <w:r>
        <w:t xml:space="preserve">	</w:t>
      </w:r>
      <w:r>
        <w:t xml:space="preserve">Marcantonio TL, Thrash A, Provost A, Jozkowski KN. What</w:t>
      </w:r>
      <w:r>
        <w:t xml:space="preserve"> </w:t>
      </w:r>
      <w:r>
        <w:t xml:space="preserve">Would You Tell Your Friend About Trying</w:t>
      </w:r>
      <w:r>
        <w:t xml:space="preserve"> </w:t>
      </w:r>
      <w:r>
        <w:t xml:space="preserve">to</w:t>
      </w:r>
      <w:r>
        <w:t xml:space="preserve"> </w:t>
      </w:r>
      <w:r>
        <w:t xml:space="preserve">Consent After Having Consumed Alcohol</w:t>
      </w:r>
      <w:r>
        <w:t xml:space="preserve">?</w:t>
      </w:r>
      <w:r>
        <w:t xml:space="preserve"> </w:t>
      </w:r>
      <w:r>
        <w:t xml:space="preserve">Advice</w:t>
      </w:r>
      <w:r>
        <w:t xml:space="preserve"> </w:t>
      </w:r>
      <w:r>
        <w:t xml:space="preserve">from</w:t>
      </w:r>
      <w:r>
        <w:t xml:space="preserve"> </w:t>
      </w:r>
      <w:r>
        <w:t xml:space="preserve">U</w:t>
      </w:r>
      <w:r>
        <w:t xml:space="preserve">.</w:t>
      </w:r>
      <w:r>
        <w:t xml:space="preserve">S</w:t>
      </w:r>
      <w:r>
        <w:t xml:space="preserve">.</w:t>
      </w:r>
      <w:r>
        <w:t xml:space="preserve"> </w:t>
      </w:r>
      <w:r>
        <w:t xml:space="preserve">College Students About How They Navigate Alcohol-Involved Consensual Sexual Behavior</w:t>
      </w:r>
      <w:r>
        <w:t xml:space="preserve">.</w:t>
      </w:r>
      <w:r>
        <w:t xml:space="preserve"> </w:t>
      </w:r>
      <w:r>
        <w:rPr>
          <w:i/>
          <w:iCs/>
        </w:rPr>
        <w:t xml:space="preserve">Archives of Sexual Behavior</w:t>
      </w:r>
      <w:r>
        <w:t xml:space="preserve">. 2025;54(2):449-463. doi:</w:t>
      </w:r>
      <w:hyperlink r:id="rId149">
        <w:r>
          <w:rPr>
            <w:rStyle w:val="Hyperlink"/>
          </w:rPr>
          <w:t xml:space="preserve">10.1007/s10508-024-03041-x</w:t>
        </w:r>
      </w:hyperlink>
    </w:p>
    <w:bookmarkEnd w:id="150"/>
    <w:bookmarkStart w:id="152" w:name="ref-orchowskiIntegratedAlcoholSexual2023"/>
    <w:p>
      <w:pPr>
        <w:pStyle w:val="Bibliography"/>
      </w:pPr>
      <w:r>
        <w:t xml:space="preserve">34.</w:t>
      </w:r>
      <w:r>
        <w:t xml:space="preserve"> </w:t>
      </w:r>
      <w:r>
        <w:t xml:space="preserve">	</w:t>
      </w:r>
      <w:r>
        <w:t xml:space="preserve">Orchowski LM. Integrated</w:t>
      </w:r>
      <w:r>
        <w:t xml:space="preserve"> </w:t>
      </w:r>
      <w:r>
        <w:t xml:space="preserve">Alcohol</w:t>
      </w:r>
      <w:r>
        <w:t xml:space="preserve"> </w:t>
      </w:r>
      <w:r>
        <w:t xml:space="preserve">and</w:t>
      </w:r>
      <w:r>
        <w:t xml:space="preserve"> </w:t>
      </w:r>
      <w:r>
        <w:t xml:space="preserve">Sexual Assault Prevention</w:t>
      </w:r>
      <w:r>
        <w:t xml:space="preserve"> </w:t>
      </w:r>
      <w:r>
        <w:t xml:space="preserve">for</w:t>
      </w:r>
      <w:r>
        <w:t xml:space="preserve"> </w:t>
      </w:r>
      <w:r>
        <w:t xml:space="preserve">Military Service Members</w:t>
      </w:r>
      <w:r>
        <w:t xml:space="preserve">:</w:t>
      </w:r>
      <w:r>
        <w:t xml:space="preserve"> </w:t>
      </w:r>
      <w:r>
        <w:t xml:space="preserve">Conceptual Rationale</w:t>
      </w:r>
      <w:r>
        <w:t xml:space="preserve"> </w:t>
      </w:r>
      <w:r>
        <w:t xml:space="preserve">and</w:t>
      </w:r>
      <w:r>
        <w:t xml:space="preserve"> </w:t>
      </w:r>
      <w:r>
        <w:t xml:space="preserve">Program Models</w:t>
      </w:r>
      <w:r>
        <w:t xml:space="preserve">. In: DiLillo D, Gervais SJ, McChargue DE, eds.</w:t>
      </w:r>
      <w:r>
        <w:t xml:space="preserve"> </w:t>
      </w:r>
      <w:r>
        <w:rPr>
          <w:i/>
          <w:iCs/>
        </w:rPr>
        <w:t xml:space="preserve">Alcohol and</w:t>
      </w:r>
      <w:r>
        <w:rPr>
          <w:i/>
          <w:iCs/>
        </w:rPr>
        <w:t xml:space="preserve"> </w:t>
      </w:r>
      <w:r>
        <w:rPr>
          <w:i/>
          <w:iCs/>
        </w:rPr>
        <w:t xml:space="preserve">Sexual Violence</w:t>
      </w:r>
      <w:r>
        <w:t xml:space="preserve">. Nebraska</w:t>
      </w:r>
      <w:r>
        <w:t xml:space="preserve"> </w:t>
      </w:r>
      <w:r>
        <w:t xml:space="preserve">Symposium</w:t>
      </w:r>
      <w:r>
        <w:t xml:space="preserve"> </w:t>
      </w:r>
      <w:r>
        <w:t xml:space="preserve">on</w:t>
      </w:r>
      <w:r>
        <w:t xml:space="preserve"> </w:t>
      </w:r>
      <w:r>
        <w:t xml:space="preserve">Motivation</w:t>
      </w:r>
      <w:r>
        <w:t xml:space="preserve">. Springer International Publishing; 2023:37-73. doi:</w:t>
      </w:r>
      <w:hyperlink r:id="rId151">
        <w:r>
          <w:rPr>
            <w:rStyle w:val="Hyperlink"/>
          </w:rPr>
          <w:t xml:space="preserve">10.1007/978-3-031-24426-1_3</w:t>
        </w:r>
      </w:hyperlink>
    </w:p>
    <w:bookmarkEnd w:id="152"/>
    <w:bookmarkStart w:id="154" w:name="ref-gilmore2025"/>
    <w:p>
      <w:pPr>
        <w:pStyle w:val="Bibliography"/>
      </w:pPr>
      <w:r>
        <w:t xml:space="preserve">35.</w:t>
      </w:r>
      <w:r>
        <w:t xml:space="preserve"> </w:t>
      </w:r>
      <w:r>
        <w:t xml:space="preserve">	</w:t>
      </w:r>
      <w:r>
        <w:t xml:space="preserve">Gilmore AK, Nielsen KE, Salamanca NK, et al. Preliminary Efficacy of Positive Change(+Change): A Pilot Randomized Controlled Trial of an Integrated Alcohol and Sexual Assault Prevention Program Tailored by Gender and Sexual Orientation.</w:t>
      </w:r>
      <w:r>
        <w:t xml:space="preserve"> </w:t>
      </w:r>
      <w:r>
        <w:rPr>
          <w:i/>
          <w:iCs/>
        </w:rPr>
        <w:t xml:space="preserve">Journal of Interpersonal Violence</w:t>
      </w:r>
      <w:r>
        <w:t xml:space="preserve">. 2025;40(11-12):2556-2581. doi:</w:t>
      </w:r>
      <w:hyperlink r:id="rId153">
        <w:r>
          <w:rPr>
            <w:rStyle w:val="Hyperlink"/>
          </w:rPr>
          <w:t xml:space="preserve">10.1177/08862605241275994</w:t>
        </w:r>
      </w:hyperlink>
    </w:p>
    <w:bookmarkEnd w:id="154"/>
    <w:bookmarkStart w:id="156" w:name="ref-fordUsingDailyDiary2021"/>
    <w:p>
      <w:pPr>
        <w:pStyle w:val="Bibliography"/>
      </w:pPr>
      <w:r>
        <w:t xml:space="preserve">36.</w:t>
      </w:r>
      <w:r>
        <w:t xml:space="preserve"> </w:t>
      </w:r>
      <w:r>
        <w:t xml:space="preserve">	</w:t>
      </w:r>
      <w:r>
        <w:t xml:space="preserve">Ford JV, Choi J, Walsh K, et al. Using a</w:t>
      </w:r>
      <w:r>
        <w:t xml:space="preserve"> </w:t>
      </w:r>
      <w:r>
        <w:t xml:space="preserve">Daily Diary Approach</w:t>
      </w:r>
      <w:r>
        <w:t xml:space="preserve"> </w:t>
      </w:r>
      <w:r>
        <w:t xml:space="preserve">to</w:t>
      </w:r>
      <w:r>
        <w:t xml:space="preserve"> </w:t>
      </w:r>
      <w:r>
        <w:t xml:space="preserve">Examine Substance Use</w:t>
      </w:r>
      <w:r>
        <w:t xml:space="preserve"> </w:t>
      </w:r>
      <w:r>
        <w:t xml:space="preserve">and</w:t>
      </w:r>
      <w:r>
        <w:t xml:space="preserve"> </w:t>
      </w:r>
      <w:r>
        <w:t xml:space="preserve">Negative Sexual Experiences Among College Students</w:t>
      </w:r>
      <w:r>
        <w:t xml:space="preserve">.</w:t>
      </w:r>
      <w:r>
        <w:t xml:space="preserve"> </w:t>
      </w:r>
      <w:r>
        <w:rPr>
          <w:i/>
          <w:iCs/>
        </w:rPr>
        <w:t xml:space="preserve">Archives of Sexual Behavior</w:t>
      </w:r>
      <w:r>
        <w:t xml:space="preserve">. 2021;50(1):277-287. doi:</w:t>
      </w:r>
      <w:hyperlink r:id="rId155">
        <w:r>
          <w:rPr>
            <w:rStyle w:val="Hyperlink"/>
          </w:rPr>
          <w:t xml:space="preserve">10.1007/s10508-020-01714-x</w:t>
        </w:r>
      </w:hyperlink>
    </w:p>
    <w:bookmarkEnd w:id="156"/>
    <w:bookmarkStart w:id="158" w:name="ref-scaglione2014"/>
    <w:p>
      <w:pPr>
        <w:pStyle w:val="Bibliography"/>
      </w:pPr>
      <w:r>
        <w:t xml:space="preserve">37.</w:t>
      </w:r>
      <w:r>
        <w:t xml:space="preserve"> </w:t>
      </w:r>
      <w:r>
        <w:t xml:space="preserve">	</w:t>
      </w:r>
      <w:r>
        <w:t xml:space="preserve">Scaglione NM, Turrisi R, Mallett KA, Ray AE, Hultgren BA, Cleveland MJ. How much does one more drink matter? Examining effects of event-level alcohol use and previous sexual victimization on sex-related consequences.</w:t>
      </w:r>
      <w:r>
        <w:t xml:space="preserve"> </w:t>
      </w:r>
      <w:r>
        <w:rPr>
          <w:i/>
          <w:iCs/>
        </w:rPr>
        <w:t xml:space="preserve">Journal of Studies on Alcohol and Drugs</w:t>
      </w:r>
      <w:r>
        <w:t xml:space="preserve">. 2014;75(2):241-248. doi:</w:t>
      </w:r>
      <w:hyperlink r:id="rId157">
        <w:r>
          <w:rPr>
            <w:rStyle w:val="Hyperlink"/>
          </w:rPr>
          <w:t xml:space="preserve">10.15288/jsad.2014.75.241</w:t>
        </w:r>
      </w:hyperlink>
    </w:p>
    <w:bookmarkEnd w:id="158"/>
    <w:bookmarkStart w:id="160" w:name="ref-laughlinJustOneShot2023"/>
    <w:p>
      <w:pPr>
        <w:pStyle w:val="Bibliography"/>
      </w:pPr>
      <w:r>
        <w:t xml:space="preserve">38.</w:t>
      </w:r>
      <w:r>
        <w:t xml:space="preserve"> </w:t>
      </w:r>
      <w:r>
        <w:t xml:space="preserve">	</w:t>
      </w:r>
      <w:r>
        <w:t xml:space="preserve">Laughlin E, Pettitt M, Lamarche VM, James-Hawkins L. Just</w:t>
      </w:r>
      <w:r>
        <w:t xml:space="preserve"> </w:t>
      </w:r>
      <w:r>
        <w:t xml:space="preserve">One Shot</w:t>
      </w:r>
      <w:r>
        <w:t xml:space="preserve">?</w:t>
      </w:r>
      <w:r>
        <w:t xml:space="preserve"> </w:t>
      </w:r>
      <w:r>
        <w:t xml:space="preserve">The Contextual Effects</w:t>
      </w:r>
      <w:r>
        <w:t xml:space="preserve"> </w:t>
      </w:r>
      <w:r>
        <w:t xml:space="preserve">of</w:t>
      </w:r>
      <w:r>
        <w:t xml:space="preserve"> </w:t>
      </w:r>
      <w:r>
        <w:t xml:space="preserve">Matched</w:t>
      </w:r>
      <w:r>
        <w:t xml:space="preserve"> </w:t>
      </w:r>
      <w:r>
        <w:t xml:space="preserve">and</w:t>
      </w:r>
      <w:r>
        <w:t xml:space="preserve"> </w:t>
      </w:r>
      <w:r>
        <w:t xml:space="preserve">Unmatched Intoxication</w:t>
      </w:r>
      <w:r>
        <w:t xml:space="preserve"> </w:t>
      </w:r>
      <w:r>
        <w:t xml:space="preserve">on</w:t>
      </w:r>
      <w:r>
        <w:t xml:space="preserve"> </w:t>
      </w:r>
      <w:r>
        <w:t xml:space="preserve">Perceptions</w:t>
      </w:r>
      <w:r>
        <w:t xml:space="preserve"> </w:t>
      </w:r>
      <w:r>
        <w:t xml:space="preserve">of</w:t>
      </w:r>
      <w:r>
        <w:t xml:space="preserve"> </w:t>
      </w:r>
      <w:r>
        <w:t xml:space="preserve">Consent</w:t>
      </w:r>
      <w:r>
        <w:t xml:space="preserve"> </w:t>
      </w:r>
      <w:r>
        <w:t xml:space="preserve">in</w:t>
      </w:r>
      <w:r>
        <w:t xml:space="preserve"> </w:t>
      </w:r>
      <w:r>
        <w:t xml:space="preserve">Ambiguous Alcohol-fueled Sexual Encounters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Interpersonal Violence</w:t>
      </w:r>
      <w:r>
        <w:t xml:space="preserve">. 2023;38(21-22):11445. doi:</w:t>
      </w:r>
      <w:hyperlink r:id="rId159">
        <w:r>
          <w:rPr>
            <w:rStyle w:val="Hyperlink"/>
          </w:rPr>
          <w:t xml:space="preserve">10.1177/08862605231182378</w:t>
        </w:r>
      </w:hyperlink>
    </w:p>
    <w:bookmarkEnd w:id="160"/>
    <w:bookmarkStart w:id="162" w:name="ref-lorenzAlcoholSexualAssault2016"/>
    <w:p>
      <w:pPr>
        <w:pStyle w:val="Bibliography"/>
      </w:pPr>
      <w:r>
        <w:t xml:space="preserve">39.</w:t>
      </w:r>
      <w:r>
        <w:t xml:space="preserve"> </w:t>
      </w:r>
      <w:r>
        <w:t xml:space="preserve">	</w:t>
      </w:r>
      <w:r>
        <w:t xml:space="preserve">Lorenz K, Ullman SE. Alcohol and sexual assault victimization:</w:t>
      </w:r>
      <w:r>
        <w:t xml:space="preserve"> </w:t>
      </w:r>
      <w:r>
        <w:t xml:space="preserve">Research</w:t>
      </w:r>
      <w:r>
        <w:t xml:space="preserve"> </w:t>
      </w:r>
      <w:r>
        <w:t xml:space="preserve">findings and future directions.</w:t>
      </w:r>
      <w:r>
        <w:t xml:space="preserve"> </w:t>
      </w:r>
      <w:r>
        <w:rPr>
          <w:i/>
          <w:iCs/>
        </w:rPr>
        <w:t xml:space="preserve">Aggression and Violent Behavior</w:t>
      </w:r>
      <w:r>
        <w:t xml:space="preserve">. 2016;31:82-94. doi:</w:t>
      </w:r>
      <w:hyperlink r:id="rId161">
        <w:r>
          <w:rPr>
            <w:rStyle w:val="Hyperlink"/>
          </w:rPr>
          <w:t xml:space="preserve">10.1016/j.avb.2016.08.001</w:t>
        </w:r>
      </w:hyperlink>
    </w:p>
    <w:bookmarkEnd w:id="162"/>
    <w:bookmarkStart w:id="164" w:name="X1feb1d5068c427f3fe3ea4d8b0c25ce07762334"/>
    <w:p>
      <w:pPr>
        <w:pStyle w:val="Bibliography"/>
      </w:pPr>
      <w:r>
        <w:t xml:space="preserve">40.</w:t>
      </w:r>
      <w:r>
        <w:t xml:space="preserve"> </w:t>
      </w:r>
      <w:r>
        <w:t xml:space="preserve">	</w:t>
      </w:r>
      <w:r>
        <w:t xml:space="preserve">Humphreys T. Perceptions of</w:t>
      </w:r>
      <w:r>
        <w:t xml:space="preserve"> </w:t>
      </w:r>
      <w:r>
        <w:t xml:space="preserve">Sexual Consent</w:t>
      </w:r>
      <w:r>
        <w:t xml:space="preserve">:</w:t>
      </w:r>
      <w:r>
        <w:t xml:space="preserve"> </w:t>
      </w:r>
      <w:r>
        <w:t xml:space="preserve">The Impact</w:t>
      </w:r>
      <w:r>
        <w:t xml:space="preserve"> </w:t>
      </w:r>
      <w:r>
        <w:t xml:space="preserve">of</w:t>
      </w:r>
      <w:r>
        <w:t xml:space="preserve"> </w:t>
      </w:r>
      <w:r>
        <w:t xml:space="preserve">Relationship History</w:t>
      </w:r>
      <w:r>
        <w:t xml:space="preserve"> </w:t>
      </w:r>
      <w:r>
        <w:t xml:space="preserve">and</w:t>
      </w:r>
      <w:r>
        <w:t xml:space="preserve"> </w:t>
      </w:r>
      <w:r>
        <w:t xml:space="preserve">Gender</w:t>
      </w:r>
      <w:r>
        <w:t xml:space="preserve">.</w:t>
      </w:r>
      <w:r>
        <w:t xml:space="preserve"> </w:t>
      </w:r>
      <w:r>
        <w:rPr>
          <w:i/>
          <w:iCs/>
        </w:rPr>
        <w:t xml:space="preserve">The Journal of Sex Research</w:t>
      </w:r>
      <w:r>
        <w:t xml:space="preserve">. 2007;44(4):307-315. doi:</w:t>
      </w:r>
      <w:hyperlink r:id="rId163">
        <w:r>
          <w:rPr>
            <w:rStyle w:val="Hyperlink"/>
          </w:rPr>
          <w:t xml:space="preserve">10.1080/00224490701586706</w:t>
        </w:r>
      </w:hyperlink>
    </w:p>
    <w:bookmarkEnd w:id="164"/>
    <w:bookmarkStart w:id="166" w:name="ref-walshDualMeasuresSexual2019"/>
    <w:p>
      <w:pPr>
        <w:pStyle w:val="Bibliography"/>
      </w:pPr>
      <w:r>
        <w:t xml:space="preserve">41.</w:t>
      </w:r>
      <w:r>
        <w:t xml:space="preserve"> </w:t>
      </w:r>
      <w:r>
        <w:t xml:space="preserve">	</w:t>
      </w:r>
      <w:r>
        <w:t xml:space="preserve">Walsh K, Honickman S, Valdespino-Hayden Z, Lowe SR. Dual</w:t>
      </w:r>
      <w:r>
        <w:t xml:space="preserve"> </w:t>
      </w:r>
      <w:r>
        <w:t xml:space="preserve">Measures</w:t>
      </w:r>
      <w:r>
        <w:t xml:space="preserve"> </w:t>
      </w:r>
      <w:r>
        <w:t xml:space="preserve">of</w:t>
      </w:r>
      <w:r>
        <w:t xml:space="preserve"> </w:t>
      </w:r>
      <w:r>
        <w:t xml:space="preserve">Sexual Consent</w:t>
      </w:r>
      <w:r>
        <w:t xml:space="preserve">:</w:t>
      </w:r>
      <w:r>
        <w:t xml:space="preserve"> </w:t>
      </w:r>
      <w:r>
        <w:t xml:space="preserve">A Confirmatory Factor Analysis</w:t>
      </w:r>
      <w:r>
        <w:t xml:space="preserve"> </w:t>
      </w:r>
      <w:r>
        <w:t xml:space="preserve">of the</w:t>
      </w:r>
      <w:r>
        <w:t xml:space="preserve"> </w:t>
      </w:r>
      <w:r>
        <w:t xml:space="preserve">Internal Consent Scale</w:t>
      </w:r>
      <w:r>
        <w:t xml:space="preserve"> </w:t>
      </w:r>
      <w:r>
        <w:t xml:space="preserve">and</w:t>
      </w:r>
      <w:r>
        <w:t xml:space="preserve"> </w:t>
      </w:r>
      <w:r>
        <w:t xml:space="preserve">External Consent Scale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Sex Research</w:t>
      </w:r>
      <w:r>
        <w:t xml:space="preserve">. 2019;56(6):802-810. doi:</w:t>
      </w:r>
      <w:hyperlink r:id="rId165">
        <w:r>
          <w:rPr>
            <w:rStyle w:val="Hyperlink"/>
          </w:rPr>
          <w:t xml:space="preserve">10.1080/00224499.2019.1581882</w:t>
        </w:r>
      </w:hyperlink>
    </w:p>
    <w:bookmarkEnd w:id="166"/>
    <w:bookmarkStart w:id="168" w:name="ref-willisSexualPrecedentsEffect2019"/>
    <w:p>
      <w:pPr>
        <w:pStyle w:val="Bibliography"/>
      </w:pPr>
      <w:r>
        <w:t xml:space="preserve">42.</w:t>
      </w:r>
      <w:r>
        <w:t xml:space="preserve"> </w:t>
      </w:r>
      <w:r>
        <w:t xml:space="preserve">	</w:t>
      </w:r>
      <w:r>
        <w:t xml:space="preserve">Willis M, Jozkowski KN. Sexual</w:t>
      </w:r>
      <w:r>
        <w:t xml:space="preserve"> </w:t>
      </w:r>
      <w:r>
        <w:t xml:space="preserve">Precedent</w:t>
      </w:r>
      <w:r>
        <w:t xml:space="preserve">’s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Sexual Consent Communication</w:t>
      </w:r>
      <w:r>
        <w:t xml:space="preserve">.</w:t>
      </w:r>
      <w:r>
        <w:t xml:space="preserve"> </w:t>
      </w:r>
      <w:r>
        <w:rPr>
          <w:i/>
          <w:iCs/>
        </w:rPr>
        <w:t xml:space="preserve">Archives of Sexual Behavior</w:t>
      </w:r>
      <w:r>
        <w:t xml:space="preserve">. 2019;48(6):1723-1734. doi:</w:t>
      </w:r>
      <w:hyperlink r:id="rId167">
        <w:r>
          <w:rPr>
            <w:rStyle w:val="Hyperlink"/>
          </w:rPr>
          <w:t xml:space="preserve">10.1007/s10508-018-1348-7</w:t>
        </w:r>
      </w:hyperlink>
    </w:p>
    <w:bookmarkEnd w:id="168"/>
    <w:bookmarkStart w:id="170" w:name="ref-maloney2024"/>
    <w:p>
      <w:pPr>
        <w:pStyle w:val="Bibliography"/>
      </w:pPr>
      <w:r>
        <w:t xml:space="preserve">43.</w:t>
      </w:r>
      <w:r>
        <w:t xml:space="preserve"> </w:t>
      </w:r>
      <w:r>
        <w:t xml:space="preserve">	</w:t>
      </w:r>
      <w:r>
        <w:t xml:space="preserve">Maloney M.</w:t>
      </w:r>
      <w:r>
        <w:t xml:space="preserve"> </w:t>
      </w:r>
      <w:r>
        <w:rPr>
          <w:i/>
          <w:iCs/>
        </w:rPr>
        <w:t xml:space="preserve">THE DEVELOPMENT, FEASIBILITY, AND ACCEPTABILITY OF AN ECOLOGICAL MOMENTARY INTERVENTION TO PREVENT SEXUAL VIOLENCE REVICTIMIZATION</w:t>
      </w:r>
      <w:r>
        <w:t xml:space="preserve">. PhD thesis. 2024. doi:</w:t>
      </w:r>
      <w:hyperlink r:id="rId169">
        <w:r>
          <w:rPr>
            <w:rStyle w:val="Hyperlink"/>
          </w:rPr>
          <w:t xml:space="preserve">10.25394/PGS.25744485.v1</w:t>
        </w:r>
      </w:hyperlink>
    </w:p>
    <w:bookmarkEnd w:id="170"/>
    <w:bookmarkStart w:id="172" w:name="ref-willisBarriersSuccessAffirmative2018"/>
    <w:p>
      <w:pPr>
        <w:pStyle w:val="Bibliography"/>
      </w:pPr>
      <w:r>
        <w:t xml:space="preserve">44.</w:t>
      </w:r>
      <w:r>
        <w:t xml:space="preserve"> </w:t>
      </w:r>
      <w:r>
        <w:t xml:space="preserve">	</w:t>
      </w:r>
      <w:r>
        <w:t xml:space="preserve">Willis M, Jozkowski KN. Barriers to the</w:t>
      </w:r>
      <w:r>
        <w:t xml:space="preserve"> </w:t>
      </w:r>
      <w:r>
        <w:t xml:space="preserve">Success</w:t>
      </w:r>
      <w:r>
        <w:t xml:space="preserve"> </w:t>
      </w:r>
      <w:r>
        <w:t xml:space="preserve">of</w:t>
      </w:r>
      <w:r>
        <w:t xml:space="preserve"> </w:t>
      </w:r>
      <w:r>
        <w:t xml:space="preserve">Affirmative Consent Initiatives</w:t>
      </w:r>
      <w:r>
        <w:t xml:space="preserve">:</w:t>
      </w:r>
      <w:r>
        <w:t xml:space="preserve"> </w:t>
      </w:r>
      <w:r>
        <w:t xml:space="preserve">An Application</w:t>
      </w:r>
      <w:r>
        <w:t xml:space="preserve"> </w:t>
      </w:r>
      <w:r>
        <w:t xml:space="preserve">of the</w:t>
      </w:r>
      <w:r>
        <w:t xml:space="preserve"> </w:t>
      </w:r>
      <w:r>
        <w:t xml:space="preserve">Social Ecological Model</w:t>
      </w:r>
      <w:r>
        <w:t xml:space="preserve">.</w:t>
      </w:r>
      <w:r>
        <w:t xml:space="preserve"> </w:t>
      </w:r>
      <w:r>
        <w:rPr>
          <w:i/>
          <w:iCs/>
        </w:rPr>
        <w:t xml:space="preserve">American Journal of Sexuality Education</w:t>
      </w:r>
      <w:r>
        <w:t xml:space="preserve">. 2018;13(3):324-336. doi:</w:t>
      </w:r>
      <w:hyperlink r:id="rId171">
        <w:r>
          <w:rPr>
            <w:rStyle w:val="Hyperlink"/>
          </w:rPr>
          <w:t xml:space="preserve">10.1080/15546128.2018.1443300</w:t>
        </w:r>
      </w:hyperlink>
    </w:p>
    <w:bookmarkEnd w:id="172"/>
    <w:bookmarkStart w:id="174" w:name="ref-marcantonio2025"/>
    <w:p>
      <w:pPr>
        <w:pStyle w:val="Bibliography"/>
      </w:pPr>
      <w:r>
        <w:t xml:space="preserve">45.</w:t>
      </w:r>
      <w:r>
        <w:t xml:space="preserve"> </w:t>
      </w:r>
      <w:r>
        <w:t xml:space="preserve">	</w:t>
      </w:r>
      <w:r>
        <w:t xml:space="preserve">Marcantonio TL, Leone RM, Mays K, et al. How does alcohol use relate to sexual consent? A scoping review.</w:t>
      </w:r>
      <w:r>
        <w:t xml:space="preserve"> </w:t>
      </w:r>
      <w:r>
        <w:rPr>
          <w:i/>
          <w:iCs/>
        </w:rPr>
        <w:t xml:space="preserve">The Journal of Sex Research</w:t>
      </w:r>
      <w:r>
        <w:t xml:space="preserve">. 2025;0(0):1-19. doi:</w:t>
      </w:r>
      <w:hyperlink r:id="rId173">
        <w:r>
          <w:rPr>
            <w:rStyle w:val="Hyperlink"/>
          </w:rPr>
          <w:t xml:space="preserve">10.1080/00224499.2025.2555494</w:t>
        </w:r>
      </w:hyperlink>
    </w:p>
    <w:bookmarkEnd w:id="174"/>
    <w:bookmarkStart w:id="176" w:name="ref-glaceMovingNewModel2020"/>
    <w:p>
      <w:pPr>
        <w:pStyle w:val="Bibliography"/>
      </w:pPr>
      <w:r>
        <w:t xml:space="preserve">46.</w:t>
      </w:r>
      <w:r>
        <w:t xml:space="preserve"> </w:t>
      </w:r>
      <w:r>
        <w:t xml:space="preserve">	</w:t>
      </w:r>
      <w:r>
        <w:t xml:space="preserve">Glace AM, Zatkin JG, Kaufman KL. Moving</w:t>
      </w:r>
      <w:r>
        <w:t xml:space="preserve"> </w:t>
      </w:r>
      <w:r>
        <w:t xml:space="preserve">Toward</w:t>
      </w:r>
      <w:r>
        <w:t xml:space="preserve"> </w:t>
      </w:r>
      <w:r>
        <w:t xml:space="preserve">a</w:t>
      </w:r>
      <w:r>
        <w:t xml:space="preserve"> </w:t>
      </w:r>
      <w:r>
        <w:t xml:space="preserve">New Model</w:t>
      </w:r>
      <w:r>
        <w:t xml:space="preserve"> </w:t>
      </w:r>
      <w:r>
        <w:t xml:space="preserve">of</w:t>
      </w:r>
      <w:r>
        <w:t xml:space="preserve"> </w:t>
      </w:r>
      <w:r>
        <w:t xml:space="preserve">Sexual Consent</w:t>
      </w:r>
      <w:r>
        <w:t xml:space="preserve">:</w:t>
      </w:r>
      <w:r>
        <w:t xml:space="preserve"> </w:t>
      </w:r>
      <w:r>
        <w:t xml:space="preserve">The Development</w:t>
      </w:r>
      <w:r>
        <w:t xml:space="preserve"> </w:t>
      </w:r>
      <w:r>
        <w:t xml:space="preserve">of the</w:t>
      </w:r>
      <w:r>
        <w:t xml:space="preserve"> </w:t>
      </w:r>
      <w:r>
        <w:t xml:space="preserve">Process-Based Consent Scale</w:t>
      </w:r>
      <w:r>
        <w:t xml:space="preserve">.</w:t>
      </w:r>
      <w:r>
        <w:t xml:space="preserve"> </w:t>
      </w:r>
      <w:r>
        <w:rPr>
          <w:i/>
          <w:iCs/>
        </w:rPr>
        <w:t xml:space="preserve">Violence Against Women</w:t>
      </w:r>
      <w:r>
        <w:t xml:space="preserve">. Published online 2020. doi:</w:t>
      </w:r>
      <w:hyperlink r:id="rId175">
        <w:r>
          <w:rPr>
            <w:rStyle w:val="Hyperlink"/>
          </w:rPr>
          <w:t xml:space="preserve">10.1177/1077801220952159</w:t>
        </w:r>
      </w:hyperlink>
    </w:p>
    <w:bookmarkEnd w:id="176"/>
    <w:bookmarkStart w:id="178" w:name="ref-burgess2007"/>
    <w:p>
      <w:pPr>
        <w:pStyle w:val="Bibliography"/>
      </w:pPr>
      <w:r>
        <w:t xml:space="preserve">47.</w:t>
      </w:r>
      <w:r>
        <w:t xml:space="preserve"> </w:t>
      </w:r>
      <w:r>
        <w:t xml:space="preserve">	</w:t>
      </w:r>
      <w:r>
        <w:t xml:space="preserve">Burgess GH. Assessment of Rape-Supportive Attitudes and Beliefs in College Men: Development, Reliability, and Validity of the Rape Attitudes and Beliefs Scale.</w:t>
      </w:r>
      <w:r>
        <w:t xml:space="preserve"> </w:t>
      </w:r>
      <w:r>
        <w:rPr>
          <w:i/>
          <w:iCs/>
        </w:rPr>
        <w:t xml:space="preserve">Journal of Interpersonal Violence</w:t>
      </w:r>
      <w:r>
        <w:t xml:space="preserve">. 2007;22(8):973-993. doi:</w:t>
      </w:r>
      <w:hyperlink r:id="rId177">
        <w:r>
          <w:rPr>
            <w:rStyle w:val="Hyperlink"/>
          </w:rPr>
          <w:t xml:space="preserve">10.1177/0886260507302993</w:t>
        </w:r>
      </w:hyperlink>
    </w:p>
    <w:bookmarkEnd w:id="178"/>
    <w:bookmarkStart w:id="180" w:name="ref-saundersDevelopmentAlcoholUse1993"/>
    <w:p>
      <w:pPr>
        <w:pStyle w:val="Bibliography"/>
      </w:pPr>
      <w:r>
        <w:t xml:space="preserve">48.</w:t>
      </w:r>
      <w:r>
        <w:t xml:space="preserve"> </w:t>
      </w:r>
      <w:r>
        <w:t xml:space="preserve">	</w:t>
      </w:r>
      <w:r>
        <w:t xml:space="preserve">Saunders JB, Aasland OG, Babor TF, De La Fuente JR, Grant M. Development of the</w:t>
      </w:r>
      <w:r>
        <w:t xml:space="preserve"> </w:t>
      </w:r>
      <w:r>
        <w:t xml:space="preserve">Alcohol Use Disorders Identification Test</w:t>
      </w:r>
      <w:r>
        <w:t xml:space="preserve"> </w:t>
      </w:r>
      <w:r>
        <w:t xml:space="preserve">(</w:t>
      </w:r>
      <w:r>
        <w:t xml:space="preserve">AUDIT</w:t>
      </w:r>
      <w:r>
        <w:t xml:space="preserve">):</w:t>
      </w:r>
      <w:r>
        <w:t xml:space="preserve"> </w:t>
      </w:r>
      <w:r>
        <w:t xml:space="preserve">WHO Collaborative Project</w:t>
      </w:r>
      <w:r>
        <w:t xml:space="preserve"> </w:t>
      </w:r>
      <w:r>
        <w:t xml:space="preserve">on</w:t>
      </w:r>
      <w:r>
        <w:t xml:space="preserve"> </w:t>
      </w:r>
      <w:r>
        <w:t xml:space="preserve">Early Detection</w:t>
      </w:r>
      <w:r>
        <w:t xml:space="preserve"> </w:t>
      </w:r>
      <w:r>
        <w:t xml:space="preserve">of</w:t>
      </w:r>
      <w:r>
        <w:t xml:space="preserve"> </w:t>
      </w:r>
      <w:r>
        <w:t xml:space="preserve">Persons</w:t>
      </w:r>
      <w:r>
        <w:t xml:space="preserve"> </w:t>
      </w:r>
      <w:r>
        <w:t xml:space="preserve">with</w:t>
      </w:r>
      <w:r>
        <w:t xml:space="preserve"> </w:t>
      </w:r>
      <w:r>
        <w:t xml:space="preserve">Harmful Alcohol Consumption–II</w:t>
      </w:r>
      <w:r>
        <w:t xml:space="preserve">.</w:t>
      </w:r>
      <w:r>
        <w:t xml:space="preserve"> </w:t>
      </w:r>
      <w:r>
        <w:rPr>
          <w:i/>
          <w:iCs/>
        </w:rPr>
        <w:t xml:space="preserve">Addiction</w:t>
      </w:r>
      <w:r>
        <w:t xml:space="preserve">. 1993;88(6):791-804. doi:</w:t>
      </w:r>
      <w:hyperlink r:id="rId179">
        <w:r>
          <w:rPr>
            <w:rStyle w:val="Hyperlink"/>
          </w:rPr>
          <w:t xml:space="preserve">10.1111/j.1360-0443.1993.tb02093.x</w:t>
        </w:r>
      </w:hyperlink>
    </w:p>
    <w:bookmarkEnd w:id="180"/>
    <w:bookmarkStart w:id="182" w:name="X6108c216fa14360afbeee72954da302bdd510dd"/>
    <w:p>
      <w:pPr>
        <w:pStyle w:val="Bibliography"/>
      </w:pPr>
      <w:r>
        <w:t xml:space="preserve">49.</w:t>
      </w:r>
      <w:r>
        <w:t xml:space="preserve"> </w:t>
      </w:r>
      <w:r>
        <w:t xml:space="preserve">	</w:t>
      </w:r>
      <w:r>
        <w:t xml:space="preserve">Humphreys TP, Brousseau MM. The sexual consent scale-revised:</w:t>
      </w:r>
      <w:r>
        <w:t xml:space="preserve"> </w:t>
      </w:r>
      <w:r>
        <w:t xml:space="preserve">Development</w:t>
      </w:r>
      <w:r>
        <w:t xml:space="preserve">, reliability, and preliminary validity.</w:t>
      </w:r>
      <w:r>
        <w:t xml:space="preserve"> </w:t>
      </w:r>
      <w:r>
        <w:rPr>
          <w:i/>
          <w:iCs/>
        </w:rPr>
        <w:t xml:space="preserve">Journal of Sex Research</w:t>
      </w:r>
      <w:r>
        <w:t xml:space="preserve">. 2010;47(5):420-428. doi:</w:t>
      </w:r>
      <w:hyperlink r:id="rId181">
        <w:r>
          <w:rPr>
            <w:rStyle w:val="Hyperlink"/>
          </w:rPr>
          <w:t xml:space="preserve">10.1080/00224490903151358</w:t>
        </w:r>
      </w:hyperlink>
    </w:p>
    <w:bookmarkEnd w:id="182"/>
    <w:bookmarkStart w:id="184" w:name="ref-sanders2010"/>
    <w:p>
      <w:pPr>
        <w:pStyle w:val="Bibliography"/>
      </w:pPr>
      <w:r>
        <w:t xml:space="preserve">50.</w:t>
      </w:r>
      <w:r>
        <w:t xml:space="preserve"> </w:t>
      </w:r>
      <w:r>
        <w:t xml:space="preserve">	</w:t>
      </w:r>
      <w:r>
        <w:t xml:space="preserve">Sanders SA, Hill BJ, Yarber WL, Graham CA, Crosby RA, Milhausen RR. Misclassification bias: diversity in conceptualisations about having</w:t>
      </w:r>
      <w:r>
        <w:t xml:space="preserve"> </w:t>
      </w:r>
      <w:r>
        <w:t xml:space="preserve">‘</w:t>
      </w:r>
      <w:r>
        <w:t xml:space="preserve">had sex</w:t>
      </w:r>
      <w:r>
        <w:t xml:space="preserve">’</w:t>
      </w:r>
      <w:r>
        <w:t xml:space="preserve">.</w:t>
      </w:r>
      <w:r>
        <w:t xml:space="preserve"> </w:t>
      </w:r>
      <w:r>
        <w:rPr>
          <w:i/>
          <w:iCs/>
        </w:rPr>
        <w:t xml:space="preserve">Sexual Health</w:t>
      </w:r>
      <w:r>
        <w:t xml:space="preserve">. 2010;7(1):31-34. doi:</w:t>
      </w:r>
      <w:hyperlink r:id="rId183">
        <w:r>
          <w:rPr>
            <w:rStyle w:val="Hyperlink"/>
          </w:rPr>
          <w:t xml:space="preserve">10.1071/SH09068</w:t>
        </w:r>
      </w:hyperlink>
    </w:p>
    <w:bookmarkEnd w:id="184"/>
    <w:bookmarkStart w:id="186" w:name="ref-willisDevelopingValidFeasible2021"/>
    <w:p>
      <w:pPr>
        <w:pStyle w:val="Bibliography"/>
      </w:pPr>
      <w:r>
        <w:t xml:space="preserve">51.</w:t>
      </w:r>
      <w:r>
        <w:t xml:space="preserve"> </w:t>
      </w:r>
      <w:r>
        <w:t xml:space="preserve">	</w:t>
      </w:r>
      <w:r>
        <w:t xml:space="preserve">Willis M, Jozkowski KN, Bridges AJ, Davis RE, Veilleux JC. Developing</w:t>
      </w:r>
      <w:r>
        <w:t xml:space="preserve"> </w:t>
      </w:r>
      <w:r>
        <w:t xml:space="preserve">Valid</w:t>
      </w:r>
      <w:r>
        <w:t xml:space="preserve"> </w:t>
      </w:r>
      <w:r>
        <w:t xml:space="preserve">and</w:t>
      </w:r>
      <w:r>
        <w:t xml:space="preserve"> </w:t>
      </w:r>
      <w:r>
        <w:t xml:space="preserve">Feasible Measures</w:t>
      </w:r>
      <w:r>
        <w:t xml:space="preserve"> </w:t>
      </w:r>
      <w:r>
        <w:t xml:space="preserve">of</w:t>
      </w:r>
      <w:r>
        <w:t xml:space="preserve"> </w:t>
      </w:r>
      <w:r>
        <w:t xml:space="preserve">Sexual Consent</w:t>
      </w:r>
      <w:r>
        <w:t xml:space="preserve"> </w:t>
      </w:r>
      <w:r>
        <w:t xml:space="preserve">for</w:t>
      </w:r>
      <w:r>
        <w:t xml:space="preserve"> </w:t>
      </w:r>
      <w:r>
        <w:t xml:space="preserve">Experience Sampling Methodology</w:t>
      </w:r>
      <w:r>
        <w:t xml:space="preserve">.</w:t>
      </w:r>
      <w:r>
        <w:t xml:space="preserve"> </w:t>
      </w:r>
      <w:r>
        <w:rPr>
          <w:i/>
          <w:iCs/>
        </w:rPr>
        <w:t xml:space="preserve">The Journal of Sex Research</w:t>
      </w:r>
      <w:r>
        <w:t xml:space="preserve">. 2021;58(8):996-1007. doi:</w:t>
      </w:r>
      <w:hyperlink r:id="rId185">
        <w:r>
          <w:rPr>
            <w:rStyle w:val="Hyperlink"/>
          </w:rPr>
          <w:t xml:space="preserve">10.1080/00224499.2021.1907526</w:t>
        </w:r>
      </w:hyperlink>
    </w:p>
    <w:bookmarkEnd w:id="186"/>
    <w:bookmarkStart w:id="188" w:name="ref-vanhooff2007"/>
    <w:p>
      <w:pPr>
        <w:pStyle w:val="Bibliography"/>
      </w:pPr>
      <w:r>
        <w:t xml:space="preserve">52.</w:t>
      </w:r>
      <w:r>
        <w:t xml:space="preserve"> </w:t>
      </w:r>
      <w:r>
        <w:t xml:space="preserve">	</w:t>
      </w:r>
      <w:r>
        <w:t xml:space="preserve">Van Hooff MLM, Geurts SAE, Kompier MAJ, Taris TW.</w:t>
      </w:r>
      <w:r>
        <w:t xml:space="preserve"> </w:t>
      </w:r>
      <w:r>
        <w:t xml:space="preserve">“</w:t>
      </w:r>
      <w:r>
        <w:t xml:space="preserve">How fatigued do you currently feel?</w:t>
      </w:r>
      <w:r>
        <w:t xml:space="preserve">”</w:t>
      </w:r>
      <w:r>
        <w:t xml:space="preserve"> </w:t>
      </w:r>
      <w:r>
        <w:t xml:space="preserve">Convergent and discriminant validity of a single-item fatigue measure.</w:t>
      </w:r>
      <w:r>
        <w:t xml:space="preserve"> </w:t>
      </w:r>
      <w:r>
        <w:rPr>
          <w:i/>
          <w:iCs/>
        </w:rPr>
        <w:t xml:space="preserve">Journal of Occupational Health</w:t>
      </w:r>
      <w:r>
        <w:t xml:space="preserve">. 2007;49(3):224-234. doi:</w:t>
      </w:r>
      <w:hyperlink r:id="rId187">
        <w:r>
          <w:rPr>
            <w:rStyle w:val="Hyperlink"/>
          </w:rPr>
          <w:t xml:space="preserve">10.1539/joh.49.224</w:t>
        </w:r>
      </w:hyperlink>
    </w:p>
    <w:bookmarkEnd w:id="188"/>
    <w:bookmarkStart w:id="190" w:name="ref-fisher2012"/>
    <w:p>
      <w:pPr>
        <w:pStyle w:val="Bibliography"/>
      </w:pPr>
      <w:r>
        <w:t xml:space="preserve">53.</w:t>
      </w:r>
      <w:r>
        <w:t xml:space="preserve"> </w:t>
      </w:r>
      <w:r>
        <w:t xml:space="preserve">	</w:t>
      </w:r>
      <w:r>
        <w:t xml:space="preserve">Fisher CD, To ML. Using experience sampling methodology in organizational behavior.</w:t>
      </w:r>
      <w:r>
        <w:t xml:space="preserve"> </w:t>
      </w:r>
      <w:r>
        <w:rPr>
          <w:i/>
          <w:iCs/>
        </w:rPr>
        <w:t xml:space="preserve">Journal of Organizational Behavior</w:t>
      </w:r>
      <w:r>
        <w:t xml:space="preserve">. 2012;33(7):865-877. doi:</w:t>
      </w:r>
      <w:hyperlink r:id="rId189">
        <w:r>
          <w:rPr>
            <w:rStyle w:val="Hyperlink"/>
          </w:rPr>
          <w:t xml:space="preserve">10.1002/job.1803</w:t>
        </w:r>
      </w:hyperlink>
    </w:p>
    <w:bookmarkEnd w:id="190"/>
    <w:bookmarkStart w:id="192" w:name="ref-robins2001"/>
    <w:p>
      <w:pPr>
        <w:pStyle w:val="Bibliography"/>
      </w:pPr>
      <w:r>
        <w:t xml:space="preserve">54.</w:t>
      </w:r>
      <w:r>
        <w:t xml:space="preserve"> </w:t>
      </w:r>
      <w:r>
        <w:t xml:space="preserve">	</w:t>
      </w:r>
      <w:r>
        <w:t xml:space="preserve">Robins RW, Hendin HM, Trzesniewski KH. Measuring global self-esteem: Construct validation of a single-item measure and the rosenberg self-esteem scale.</w:t>
      </w:r>
      <w:r>
        <w:t xml:space="preserve"> </w:t>
      </w:r>
      <w:r>
        <w:rPr>
          <w:i/>
          <w:iCs/>
        </w:rPr>
        <w:t xml:space="preserve">Personality and Social Psychology Bulletin</w:t>
      </w:r>
      <w:r>
        <w:t xml:space="preserve">. 2001;27. doi:</w:t>
      </w:r>
      <w:hyperlink r:id="rId191">
        <w:r>
          <w:rPr>
            <w:rStyle w:val="Hyperlink"/>
          </w:rPr>
          <w:t xml:space="preserve">10.1177/0146167201272002</w:t>
        </w:r>
      </w:hyperlink>
    </w:p>
    <w:bookmarkEnd w:id="192"/>
    <w:bookmarkStart w:id="194" w:name="ref-wolfers"/>
    <w:p>
      <w:pPr>
        <w:pStyle w:val="Bibliography"/>
      </w:pPr>
      <w:r>
        <w:t xml:space="preserve">55.</w:t>
      </w:r>
      <w:r>
        <w:t xml:space="preserve"> </w:t>
      </w:r>
      <w:r>
        <w:t xml:space="preserve">	</w:t>
      </w:r>
      <w:r>
        <w:t xml:space="preserve">Wolfers LN, Baumgartner S. Short but still valid: Validating single-item measures for key media psychology constructs for experience sampling research. doi:</w:t>
      </w:r>
      <w:hyperlink r:id="rId193">
        <w:r>
          <w:rPr>
            <w:rStyle w:val="Hyperlink"/>
          </w:rPr>
          <w:t xml:space="preserve">10.31234/osf.io/zkwxa_v1</w:t>
        </w:r>
      </w:hyperlink>
    </w:p>
    <w:bookmarkEnd w:id="194"/>
    <w:bookmarkStart w:id="196" w:name="Xeaff112c1355abef1b9ac5c81b02a530a2e84a9"/>
    <w:p>
      <w:pPr>
        <w:pStyle w:val="Bibliography"/>
      </w:pPr>
      <w:r>
        <w:t xml:space="preserve">56.</w:t>
      </w:r>
      <w:r>
        <w:t xml:space="preserve"> </w:t>
      </w:r>
      <w:r>
        <w:t xml:space="preserve">	</w:t>
      </w:r>
      <w:r>
        <w:t xml:space="preserve">Jozkowski KN, Sanders S, Peterson ZD, Dennis B, Reece M. Consenting to</w:t>
      </w:r>
      <w:r>
        <w:t xml:space="preserve"> </w:t>
      </w:r>
      <w:r>
        <w:t xml:space="preserve">Sexual Activity</w:t>
      </w:r>
      <w:r>
        <w:t xml:space="preserve">:</w:t>
      </w:r>
      <w:r>
        <w:t xml:space="preserve"> </w:t>
      </w:r>
      <w:r>
        <w:t xml:space="preserve">The Development</w:t>
      </w:r>
      <w:r>
        <w:t xml:space="preserve"> </w:t>
      </w:r>
      <w:r>
        <w:t xml:space="preserve">and</w:t>
      </w:r>
      <w:r>
        <w:t xml:space="preserve"> </w:t>
      </w:r>
      <w:r>
        <w:t xml:space="preserve">Psychometric Assessment</w:t>
      </w:r>
      <w:r>
        <w:t xml:space="preserve"> </w:t>
      </w:r>
      <w:r>
        <w:t xml:space="preserve">of</w:t>
      </w:r>
      <w:r>
        <w:t xml:space="preserve"> </w:t>
      </w:r>
      <w:r>
        <w:t xml:space="preserve">Dual Measures</w:t>
      </w:r>
      <w:r>
        <w:t xml:space="preserve"> </w:t>
      </w:r>
      <w:r>
        <w:t xml:space="preserve">of</w:t>
      </w:r>
      <w:r>
        <w:t xml:space="preserve"> </w:t>
      </w:r>
      <w:r>
        <w:t xml:space="preserve">Consent</w:t>
      </w:r>
      <w:r>
        <w:t xml:space="preserve">.</w:t>
      </w:r>
      <w:r>
        <w:t xml:space="preserve"> </w:t>
      </w:r>
      <w:r>
        <w:rPr>
          <w:i/>
          <w:iCs/>
        </w:rPr>
        <w:t xml:space="preserve">Archives of Sexual Behavior</w:t>
      </w:r>
      <w:r>
        <w:t xml:space="preserve">. 2014;43(3):437-450. doi:</w:t>
      </w:r>
      <w:hyperlink r:id="rId195">
        <w:r>
          <w:rPr>
            <w:rStyle w:val="Hyperlink"/>
          </w:rPr>
          <w:t xml:space="preserve">10.1007/s10508-013-0225-7</w:t>
        </w:r>
      </w:hyperlink>
    </w:p>
    <w:bookmarkEnd w:id="196"/>
    <w:bookmarkStart w:id="198" w:name="ref-turner2003"/>
    <w:p>
      <w:pPr>
        <w:pStyle w:val="Bibliography"/>
      </w:pPr>
      <w:r>
        <w:t xml:space="preserve">57.</w:t>
      </w:r>
      <w:r>
        <w:t xml:space="preserve"> </w:t>
      </w:r>
      <w:r>
        <w:t xml:space="preserve">	</w:t>
      </w:r>
      <w:r>
        <w:t xml:space="preserve">Turner RC, Carlson L. Indexes of item-objective congruence for multidimensional items.</w:t>
      </w:r>
      <w:r>
        <w:t xml:space="preserve"> </w:t>
      </w:r>
      <w:r>
        <w:rPr>
          <w:i/>
          <w:iCs/>
        </w:rPr>
        <w:t xml:space="preserve">International Journal of Testing</w:t>
      </w:r>
      <w:r>
        <w:t xml:space="preserve">. 2003;3(2):163-171. doi:</w:t>
      </w:r>
      <w:hyperlink r:id="rId197">
        <w:r>
          <w:rPr>
            <w:rStyle w:val="Hyperlink"/>
          </w:rPr>
          <w:t xml:space="preserve">10.1207/S15327574IJT0302_5</w:t>
        </w:r>
      </w:hyperlink>
    </w:p>
    <w:bookmarkEnd w:id="198"/>
    <w:bookmarkStart w:id="200" w:name="ref-shiImpactSexualConsent2025"/>
    <w:p>
      <w:pPr>
        <w:pStyle w:val="Bibliography"/>
      </w:pPr>
      <w:r>
        <w:t xml:space="preserve">58.</w:t>
      </w:r>
      <w:r>
        <w:t xml:space="preserve"> </w:t>
      </w:r>
      <w:r>
        <w:t xml:space="preserve">	</w:t>
      </w:r>
      <w:r>
        <w:t xml:space="preserve">Shi X, Impett EA, Zheng Y. 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Sexual Consent</w:t>
      </w:r>
      <w:r>
        <w:t xml:space="preserve"> </w:t>
      </w:r>
      <w:r>
        <w:t xml:space="preserve">on</w:t>
      </w:r>
      <w:r>
        <w:t xml:space="preserve"> </w:t>
      </w:r>
      <w:r>
        <w:t xml:space="preserve">Sexual</w:t>
      </w:r>
      <w:r>
        <w:t xml:space="preserve"> </w:t>
      </w:r>
      <w:r>
        <w:t xml:space="preserve">and</w:t>
      </w:r>
      <w:r>
        <w:t xml:space="preserve"> </w:t>
      </w:r>
      <w:r>
        <w:t xml:space="preserve">Relationship Well-Being</w:t>
      </w:r>
      <w:r>
        <w:t xml:space="preserve"> </w:t>
      </w:r>
      <w:r>
        <w:t xml:space="preserve">in</w:t>
      </w:r>
      <w:r>
        <w:t xml:space="preserve"> </w:t>
      </w:r>
      <w:r>
        <w:t xml:space="preserve">Chinese Romantic Relationships</w:t>
      </w:r>
      <w:r>
        <w:t xml:space="preserve">.</w:t>
      </w:r>
      <w:r>
        <w:t xml:space="preserve"> </w:t>
      </w:r>
      <w:r>
        <w:rPr>
          <w:i/>
          <w:iCs/>
        </w:rPr>
        <w:t xml:space="preserve">The Journal of Sex Research</w:t>
      </w:r>
      <w:r>
        <w:t xml:space="preserve">. Published online January 2025:1-18. doi:</w:t>
      </w:r>
      <w:hyperlink r:id="rId199">
        <w:r>
          <w:rPr>
            <w:rStyle w:val="Hyperlink"/>
          </w:rPr>
          <w:t xml:space="preserve">10.1080/00224499.2024.2445059</w:t>
        </w:r>
      </w:hyperlink>
    </w:p>
    <w:bookmarkEnd w:id="200"/>
    <w:bookmarkStart w:id="202" w:name="ref-jozkowskiDoesDrinkingAlcohol2015"/>
    <w:p>
      <w:pPr>
        <w:pStyle w:val="Bibliography"/>
      </w:pPr>
      <w:r>
        <w:t xml:space="preserve">59.</w:t>
      </w:r>
      <w:r>
        <w:t xml:space="preserve"> </w:t>
      </w:r>
      <w:r>
        <w:t xml:space="preserve">	</w:t>
      </w:r>
      <w:r>
        <w:t xml:space="preserve">Jozkowski KN, Wiersma JD. Does</w:t>
      </w:r>
      <w:r>
        <w:t xml:space="preserve"> </w:t>
      </w:r>
      <w:r>
        <w:t xml:space="preserve">Drinking Alcohol Prior</w:t>
      </w:r>
      <w:r>
        <w:t xml:space="preserve"> </w:t>
      </w:r>
      <w:r>
        <w:t xml:space="preserve">to</w:t>
      </w:r>
      <w:r>
        <w:t xml:space="preserve"> </w:t>
      </w:r>
      <w:r>
        <w:t xml:space="preserve">Sexual Activity Influence College Students</w:t>
      </w:r>
      <w:r>
        <w:t xml:space="preserve">’</w:t>
      </w:r>
      <w:r>
        <w:t xml:space="preserve"> </w:t>
      </w:r>
      <w:r>
        <w:t xml:space="preserve">Consent</w:t>
      </w:r>
      <w:r>
        <w:t xml:space="preserve">?</w:t>
      </w:r>
      <w:r>
        <w:t xml:space="preserve"> </w:t>
      </w:r>
      <w:r>
        <w:rPr>
          <w:i/>
          <w:iCs/>
        </w:rPr>
        <w:t xml:space="preserve">International Journal of Sexual Health</w:t>
      </w:r>
      <w:r>
        <w:t xml:space="preserve">. 2015;27(2):156-174. doi:</w:t>
      </w:r>
      <w:hyperlink r:id="rId201">
        <w:r>
          <w:rPr>
            <w:rStyle w:val="Hyperlink"/>
          </w:rPr>
          <w:t xml:space="preserve">10.1080/19317611.2014.951505</w:t>
        </w:r>
      </w:hyperlink>
    </w:p>
    <w:bookmarkEnd w:id="202"/>
    <w:bookmarkStart w:id="204" w:name="ref-bates2015"/>
    <w:p>
      <w:pPr>
        <w:pStyle w:val="Bibliography"/>
      </w:pPr>
      <w:r>
        <w:t xml:space="preserve">60.</w:t>
      </w:r>
      <w:r>
        <w:t xml:space="preserve"> </w:t>
      </w:r>
      <w:r>
        <w:t xml:space="preserve">	</w:t>
      </w:r>
      <w:r>
        <w:t xml:space="preserve">Bates D, Mächler M, Bolker B, Walker S. Fitting Linear Mixed-Effects Models Using lme4.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 2015;67:1-48. doi:</w:t>
      </w:r>
      <w:hyperlink r:id="rId203">
        <w:r>
          <w:rPr>
            <w:rStyle w:val="Hyperlink"/>
          </w:rPr>
          <w:t xml:space="preserve">10.18637/jss.v067.i01</w:t>
        </w:r>
      </w:hyperlink>
    </w:p>
    <w:bookmarkEnd w:id="204"/>
    <w:bookmarkStart w:id="206" w:name="ref-christensen2015"/>
    <w:p>
      <w:pPr>
        <w:pStyle w:val="Bibliography"/>
      </w:pPr>
      <w:r>
        <w:t xml:space="preserve">61.</w:t>
      </w:r>
      <w:r>
        <w:t xml:space="preserve"> </w:t>
      </w:r>
      <w:r>
        <w:t xml:space="preserve">	</w:t>
      </w:r>
      <w:r>
        <w:t xml:space="preserve">Christensen RHB. Analysis of ordinal data with cumulative link models</w:t>
      </w:r>
      <w:r>
        <w:t xml:space="preserve">estimation with the r</w:t>
      </w:r>
      <w:r>
        <w:t xml:space="preserve">-</w:t>
      </w:r>
      <w:r>
        <w:t xml:space="preserve">package ordinal.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-</w:t>
      </w:r>
      <w:r>
        <w:rPr>
          <w:i/>
          <w:iCs/>
        </w:rPr>
        <w:t xml:space="preserve">Package Version</w:t>
      </w:r>
      <w:r>
        <w:t xml:space="preserve">. 2015;28:406.</w:t>
      </w:r>
      <w:r>
        <w:t xml:space="preserve"> </w:t>
      </w:r>
      <w:hyperlink r:id="rId205">
        <w:r>
          <w:rPr>
            <w:rStyle w:val="Hyperlink"/>
          </w:rPr>
          <w:t xml:space="preserve">https://cir.nii.ac.jp/crid/1370584341837711757</w:t>
        </w:r>
      </w:hyperlink>
    </w:p>
    <w:bookmarkEnd w:id="206"/>
    <w:bookmarkStart w:id="208" w:name="ref-christensen2019"/>
    <w:p>
      <w:pPr>
        <w:pStyle w:val="Bibliography"/>
      </w:pPr>
      <w:r>
        <w:t xml:space="preserve">62.</w:t>
      </w:r>
      <w:r>
        <w:t xml:space="preserve"> </w:t>
      </w:r>
      <w:r>
        <w:t xml:space="preserve">	</w:t>
      </w:r>
      <w:r>
        <w:t xml:space="preserve">Christensen RHB.</w:t>
      </w:r>
      <w:r>
        <w:t xml:space="preserve"> </w:t>
      </w:r>
      <w:r>
        <w:rPr>
          <w:i/>
          <w:iCs/>
        </w:rPr>
        <w:t xml:space="preserve">Ordinal—Regression Models for Ordinal Data</w:t>
      </w:r>
      <w:r>
        <w:t xml:space="preserve">.; 2019.</w:t>
      </w:r>
      <w:r>
        <w:t xml:space="preserve"> </w:t>
      </w:r>
      <w:hyperlink r:id="rId207">
        <w:r>
          <w:rPr>
            <w:rStyle w:val="Hyperlink"/>
          </w:rPr>
          <w:t xml:space="preserve">https://CRAN.R-project.org/package=ordinal</w:t>
        </w:r>
      </w:hyperlink>
    </w:p>
    <w:bookmarkEnd w:id="208"/>
    <w:bookmarkStart w:id="209" w:name="ref-christensen2018"/>
    <w:p>
      <w:pPr>
        <w:pStyle w:val="Bibliography"/>
      </w:pPr>
      <w:r>
        <w:t xml:space="preserve">63.</w:t>
      </w:r>
      <w:r>
        <w:t xml:space="preserve"> </w:t>
      </w:r>
      <w:r>
        <w:t xml:space="preserve">	</w:t>
      </w:r>
      <w:r>
        <w:t xml:space="preserve">Christensen RHB. Cumulative Link Models for Ordinal Regression with the R Package ordinal.</w:t>
      </w:r>
      <w:r>
        <w:t xml:space="preserve"> </w:t>
      </w:r>
      <w:r>
        <w:rPr>
          <w:i/>
          <w:iCs/>
        </w:rPr>
        <w:t xml:space="preserve">Submitted in J Stat Software</w:t>
      </w:r>
      <w:r>
        <w:t xml:space="preserve">. 2018;35:1-46.</w:t>
      </w:r>
    </w:p>
    <w:bookmarkEnd w:id="209"/>
    <w:bookmarkStart w:id="211" w:name="ref-nakagawa2017"/>
    <w:p>
      <w:pPr>
        <w:pStyle w:val="Bibliography"/>
      </w:pPr>
      <w:r>
        <w:t xml:space="preserve">64.</w:t>
      </w:r>
      <w:r>
        <w:t xml:space="preserve"> </w:t>
      </w:r>
      <w:r>
        <w:t xml:space="preserve">	</w:t>
      </w:r>
      <w:r>
        <w:t xml:space="preserve">Nakagawa S, Johnson PCD, Schielzeth H. The coefficient of determination R2 and intra-class correlation coefficient from generalized linear mixed-effects models revisited and expanded.</w:t>
      </w:r>
      <w:r>
        <w:t xml:space="preserve"> </w:t>
      </w:r>
      <w:r>
        <w:rPr>
          <w:i/>
          <w:iCs/>
        </w:rPr>
        <w:t xml:space="preserve">Journal of the Royal Society, Interface</w:t>
      </w:r>
      <w:r>
        <w:t xml:space="preserve">. 2017;14(134):20170213. doi:</w:t>
      </w:r>
      <w:hyperlink r:id="rId210">
        <w:r>
          <w:rPr>
            <w:rStyle w:val="Hyperlink"/>
          </w:rPr>
          <w:t xml:space="preserve">10.1098/rsif.2017.0213</w:t>
        </w:r>
      </w:hyperlink>
    </w:p>
    <w:bookmarkEnd w:id="211"/>
    <w:bookmarkStart w:id="213" w:name="ref-yeo2000"/>
    <w:p>
      <w:pPr>
        <w:pStyle w:val="Bibliography"/>
      </w:pPr>
      <w:r>
        <w:t xml:space="preserve">65.</w:t>
      </w:r>
      <w:r>
        <w:t xml:space="preserve"> </w:t>
      </w:r>
      <w:r>
        <w:t xml:space="preserve">	</w:t>
      </w:r>
      <w:r>
        <w:t xml:space="preserve">Yeo IK, Johnson RA. A new family of power transformations to improve normality or symmetry.</w:t>
      </w:r>
      <w:r>
        <w:t xml:space="preserve"> </w:t>
      </w:r>
      <w:r>
        <w:rPr>
          <w:i/>
          <w:iCs/>
        </w:rPr>
        <w:t xml:space="preserve">Biometrika</w:t>
      </w:r>
      <w:r>
        <w:t xml:space="preserve">. 2000;87(4):954-959. doi:</w:t>
      </w:r>
      <w:hyperlink r:id="rId212">
        <w:r>
          <w:rPr>
            <w:rStyle w:val="Hyperlink"/>
          </w:rPr>
          <w:t xml:space="preserve">10.1093/biomet/87.4.954</w:t>
        </w:r>
      </w:hyperlink>
    </w:p>
    <w:bookmarkEnd w:id="213"/>
    <w:bookmarkStart w:id="215" w:name="ref-brauerLinearMixedeffectsModels2018"/>
    <w:p>
      <w:pPr>
        <w:pStyle w:val="Bibliography"/>
      </w:pPr>
      <w:r>
        <w:t xml:space="preserve">66.</w:t>
      </w:r>
      <w:r>
        <w:t xml:space="preserve"> </w:t>
      </w:r>
      <w:r>
        <w:t xml:space="preserve">	</w:t>
      </w:r>
      <w:r>
        <w:t xml:space="preserve">Brauer M, Curtin JJ. Linear mixed-effects models and the analysis of nonindependent data:</w:t>
      </w:r>
      <w:r>
        <w:t xml:space="preserve"> </w:t>
      </w:r>
      <w:r>
        <w:t xml:space="preserve">A</w:t>
      </w:r>
      <w:r>
        <w:t xml:space="preserve"> </w:t>
      </w:r>
      <w:r>
        <w:t xml:space="preserve">unified framework to analyze categorical and continuous independent variables that vary within-subjects and/or within-items.</w:t>
      </w:r>
      <w:r>
        <w:t xml:space="preserve"> </w:t>
      </w:r>
      <w:r>
        <w:rPr>
          <w:i/>
          <w:iCs/>
        </w:rPr>
        <w:t xml:space="preserve">Psychological Methods</w:t>
      </w:r>
      <w:r>
        <w:t xml:space="preserve">. 2018;23(3):389-411. doi:</w:t>
      </w:r>
      <w:hyperlink r:id="rId214">
        <w:r>
          <w:rPr>
            <w:rStyle w:val="Hyperlink"/>
          </w:rPr>
          <w:t xml:space="preserve">10.1037/met0000159</w:t>
        </w:r>
      </w:hyperlink>
    </w:p>
    <w:bookmarkEnd w:id="215"/>
    <w:bookmarkStart w:id="217" w:name="ref-follingstad2023"/>
    <w:p>
      <w:pPr>
        <w:pStyle w:val="Bibliography"/>
      </w:pPr>
      <w:r>
        <w:t xml:space="preserve">67.</w:t>
      </w:r>
      <w:r>
        <w:t xml:space="preserve"> </w:t>
      </w:r>
      <w:r>
        <w:t xml:space="preserve">	</w:t>
      </w:r>
      <w:r>
        <w:t xml:space="preserve">Follingstad DR, Barczak RM, Kistler LC. The Red Zone Risk for College Sexual Assault: A Critical Review of the Literature.</w:t>
      </w:r>
      <w:r>
        <w:t xml:space="preserve"> </w:t>
      </w:r>
      <w:r>
        <w:rPr>
          <w:i/>
          <w:iCs/>
        </w:rPr>
        <w:t xml:space="preserve">Trauma, Violence, &amp; Abuse</w:t>
      </w:r>
      <w:r>
        <w:t xml:space="preserve">. 2023;24(5):3528-3545. doi:</w:t>
      </w:r>
      <w:hyperlink r:id="rId216">
        <w:r>
          <w:rPr>
            <w:rStyle w:val="Hyperlink"/>
          </w:rPr>
          <w:t xml:space="preserve">10.1177/15248380221134293</w:t>
        </w:r>
      </w:hyperlink>
    </w:p>
    <w:bookmarkEnd w:id="217"/>
    <w:bookmarkEnd w:id="218"/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51" Target="media/rId51.png" /><Relationship Type="http://schemas.openxmlformats.org/officeDocument/2006/relationships/image" Id="rId66" Target="media/rId66.png" /><Relationship Type="http://schemas.openxmlformats.org/officeDocument/2006/relationships/hyperlink" Id="rId207" Target="https://CRAN.R-project.org/package=ordinal" TargetMode="External" /><Relationship Type="http://schemas.openxmlformats.org/officeDocument/2006/relationships/hyperlink" Id="rId205" Target="https://cir.nii.ac.jp/crid/1370584341837711757" TargetMode="External" /><Relationship Type="http://schemas.openxmlformats.org/officeDocument/2006/relationships/hyperlink" Id="rId139" Target="https://doi.org/10.1001/jamapediatrics.2015.0707" TargetMode="External" /><Relationship Type="http://schemas.openxmlformats.org/officeDocument/2006/relationships/hyperlink" Id="rId189" Target="https://doi.org/10.1002/job.1803" TargetMode="External" /><Relationship Type="http://schemas.openxmlformats.org/officeDocument/2006/relationships/hyperlink" Id="rId125" Target="https://doi.org/10.1006/jrpe.1998.2238" TargetMode="External" /><Relationship Type="http://schemas.openxmlformats.org/officeDocument/2006/relationships/hyperlink" Id="rId151" Target="https://doi.org/10.1007/978-3-031-24426-1_3" TargetMode="External" /><Relationship Type="http://schemas.openxmlformats.org/officeDocument/2006/relationships/hyperlink" Id="rId195" Target="https://doi.org/10.1007/s10508-013-0225-7" TargetMode="External" /><Relationship Type="http://schemas.openxmlformats.org/officeDocument/2006/relationships/hyperlink" Id="rId167" Target="https://doi.org/10.1007/s10508-018-1348-7" TargetMode="External" /><Relationship Type="http://schemas.openxmlformats.org/officeDocument/2006/relationships/hyperlink" Id="rId155" Target="https://doi.org/10.1007/s10508-020-01714-x" TargetMode="External" /><Relationship Type="http://schemas.openxmlformats.org/officeDocument/2006/relationships/hyperlink" Id="rId149" Target="https://doi.org/10.1007/s10508-024-03041-x" TargetMode="External" /><Relationship Type="http://schemas.openxmlformats.org/officeDocument/2006/relationships/hyperlink" Id="rId133" Target="https://doi.org/10.1007/s11199-024-01551-5" TargetMode="External" /><Relationship Type="http://schemas.openxmlformats.org/officeDocument/2006/relationships/hyperlink" Id="rId122" Target="https://doi.org/10.1016/B978-0-12-819202-3.00008-0" TargetMode="External" /><Relationship Type="http://schemas.openxmlformats.org/officeDocument/2006/relationships/hyperlink" Id="rId161" Target="https://doi.org/10.1016/j.avb.2016.08.001" TargetMode="External" /><Relationship Type="http://schemas.openxmlformats.org/officeDocument/2006/relationships/hyperlink" Id="rId98" Target="https://doi.org/10.1016/j.drugalcdep.2014.12.024" TargetMode="External" /><Relationship Type="http://schemas.openxmlformats.org/officeDocument/2006/relationships/hyperlink" Id="rId143" Target="https://doi.org/10.1016/j.drugpo.2019.07.021" TargetMode="External" /><Relationship Type="http://schemas.openxmlformats.org/officeDocument/2006/relationships/hyperlink" Id="rId88" Target="https://doi.org/10.1016/j.paid.2019.05.029" TargetMode="External" /><Relationship Type="http://schemas.openxmlformats.org/officeDocument/2006/relationships/hyperlink" Id="rId100" Target="https://doi.org/10.1016/j.psychres.2018.02.051" TargetMode="External" /><Relationship Type="http://schemas.openxmlformats.org/officeDocument/2006/relationships/hyperlink" Id="rId106" Target="https://doi.org/10.1037/0022-006X.55.2.162" TargetMode="External" /><Relationship Type="http://schemas.openxmlformats.org/officeDocument/2006/relationships/hyperlink" Id="rId137" Target="https://doi.org/10.1037/a0029997" TargetMode="External" /><Relationship Type="http://schemas.openxmlformats.org/officeDocument/2006/relationships/hyperlink" Id="rId127" Target="https://doi.org/10.1037/a0034670" TargetMode="External" /><Relationship Type="http://schemas.openxmlformats.org/officeDocument/2006/relationships/hyperlink" Id="rId214" Target="https://doi.org/10.1037/met0000159" TargetMode="External" /><Relationship Type="http://schemas.openxmlformats.org/officeDocument/2006/relationships/hyperlink" Id="rId183" Target="https://doi.org/10.1071/SH09068" TargetMode="External" /><Relationship Type="http://schemas.openxmlformats.org/officeDocument/2006/relationships/hyperlink" Id="rId94" Target="https://doi.org/10.1071/SH21015" TargetMode="External" /><Relationship Type="http://schemas.openxmlformats.org/officeDocument/2006/relationships/hyperlink" Id="rId163" Target="https://doi.org/10.1080/00224490701586706" TargetMode="External" /><Relationship Type="http://schemas.openxmlformats.org/officeDocument/2006/relationships/hyperlink" Id="rId181" Target="https://doi.org/10.1080/00224490903151358" TargetMode="External" /><Relationship Type="http://schemas.openxmlformats.org/officeDocument/2006/relationships/hyperlink" Id="rId118" Target="https://doi.org/10.1080/00224499.2013.792326" TargetMode="External" /><Relationship Type="http://schemas.openxmlformats.org/officeDocument/2006/relationships/hyperlink" Id="rId86" Target="https://doi.org/10.1080/00224499.2016.1146651" TargetMode="External" /><Relationship Type="http://schemas.openxmlformats.org/officeDocument/2006/relationships/hyperlink" Id="rId165" Target="https://doi.org/10.1080/00224499.2019.1581882" TargetMode="External" /><Relationship Type="http://schemas.openxmlformats.org/officeDocument/2006/relationships/hyperlink" Id="rId185" Target="https://doi.org/10.1080/00224499.2021.1907526" TargetMode="External" /><Relationship Type="http://schemas.openxmlformats.org/officeDocument/2006/relationships/hyperlink" Id="rId104" Target="https://doi.org/10.1080/00224499.2021.1913567" TargetMode="External" /><Relationship Type="http://schemas.openxmlformats.org/officeDocument/2006/relationships/hyperlink" Id="rId199" Target="https://doi.org/10.1080/00224499.2024.2445059" TargetMode="External" /><Relationship Type="http://schemas.openxmlformats.org/officeDocument/2006/relationships/hyperlink" Id="rId147" Target="https://doi.org/10.1080/00224499.2025.2462635" TargetMode="External" /><Relationship Type="http://schemas.openxmlformats.org/officeDocument/2006/relationships/hyperlink" Id="rId173" Target="https://doi.org/10.1080/00224499.2025.2555494" TargetMode="External" /><Relationship Type="http://schemas.openxmlformats.org/officeDocument/2006/relationships/hyperlink" Id="rId114" Target="https://doi.org/10.1080/0092623X.2021.1937417" TargetMode="External" /><Relationship Type="http://schemas.openxmlformats.org/officeDocument/2006/relationships/hyperlink" Id="rId116" Target="https://doi.org/10.1080/0092623X.2021.1986445" TargetMode="External" /><Relationship Type="http://schemas.openxmlformats.org/officeDocument/2006/relationships/hyperlink" Id="rId129" Target="https://doi.org/10.1080/10810730.2018.1473532" TargetMode="External" /><Relationship Type="http://schemas.openxmlformats.org/officeDocument/2006/relationships/hyperlink" Id="rId141" Target="https://doi.org/10.1080/10926771.2015.1070232" TargetMode="External" /><Relationship Type="http://schemas.openxmlformats.org/officeDocument/2006/relationships/hyperlink" Id="rId110" Target="https://doi.org/10.1080/14681811.2019.1621744" TargetMode="External" /><Relationship Type="http://schemas.openxmlformats.org/officeDocument/2006/relationships/hyperlink" Id="rId120" Target="https://doi.org/10.1080/14681811.2021.2018676" TargetMode="External" /><Relationship Type="http://schemas.openxmlformats.org/officeDocument/2006/relationships/hyperlink" Id="rId90" Target="https://doi.org/10.1080/15546128.2017.1328322" TargetMode="External" /><Relationship Type="http://schemas.openxmlformats.org/officeDocument/2006/relationships/hyperlink" Id="rId171" Target="https://doi.org/10.1080/15546128.2018.1443300" TargetMode="External" /><Relationship Type="http://schemas.openxmlformats.org/officeDocument/2006/relationships/hyperlink" Id="rId201" Target="https://doi.org/10.1080/19317611.2014.951505" TargetMode="External" /><Relationship Type="http://schemas.openxmlformats.org/officeDocument/2006/relationships/hyperlink" Id="rId212" Target="https://doi.org/10.1093/biomet/87.4.954" TargetMode="External" /><Relationship Type="http://schemas.openxmlformats.org/officeDocument/2006/relationships/hyperlink" Id="rId131" Target="https://doi.org/10.1093/swr/35.2.71" TargetMode="External" /><Relationship Type="http://schemas.openxmlformats.org/officeDocument/2006/relationships/hyperlink" Id="rId210" Target="https://doi.org/10.1098/rsif.2017.0213" TargetMode="External" /><Relationship Type="http://schemas.openxmlformats.org/officeDocument/2006/relationships/hyperlink" Id="rId179" Target="https://doi.org/10.1111/j.1360-0443.1993.tb02093.x" TargetMode="External" /><Relationship Type="http://schemas.openxmlformats.org/officeDocument/2006/relationships/hyperlink" Id="rId102" Target="https://doi.org/10.1146/annurev.psych.54.101601.145030" TargetMode="External" /><Relationship Type="http://schemas.openxmlformats.org/officeDocument/2006/relationships/hyperlink" Id="rId145" Target="https://doi.org/10.1177/00914509211058900" TargetMode="External" /><Relationship Type="http://schemas.openxmlformats.org/officeDocument/2006/relationships/hyperlink" Id="rId191" Target="https://doi.org/10.1177/0146167201272002" TargetMode="External" /><Relationship Type="http://schemas.openxmlformats.org/officeDocument/2006/relationships/hyperlink" Id="rId177" Target="https://doi.org/10.1177/0886260507302993" TargetMode="External" /><Relationship Type="http://schemas.openxmlformats.org/officeDocument/2006/relationships/hyperlink" Id="rId108" Target="https://doi.org/10.1177/08862605211050103" TargetMode="External" /><Relationship Type="http://schemas.openxmlformats.org/officeDocument/2006/relationships/hyperlink" Id="rId159" Target="https://doi.org/10.1177/08862605231182378" TargetMode="External" /><Relationship Type="http://schemas.openxmlformats.org/officeDocument/2006/relationships/hyperlink" Id="rId153" Target="https://doi.org/10.1177/08862605241275994" TargetMode="External" /><Relationship Type="http://schemas.openxmlformats.org/officeDocument/2006/relationships/hyperlink" Id="rId112" Target="https://doi.org/10.1177/0959353514539652" TargetMode="External" /><Relationship Type="http://schemas.openxmlformats.org/officeDocument/2006/relationships/hyperlink" Id="rId175" Target="https://doi.org/10.1177/1077801220952159" TargetMode="External" /><Relationship Type="http://schemas.openxmlformats.org/officeDocument/2006/relationships/hyperlink" Id="rId216" Target="https://doi.org/10.1177/15248380221134293" TargetMode="External" /><Relationship Type="http://schemas.openxmlformats.org/officeDocument/2006/relationships/hyperlink" Id="rId197" Target="https://doi.org/10.1207/S15327574IJT0302_5" TargetMode="External" /><Relationship Type="http://schemas.openxmlformats.org/officeDocument/2006/relationships/hyperlink" Id="rId157" Target="https://doi.org/10.15288/jsad.2014.75.241" TargetMode="External" /><Relationship Type="http://schemas.openxmlformats.org/officeDocument/2006/relationships/hyperlink" Id="rId96" Target="https://doi.org/10.15288/jsad.23-00260" TargetMode="External" /><Relationship Type="http://schemas.openxmlformats.org/officeDocument/2006/relationships/hyperlink" Id="rId187" Target="https://doi.org/10.1539/joh.49.224" TargetMode="External" /><Relationship Type="http://schemas.openxmlformats.org/officeDocument/2006/relationships/hyperlink" Id="rId203" Target="https://doi.org/10.18637/jss.v067.i01" TargetMode="External" /><Relationship Type="http://schemas.openxmlformats.org/officeDocument/2006/relationships/hyperlink" Id="rId169" Target="https://doi.org/10.25394/PGS.25744485.v1" TargetMode="External" /><Relationship Type="http://schemas.openxmlformats.org/officeDocument/2006/relationships/hyperlink" Id="rId193" Target="https://doi.org/10.31234/osf.io/zkwxa_v1" TargetMode="External" /><Relationship Type="http://schemas.openxmlformats.org/officeDocument/2006/relationships/hyperlink" Id="rId135" Target="https://doi.org/10.5993/AJHB.36.6.3" TargetMode="External" /><Relationship Type="http://schemas.openxmlformats.org/officeDocument/2006/relationships/hyperlink" Id="rId92" Target="https://research.ebsco.com/linkprocessor/plink?id=24ba5255-90f6-392f-94fe-17a28dff0a35" TargetMode="External" /><Relationship Type="http://schemas.openxmlformats.org/officeDocument/2006/relationships/hyperlink" Id="rId78" Target="https://sbward23.github.io/study_cues/index.qmd.html" TargetMode="External" /><Relationship Type="http://schemas.openxmlformats.org/officeDocument/2006/relationships/hyperlink" Id="rId60" Target="https://sbward23.github.io/study_cues/notebooks/fig1-preview.html#cell-fig-1" TargetMode="External" /><Relationship Type="http://schemas.openxmlformats.org/officeDocument/2006/relationships/hyperlink" Id="rId65" Target="https://sbward23.github.io/study_cues/notebooks/fig1-preview.html#cell-fig-2" TargetMode="External" /><Relationship Type="http://schemas.openxmlformats.org/officeDocument/2006/relationships/hyperlink" Id="rId55" Target="https://sbward23.github.io/study_cues/notebooks/fig1-preview.html#cell-fig-3" TargetMode="External" /><Relationship Type="http://schemas.openxmlformats.org/officeDocument/2006/relationships/hyperlink" Id="rId70" Target="https://sbward23.github.io/study_cues/notebooks/fig1-preview.html#cell-fig-4" TargetMode="External" /><Relationship Type="http://schemas.openxmlformats.org/officeDocument/2006/relationships/hyperlink" Id="rId77" Target="https://sbward23.github.io/study_cues/notebooks/tables-preview.html#cell-tbl-ic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7" Target="https://CRAN.R-project.org/package=ordinal" TargetMode="External" /><Relationship Type="http://schemas.openxmlformats.org/officeDocument/2006/relationships/hyperlink" Id="rId205" Target="https://cir.nii.ac.jp/crid/1370584341837711757" TargetMode="External" /><Relationship Type="http://schemas.openxmlformats.org/officeDocument/2006/relationships/hyperlink" Id="rId139" Target="https://doi.org/10.1001/jamapediatrics.2015.0707" TargetMode="External" /><Relationship Type="http://schemas.openxmlformats.org/officeDocument/2006/relationships/hyperlink" Id="rId189" Target="https://doi.org/10.1002/job.1803" TargetMode="External" /><Relationship Type="http://schemas.openxmlformats.org/officeDocument/2006/relationships/hyperlink" Id="rId125" Target="https://doi.org/10.1006/jrpe.1998.2238" TargetMode="External" /><Relationship Type="http://schemas.openxmlformats.org/officeDocument/2006/relationships/hyperlink" Id="rId151" Target="https://doi.org/10.1007/978-3-031-24426-1_3" TargetMode="External" /><Relationship Type="http://schemas.openxmlformats.org/officeDocument/2006/relationships/hyperlink" Id="rId195" Target="https://doi.org/10.1007/s10508-013-0225-7" TargetMode="External" /><Relationship Type="http://schemas.openxmlformats.org/officeDocument/2006/relationships/hyperlink" Id="rId167" Target="https://doi.org/10.1007/s10508-018-1348-7" TargetMode="External" /><Relationship Type="http://schemas.openxmlformats.org/officeDocument/2006/relationships/hyperlink" Id="rId155" Target="https://doi.org/10.1007/s10508-020-01714-x" TargetMode="External" /><Relationship Type="http://schemas.openxmlformats.org/officeDocument/2006/relationships/hyperlink" Id="rId149" Target="https://doi.org/10.1007/s10508-024-03041-x" TargetMode="External" /><Relationship Type="http://schemas.openxmlformats.org/officeDocument/2006/relationships/hyperlink" Id="rId133" Target="https://doi.org/10.1007/s11199-024-01551-5" TargetMode="External" /><Relationship Type="http://schemas.openxmlformats.org/officeDocument/2006/relationships/hyperlink" Id="rId122" Target="https://doi.org/10.1016/B978-0-12-819202-3.00008-0" TargetMode="External" /><Relationship Type="http://schemas.openxmlformats.org/officeDocument/2006/relationships/hyperlink" Id="rId161" Target="https://doi.org/10.1016/j.avb.2016.08.001" TargetMode="External" /><Relationship Type="http://schemas.openxmlformats.org/officeDocument/2006/relationships/hyperlink" Id="rId98" Target="https://doi.org/10.1016/j.drugalcdep.2014.12.024" TargetMode="External" /><Relationship Type="http://schemas.openxmlformats.org/officeDocument/2006/relationships/hyperlink" Id="rId143" Target="https://doi.org/10.1016/j.drugpo.2019.07.021" TargetMode="External" /><Relationship Type="http://schemas.openxmlformats.org/officeDocument/2006/relationships/hyperlink" Id="rId88" Target="https://doi.org/10.1016/j.paid.2019.05.029" TargetMode="External" /><Relationship Type="http://schemas.openxmlformats.org/officeDocument/2006/relationships/hyperlink" Id="rId100" Target="https://doi.org/10.1016/j.psychres.2018.02.051" TargetMode="External" /><Relationship Type="http://schemas.openxmlformats.org/officeDocument/2006/relationships/hyperlink" Id="rId106" Target="https://doi.org/10.1037/0022-006X.55.2.162" TargetMode="External" /><Relationship Type="http://schemas.openxmlformats.org/officeDocument/2006/relationships/hyperlink" Id="rId137" Target="https://doi.org/10.1037/a0029997" TargetMode="External" /><Relationship Type="http://schemas.openxmlformats.org/officeDocument/2006/relationships/hyperlink" Id="rId127" Target="https://doi.org/10.1037/a0034670" TargetMode="External" /><Relationship Type="http://schemas.openxmlformats.org/officeDocument/2006/relationships/hyperlink" Id="rId214" Target="https://doi.org/10.1037/met0000159" TargetMode="External" /><Relationship Type="http://schemas.openxmlformats.org/officeDocument/2006/relationships/hyperlink" Id="rId183" Target="https://doi.org/10.1071/SH09068" TargetMode="External" /><Relationship Type="http://schemas.openxmlformats.org/officeDocument/2006/relationships/hyperlink" Id="rId94" Target="https://doi.org/10.1071/SH21015" TargetMode="External" /><Relationship Type="http://schemas.openxmlformats.org/officeDocument/2006/relationships/hyperlink" Id="rId163" Target="https://doi.org/10.1080/00224490701586706" TargetMode="External" /><Relationship Type="http://schemas.openxmlformats.org/officeDocument/2006/relationships/hyperlink" Id="rId181" Target="https://doi.org/10.1080/00224490903151358" TargetMode="External" /><Relationship Type="http://schemas.openxmlformats.org/officeDocument/2006/relationships/hyperlink" Id="rId118" Target="https://doi.org/10.1080/00224499.2013.792326" TargetMode="External" /><Relationship Type="http://schemas.openxmlformats.org/officeDocument/2006/relationships/hyperlink" Id="rId86" Target="https://doi.org/10.1080/00224499.2016.1146651" TargetMode="External" /><Relationship Type="http://schemas.openxmlformats.org/officeDocument/2006/relationships/hyperlink" Id="rId165" Target="https://doi.org/10.1080/00224499.2019.1581882" TargetMode="External" /><Relationship Type="http://schemas.openxmlformats.org/officeDocument/2006/relationships/hyperlink" Id="rId185" Target="https://doi.org/10.1080/00224499.2021.1907526" TargetMode="External" /><Relationship Type="http://schemas.openxmlformats.org/officeDocument/2006/relationships/hyperlink" Id="rId104" Target="https://doi.org/10.1080/00224499.2021.1913567" TargetMode="External" /><Relationship Type="http://schemas.openxmlformats.org/officeDocument/2006/relationships/hyperlink" Id="rId199" Target="https://doi.org/10.1080/00224499.2024.2445059" TargetMode="External" /><Relationship Type="http://schemas.openxmlformats.org/officeDocument/2006/relationships/hyperlink" Id="rId147" Target="https://doi.org/10.1080/00224499.2025.2462635" TargetMode="External" /><Relationship Type="http://schemas.openxmlformats.org/officeDocument/2006/relationships/hyperlink" Id="rId173" Target="https://doi.org/10.1080/00224499.2025.2555494" TargetMode="External" /><Relationship Type="http://schemas.openxmlformats.org/officeDocument/2006/relationships/hyperlink" Id="rId114" Target="https://doi.org/10.1080/0092623X.2021.1937417" TargetMode="External" /><Relationship Type="http://schemas.openxmlformats.org/officeDocument/2006/relationships/hyperlink" Id="rId116" Target="https://doi.org/10.1080/0092623X.2021.1986445" TargetMode="External" /><Relationship Type="http://schemas.openxmlformats.org/officeDocument/2006/relationships/hyperlink" Id="rId129" Target="https://doi.org/10.1080/10810730.2018.1473532" TargetMode="External" /><Relationship Type="http://schemas.openxmlformats.org/officeDocument/2006/relationships/hyperlink" Id="rId141" Target="https://doi.org/10.1080/10926771.2015.1070232" TargetMode="External" /><Relationship Type="http://schemas.openxmlformats.org/officeDocument/2006/relationships/hyperlink" Id="rId110" Target="https://doi.org/10.1080/14681811.2019.1621744" TargetMode="External" /><Relationship Type="http://schemas.openxmlformats.org/officeDocument/2006/relationships/hyperlink" Id="rId120" Target="https://doi.org/10.1080/14681811.2021.2018676" TargetMode="External" /><Relationship Type="http://schemas.openxmlformats.org/officeDocument/2006/relationships/hyperlink" Id="rId90" Target="https://doi.org/10.1080/15546128.2017.1328322" TargetMode="External" /><Relationship Type="http://schemas.openxmlformats.org/officeDocument/2006/relationships/hyperlink" Id="rId171" Target="https://doi.org/10.1080/15546128.2018.1443300" TargetMode="External" /><Relationship Type="http://schemas.openxmlformats.org/officeDocument/2006/relationships/hyperlink" Id="rId201" Target="https://doi.org/10.1080/19317611.2014.951505" TargetMode="External" /><Relationship Type="http://schemas.openxmlformats.org/officeDocument/2006/relationships/hyperlink" Id="rId212" Target="https://doi.org/10.1093/biomet/87.4.954" TargetMode="External" /><Relationship Type="http://schemas.openxmlformats.org/officeDocument/2006/relationships/hyperlink" Id="rId131" Target="https://doi.org/10.1093/swr/35.2.71" TargetMode="External" /><Relationship Type="http://schemas.openxmlformats.org/officeDocument/2006/relationships/hyperlink" Id="rId210" Target="https://doi.org/10.1098/rsif.2017.0213" TargetMode="External" /><Relationship Type="http://schemas.openxmlformats.org/officeDocument/2006/relationships/hyperlink" Id="rId179" Target="https://doi.org/10.1111/j.1360-0443.1993.tb02093.x" TargetMode="External" /><Relationship Type="http://schemas.openxmlformats.org/officeDocument/2006/relationships/hyperlink" Id="rId102" Target="https://doi.org/10.1146/annurev.psych.54.101601.145030" TargetMode="External" /><Relationship Type="http://schemas.openxmlformats.org/officeDocument/2006/relationships/hyperlink" Id="rId145" Target="https://doi.org/10.1177/00914509211058900" TargetMode="External" /><Relationship Type="http://schemas.openxmlformats.org/officeDocument/2006/relationships/hyperlink" Id="rId191" Target="https://doi.org/10.1177/0146167201272002" TargetMode="External" /><Relationship Type="http://schemas.openxmlformats.org/officeDocument/2006/relationships/hyperlink" Id="rId177" Target="https://doi.org/10.1177/0886260507302993" TargetMode="External" /><Relationship Type="http://schemas.openxmlformats.org/officeDocument/2006/relationships/hyperlink" Id="rId108" Target="https://doi.org/10.1177/08862605211050103" TargetMode="External" /><Relationship Type="http://schemas.openxmlformats.org/officeDocument/2006/relationships/hyperlink" Id="rId159" Target="https://doi.org/10.1177/08862605231182378" TargetMode="External" /><Relationship Type="http://schemas.openxmlformats.org/officeDocument/2006/relationships/hyperlink" Id="rId153" Target="https://doi.org/10.1177/08862605241275994" TargetMode="External" /><Relationship Type="http://schemas.openxmlformats.org/officeDocument/2006/relationships/hyperlink" Id="rId112" Target="https://doi.org/10.1177/0959353514539652" TargetMode="External" /><Relationship Type="http://schemas.openxmlformats.org/officeDocument/2006/relationships/hyperlink" Id="rId175" Target="https://doi.org/10.1177/1077801220952159" TargetMode="External" /><Relationship Type="http://schemas.openxmlformats.org/officeDocument/2006/relationships/hyperlink" Id="rId216" Target="https://doi.org/10.1177/15248380221134293" TargetMode="External" /><Relationship Type="http://schemas.openxmlformats.org/officeDocument/2006/relationships/hyperlink" Id="rId197" Target="https://doi.org/10.1207/S15327574IJT0302_5" TargetMode="External" /><Relationship Type="http://schemas.openxmlformats.org/officeDocument/2006/relationships/hyperlink" Id="rId157" Target="https://doi.org/10.15288/jsad.2014.75.241" TargetMode="External" /><Relationship Type="http://schemas.openxmlformats.org/officeDocument/2006/relationships/hyperlink" Id="rId96" Target="https://doi.org/10.15288/jsad.23-00260" TargetMode="External" /><Relationship Type="http://schemas.openxmlformats.org/officeDocument/2006/relationships/hyperlink" Id="rId187" Target="https://doi.org/10.1539/joh.49.224" TargetMode="External" /><Relationship Type="http://schemas.openxmlformats.org/officeDocument/2006/relationships/hyperlink" Id="rId203" Target="https://doi.org/10.18637/jss.v067.i01" TargetMode="External" /><Relationship Type="http://schemas.openxmlformats.org/officeDocument/2006/relationships/hyperlink" Id="rId169" Target="https://doi.org/10.25394/PGS.25744485.v1" TargetMode="External" /><Relationship Type="http://schemas.openxmlformats.org/officeDocument/2006/relationships/hyperlink" Id="rId193" Target="https://doi.org/10.31234/osf.io/zkwxa_v1" TargetMode="External" /><Relationship Type="http://schemas.openxmlformats.org/officeDocument/2006/relationships/hyperlink" Id="rId135" Target="https://doi.org/10.5993/AJHB.36.6.3" TargetMode="External" /><Relationship Type="http://schemas.openxmlformats.org/officeDocument/2006/relationships/hyperlink" Id="rId92" Target="https://research.ebsco.com/linkprocessor/plink?id=24ba5255-90f6-392f-94fe-17a28dff0a35" TargetMode="External" /><Relationship Type="http://schemas.openxmlformats.org/officeDocument/2006/relationships/hyperlink" Id="rId78" Target="https://sbward23.github.io/study_cues/index.qmd.html" TargetMode="External" /><Relationship Type="http://schemas.openxmlformats.org/officeDocument/2006/relationships/hyperlink" Id="rId60" Target="https://sbward23.github.io/study_cues/notebooks/fig1-preview.html#cell-fig-1" TargetMode="External" /><Relationship Type="http://schemas.openxmlformats.org/officeDocument/2006/relationships/hyperlink" Id="rId65" Target="https://sbward23.github.io/study_cues/notebooks/fig1-preview.html#cell-fig-2" TargetMode="External" /><Relationship Type="http://schemas.openxmlformats.org/officeDocument/2006/relationships/hyperlink" Id="rId55" Target="https://sbward23.github.io/study_cues/notebooks/fig1-preview.html#cell-fig-3" TargetMode="External" /><Relationship Type="http://schemas.openxmlformats.org/officeDocument/2006/relationships/hyperlink" Id="rId70" Target="https://sbward23.github.io/study_cues/notebooks/fig1-preview.html#cell-fig-4" TargetMode="External" /><Relationship Type="http://schemas.openxmlformats.org/officeDocument/2006/relationships/hyperlink" Id="rId77" Target="https://sbward23.github.io/study_cues/notebooks/tables-preview.html#cell-tbl-ic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Alcohol and sexual consent communication</dc:title>
  <dc:creator>Stephanie B. Ward</dc:creator>
  <cp:keywords>Sexual consent, Alcohol, Sexual assault, College student</cp:keywords>
  <dcterms:created xsi:type="dcterms:W3CDTF">2026-01-28T05:59:38Z</dcterms:created>
  <dcterms:modified xsi:type="dcterms:W3CDTF">2026-01-28T05:59:38Z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zotero_lib.bib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lear-hidden-classes">
    <vt:lpwstr>none</vt:lpwstr>
  </property>
  <property fmtid="{D5CDD505-2E9C-101B-9397-08002B2CF9AE}" pid="9" name="csl">
    <vt:lpwstr>_csl/american-medical-association.csl</vt:lpwstr>
  </property>
  <property fmtid="{D5CDD505-2E9C-101B-9397-08002B2CF9AE}" pid="10" name="date">
    <vt:lpwstr>2026-01-27</vt:lpwstr>
  </property>
  <property fmtid="{D5CDD505-2E9C-101B-9397-08002B2CF9AE}" pid="11" name="editor">
    <vt:lpwstr/>
  </property>
  <property fmtid="{D5CDD505-2E9C-101B-9397-08002B2CF9AE}" pid="12" name="editor_options">
    <vt:lpwstr/>
  </property>
  <property fmtid="{D5CDD505-2E9C-101B-9397-08002B2CF9AE}" pid="13" name="google-scholar">
    <vt:lpwstr>True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quarto-internal">
    <vt:lpwstr/>
  </property>
  <property fmtid="{D5CDD505-2E9C-101B-9397-08002B2CF9AE}" pid="22" name="remove-hidden">
    <vt:lpwstr>all</vt:lpwstr>
  </property>
  <property fmtid="{D5CDD505-2E9C-101B-9397-08002B2CF9AE}" pid="23" name="subtitle">
    <vt:lpwstr>A daily diary investigation of verbal and nonverbal cues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